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auto"/>
        <w:rPr>
          <w:b/>
          <w:color w:val="000000"/>
          <w:sz w:val="44"/>
          <w:szCs w:val="44"/>
        </w:rPr>
      </w:pPr>
      <w:r>
        <w:rPr>
          <w:rFonts w:hint="eastAsia" w:ascii="仿宋_GB2312" w:hAnsi="Times New Roman" w:eastAsia="仿宋_GB2312" w:cs="Times New Roman"/>
          <w:color w:val="auto"/>
          <w:sz w:val="30"/>
          <w:szCs w:val="30"/>
        </w:rPr>
        <w:t>附件</w:t>
      </w:r>
      <w:r>
        <w:rPr>
          <w:rFonts w:hint="eastAsia" w:ascii="仿宋_GB2312" w:hAnsi="Times New Roman" w:eastAsia="仿宋_GB2312" w:cs="Times New Roman"/>
          <w:color w:val="auto"/>
          <w:sz w:val="30"/>
          <w:szCs w:val="30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-4"/>
          <w:sz w:val="44"/>
          <w:szCs w:val="44"/>
        </w:rPr>
      </w:pPr>
      <w:bookmarkStart w:id="0" w:name="_GoBack"/>
      <w:r>
        <w:rPr>
          <w:rFonts w:hint="eastAsia" w:ascii="黑体" w:hAnsi="黑体" w:eastAsia="黑体" w:cs="黑体"/>
          <w:b w:val="0"/>
          <w:bCs w:val="0"/>
          <w:color w:val="auto"/>
          <w:spacing w:val="-4"/>
          <w:sz w:val="44"/>
          <w:szCs w:val="44"/>
        </w:rPr>
        <w:t>2021—2023年全</w:t>
      </w:r>
      <w:r>
        <w:rPr>
          <w:rFonts w:hint="eastAsia" w:ascii="黑体" w:hAnsi="黑体" w:eastAsia="黑体" w:cs="黑体"/>
          <w:b w:val="0"/>
          <w:bCs w:val="0"/>
          <w:color w:val="auto"/>
          <w:spacing w:val="-4"/>
          <w:sz w:val="44"/>
          <w:szCs w:val="44"/>
          <w:lang w:eastAsia="zh-CN"/>
        </w:rPr>
        <w:t>县</w:t>
      </w:r>
      <w:r>
        <w:rPr>
          <w:rFonts w:hint="eastAsia" w:ascii="黑体" w:hAnsi="黑体" w:eastAsia="黑体" w:cs="黑体"/>
          <w:b w:val="0"/>
          <w:bCs w:val="0"/>
          <w:color w:val="auto"/>
          <w:spacing w:val="-4"/>
          <w:sz w:val="44"/>
          <w:szCs w:val="44"/>
        </w:rPr>
        <w:t>农机购置补贴机具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黑体" w:hAnsi="黑体" w:eastAsia="黑体" w:cs="黑体"/>
          <w:b w:val="0"/>
          <w:bCs w:val="0"/>
          <w:color w:val="auto"/>
          <w:spacing w:val="-4"/>
          <w:sz w:val="44"/>
          <w:szCs w:val="44"/>
        </w:rPr>
      </w:pPr>
      <w:r>
        <w:rPr>
          <w:rFonts w:hint="eastAsia" w:ascii="黑体" w:hAnsi="黑体" w:eastAsia="黑体" w:cs="黑体"/>
          <w:b w:val="0"/>
          <w:bCs w:val="0"/>
          <w:color w:val="auto"/>
          <w:spacing w:val="-4"/>
          <w:sz w:val="44"/>
          <w:szCs w:val="44"/>
        </w:rPr>
        <w:t>种类范围</w:t>
      </w:r>
    </w:p>
    <w:bookmarkEnd w:id="0"/>
    <w:p>
      <w:pPr>
        <w:tabs>
          <w:tab w:val="left" w:pos="1595"/>
        </w:tabs>
        <w:spacing w:before="322" w:beforeLines="100" w:after="322" w:afterLines="100" w:line="580" w:lineRule="exact"/>
        <w:ind w:firstLine="160" w:firstLineChars="50"/>
        <w:jc w:val="center"/>
        <w:rPr>
          <w:rFonts w:hint="eastAsia" w:ascii="仿宋" w:hAnsi="仿宋" w:eastAsia="仿宋" w:cs="仿宋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</w:rPr>
        <w:t>（15大类38个小类127个品目）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1.耕整地机械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1.1耕地机械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1.1.1铧式犁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1.1.2圆盘犁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1.1.3旋耕机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1.1.4深松机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1.1.5开沟机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1.1.6耕整机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1.1.7微耕机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1.2整地机械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1.2.2起垄机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1.2.4筑埂机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1.2.5铺膜机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1.2.6联合整地机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2.种植施肥机械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2.1播种机械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2.1.1条播机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2.1.2穴播机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2.1.3小粒种子播种机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2.1.4根茎作物播种机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2.1.5免耕播种机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2.1.6铺膜播种机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2.1.7水稻直播机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2.1.8精量播种机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2.1.9整地施肥播种机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2.2育苗机械设备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2.2.1种子播前处理设备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2.2.2营养钵压制机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2.2.3秧盘播种成套设备（含床土处理）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2.3栽植机械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2.3.1水稻插秧机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2.3.2秧苗移栽机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2.4施肥机械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2.4.1施肥机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2.4.2撒肥机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3.田间管理机械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3.1中耕机械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3.1.1中耕机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3.1.3埋藤机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3.1.4田园管理机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3.2植保机械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3.2.1动力喷雾机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3.2.2喷杆喷雾机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3.2.3风送喷雾机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3.2.4植保无人驾驶航空器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3.3修剪机械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3.3.1茶树修剪机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3.3.2果树修剪机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3.3.3枝条切碎机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4.收获机械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4.1谷物收获机械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4.1.1割晒机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4.1.2自走轮式谷物联合收割机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4.1.3自走履带式谷物联合收割机（全喂入）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4.2玉米收获机械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4.2.1自走式玉米收获机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4.2.2自走式玉米籽粒联合收获机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4.2.3穗茎兼收玉米收获机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4.4果实收获机械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4.4.3辣椒收获机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4.6花卉（茶叶）采收机械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4.6.1采茶机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4.8根茎作物收获机械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4.8.1薯类收获机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4.8.2甜菜收获机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4.9饲料作物收获机械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4.9.1割草机（含果园无人割草机）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4.9.2搂草机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4.9.3打（压）捆机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4.9.4圆草捆包膜机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4.9.5青饲料收获机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4.10茎秆收集处理机械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4.10.1秸秆粉碎还田机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5.收获后处理机械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5.1脱粒机械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5.1.1稻麦脱粒机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5.1.2玉米脱粒机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5.2清选机械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5.2.1风筛清选机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5.2.2重力清选机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5.2.3窝眼清选机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5.2.4复式清选机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5.3干燥机械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5.3.1谷物烘干机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5.3.2果蔬烘干机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5.4种子加工机械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5.4.1种子清选机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6.农产品初加工机械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6.1碾米机械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6.1.1碾米机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6.1.2组合米机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6.2磨粉（浆）机械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6.2.1磨粉机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6.2.2磨浆机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6.3果蔬加工机械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6.3.1水果分级机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6.3.2水果清洗机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6.3.3水果打蜡机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6.3.4蔬菜清洗机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6.4茶叶加工机械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6.4.1茶叶杀青机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6.4.2茶叶揉捻机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6.4.3茶叶炒（烘）干机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6.4.4茶叶筛选机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6.4.5茶叶理条机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6.5剥壳（去皮）机械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6.5.3干坚果脱壳机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7.农用搬运机械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7.1装卸机械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7.1.1抓草机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8.排灌机械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8.2喷灌机械设备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8.2.1喷灌机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left="1598" w:leftChars="304" w:hanging="960" w:hangingChars="3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8.2.3灌溉首部（含灌溉水增压设备、过滤设备、水质软化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left="1266" w:leftChars="603" w:firstLine="230" w:firstLineChars="72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设备、灌溉施肥一体化设备以及营养液消毒设备等）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9.畜牧机械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9.1饲料（草）加工机械设备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9.1.1铡草机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9.1.2青贮切碎机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9.1.3揉丝机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9.1.4压块机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9.1.5饲料（草）粉碎机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9.1.6饲料混合机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9.1.7颗粒饲料压制机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9.1.8饲料制备（搅拌）机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9.2饲养机械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9.2.2喂料机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9.2.3送料机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9.2.4清粪机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9.2.5粪污固液分离机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9.3畜产品采集加工机械设备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9.3.1挤奶机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9.3.3贮奶（冷藏）罐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10.水产机械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10.1水产养殖机械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10.1.1增氧机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10.1.2投饲机（含投饲无人船）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10.1.3网箱养殖设备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11.农业废弃物利用处理设备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11.1废弃物处理设备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11.1.2残膜回收机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11.1.3沼液沼渣抽排设备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11.1.4秸秆压块（粒、棒）机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11.1.5病死畜禽无害化处理设备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11.1.6有机废弃物好氧发酵翻堆机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11.1.7有机废弃物干式厌氧发酵装置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12.农田基本建设机械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12.1挖掘机械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12.1.1挖坑机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12.2平地机械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12.2.1平地机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13.设施农业设备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13.1温室大棚设备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13.1.1电动卷帘机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13.2食用菌生产设备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13.2.1蒸汽灭菌设备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13.2.2食用菌料装瓶（袋）机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14.动力机械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14.1拖拉机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14.1.1轮式拖拉机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14.1.2手扶拖拉机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14.1.3履带式拖拉机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15.其他机械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15.2其他机械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15.2.1驱动耙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15.2.3水帘降温设备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15.2.4热水加温系统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15.2.5简易保鲜储藏设备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15.2.7旋耕播种机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15.2.9杂粮色选机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15.2.11秸秆膨化机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15.2.12畜禽粪便发酵处理机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15.2.13农业用北斗终端及辅助驾驶系统（含渔船用）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15.2.16有机肥加工设备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15.2.17茶叶输送机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15.2.18茶叶压扁机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15.2.19茶叶色选机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15.2.20根（块）茎作物收获机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15.2.21果园作业平台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15.2.23秸秆收集机</w:t>
      </w:r>
    </w:p>
    <w:p>
      <w:pPr>
        <w:pStyle w:val="6"/>
        <w:adjustRightInd w:val="0"/>
        <w:snapToGrid w:val="0"/>
        <w:spacing w:before="0" w:beforeAutospacing="0" w:after="0" w:afterAutospacing="0" w:line="580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15.2.27水产养殖水质监控设备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仿宋_GB2312">
    <w:altName w:val="仿宋"/>
    <w:panose1 w:val="00000000000000000000"/>
    <w:charset w:val="00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FFDEBFF"/>
    <w:rsid w:val="FFFDE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首行缩进 21"/>
    <w:next w:val="3"/>
    <w:qFormat/>
    <w:uiPriority w:val="0"/>
    <w:pPr>
      <w:widowControl w:val="0"/>
      <w:ind w:left="200" w:leftChars="20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paragraph" w:styleId="3">
    <w:name w:val="Normal (Web)"/>
    <w:next w:val="1"/>
    <w:unhideWhenUsed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4"/>
      <w:szCs w:val="22"/>
      <w:lang w:val="en-US" w:eastAsia="zh-CN" w:bidi="ar-SA"/>
    </w:rPr>
  </w:style>
  <w:style w:type="paragraph" w:customStyle="1" w:styleId="6">
    <w:name w:val="普通(网站)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2023-11-17T11:06:00Z</dcterms:created>
  <dc:creator>baixin</dc:creator>
  <cp:lastModifiedBy>baixin</cp:lastModifiedBy>
  <dcterms:modified xsi:type="dcterms:W3CDTF">2023-11-17T11:06:28Z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2052-11.1.0.10161</vt:lpwstr>
  </property>
</Properties>
</file>