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auto"/>
        <w:rPr>
          <w:rFonts w:hint="eastAsia" w:ascii="仿宋_GB2312" w:hAnsi="Times New Roman" w:eastAsia="仿宋_GB2312" w:cs="Times New Roman"/>
          <w:color w:val="auto"/>
          <w:sz w:val="30"/>
          <w:szCs w:val="30"/>
        </w:rPr>
      </w:pPr>
      <w:r>
        <w:rPr>
          <w:rFonts w:hint="eastAsia" w:ascii="仿宋_GB2312" w:hAnsi="Times New Roman" w:eastAsia="仿宋_GB2312" w:cs="Times New Roman"/>
          <w:color w:val="auto"/>
          <w:sz w:val="30"/>
          <w:szCs w:val="30"/>
        </w:rPr>
        <w:t>附件1</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黑体" w:hAnsi="黑体" w:eastAsia="黑体" w:cs="黑体"/>
          <w:b w:val="0"/>
          <w:bCs w:val="0"/>
          <w:color w:val="000000"/>
          <w:sz w:val="44"/>
          <w:szCs w:val="44"/>
        </w:rPr>
      </w:pPr>
      <w:bookmarkStart w:id="0" w:name="_GoBack"/>
      <w:r>
        <w:rPr>
          <w:rFonts w:hint="eastAsia" w:ascii="黑体" w:hAnsi="黑体" w:eastAsia="黑体" w:cs="黑体"/>
          <w:b w:val="0"/>
          <w:bCs w:val="0"/>
          <w:color w:val="auto"/>
          <w:spacing w:val="-4"/>
          <w:kern w:val="2"/>
          <w:sz w:val="44"/>
          <w:szCs w:val="44"/>
          <w:lang w:val="en-US" w:eastAsia="zh-CN" w:bidi="ar-SA"/>
        </w:rPr>
        <w:t>2021—2023年全县农机购置补贴操作程序</w:t>
      </w:r>
    </w:p>
    <w:bookmarkEnd w:id="0"/>
    <w:p>
      <w:pPr>
        <w:keepNext w:val="0"/>
        <w:keepLines w:val="0"/>
        <w:pageBreakBefore w:val="0"/>
        <w:widowControl/>
        <w:shd w:val="clear" w:color="auto" w:fill="FFFFFF"/>
        <w:kinsoku/>
        <w:wordWrap/>
        <w:overflowPunct/>
        <w:topLinePunct w:val="0"/>
        <w:autoSpaceDE/>
        <w:autoSpaceDN/>
        <w:bidi w:val="0"/>
        <w:adjustRightInd/>
        <w:spacing w:line="600" w:lineRule="exact"/>
        <w:ind w:firstLine="640" w:firstLineChars="200"/>
        <w:textAlignment w:val="auto"/>
        <w:outlineLvl w:val="9"/>
        <w:rPr>
          <w:rFonts w:hint="eastAsia" w:ascii="仿宋_GB2312" w:hAnsi="Times New Roman" w:eastAsia="仿宋_GB2312" w:cs="Times New Roman"/>
          <w:bCs/>
          <w:color w:val="auto"/>
          <w:sz w:val="32"/>
          <w:szCs w:val="32"/>
          <w:lang w:val="en-US" w:eastAsia="zh-CN"/>
        </w:rPr>
      </w:pPr>
      <w:r>
        <w:rPr>
          <w:rFonts w:hint="eastAsia" w:ascii="仿宋_GB2312" w:hAnsi="Times New Roman" w:eastAsia="仿宋_GB2312" w:cs="Times New Roman"/>
          <w:bCs/>
          <w:color w:val="auto"/>
          <w:sz w:val="32"/>
          <w:szCs w:val="32"/>
          <w:lang w:val="en-US" w:eastAsia="zh-CN"/>
        </w:rPr>
        <w:t>农机购置补贴政策继续按照“自主购机、定额补贴、先购后补、县级结算、直补到卡（户）”的方式实施。</w:t>
      </w:r>
    </w:p>
    <w:p>
      <w:pPr>
        <w:keepNext w:val="0"/>
        <w:keepLines w:val="0"/>
        <w:pageBreakBefore w:val="0"/>
        <w:kinsoku/>
        <w:wordWrap/>
        <w:overflowPunct/>
        <w:topLinePunct w:val="0"/>
        <w:autoSpaceDE/>
        <w:autoSpaceDN/>
        <w:bidi w:val="0"/>
        <w:adjustRightInd/>
        <w:snapToGrid w:val="0"/>
        <w:spacing w:line="600" w:lineRule="exact"/>
        <w:ind w:firstLine="640" w:firstLineChars="200"/>
        <w:textAlignment w:val="auto"/>
        <w:outlineLvl w:val="9"/>
        <w:rPr>
          <w:rFonts w:hint="eastAsia" w:ascii="黑体" w:hAnsi="黑体" w:eastAsia="黑体" w:cs="黑体"/>
          <w:color w:val="000000"/>
          <w:sz w:val="32"/>
          <w:szCs w:val="32"/>
        </w:rPr>
      </w:pPr>
      <w:r>
        <w:rPr>
          <w:rFonts w:hint="eastAsia" w:ascii="黑体" w:hAnsi="黑体" w:eastAsia="黑体" w:cs="黑体"/>
          <w:color w:val="000000"/>
          <w:sz w:val="32"/>
          <w:szCs w:val="32"/>
        </w:rPr>
        <w:t>一、发布实施规定</w:t>
      </w:r>
    </w:p>
    <w:p>
      <w:pPr>
        <w:keepNext w:val="0"/>
        <w:keepLines w:val="0"/>
        <w:pageBreakBefore w:val="0"/>
        <w:widowControl/>
        <w:shd w:val="clear" w:color="auto" w:fill="FFFFFF"/>
        <w:kinsoku/>
        <w:wordWrap/>
        <w:overflowPunct/>
        <w:topLinePunct w:val="0"/>
        <w:autoSpaceDE/>
        <w:autoSpaceDN/>
        <w:bidi w:val="0"/>
        <w:adjustRightInd/>
        <w:spacing w:line="600" w:lineRule="exact"/>
        <w:ind w:firstLine="640" w:firstLineChars="200"/>
        <w:textAlignment w:val="auto"/>
        <w:outlineLvl w:val="9"/>
        <w:rPr>
          <w:rFonts w:hint="eastAsia" w:ascii="仿宋_GB2312" w:hAnsi="Times New Roman" w:eastAsia="仿宋_GB2312" w:cs="Times New Roman"/>
          <w:bCs/>
          <w:color w:val="auto"/>
          <w:sz w:val="32"/>
          <w:szCs w:val="32"/>
          <w:lang w:val="en-US" w:eastAsia="zh-CN"/>
        </w:rPr>
      </w:pPr>
      <w:r>
        <w:rPr>
          <w:rFonts w:hint="eastAsia" w:ascii="仿宋_GB2312" w:hAnsi="Times New Roman" w:eastAsia="仿宋_GB2312" w:cs="Times New Roman"/>
          <w:bCs/>
          <w:color w:val="auto"/>
          <w:sz w:val="32"/>
          <w:szCs w:val="32"/>
          <w:lang w:val="en-US" w:eastAsia="zh-CN"/>
        </w:rPr>
        <w:t>农业农村（农机）部门、财政部门按职责分工和有关规定发布农机购置补贴工作方案、操作程序、补贴机具信息表、咨询投诉举报电话等信息。</w:t>
      </w:r>
    </w:p>
    <w:p>
      <w:pPr>
        <w:keepNext w:val="0"/>
        <w:keepLines w:val="0"/>
        <w:pageBreakBefore w:val="0"/>
        <w:kinsoku/>
        <w:wordWrap/>
        <w:overflowPunct/>
        <w:topLinePunct w:val="0"/>
        <w:autoSpaceDE/>
        <w:autoSpaceDN/>
        <w:bidi w:val="0"/>
        <w:adjustRightInd/>
        <w:snapToGrid w:val="0"/>
        <w:spacing w:line="600" w:lineRule="exact"/>
        <w:ind w:firstLine="640" w:firstLineChars="200"/>
        <w:textAlignment w:val="auto"/>
        <w:outlineLvl w:val="9"/>
        <w:rPr>
          <w:rFonts w:hint="eastAsia" w:ascii="黑体" w:hAnsi="黑体" w:eastAsia="黑体" w:cs="黑体"/>
          <w:color w:val="000000"/>
          <w:sz w:val="32"/>
          <w:szCs w:val="32"/>
          <w:lang w:eastAsia="zh-CN"/>
        </w:rPr>
      </w:pPr>
      <w:r>
        <w:rPr>
          <w:rFonts w:hint="eastAsia" w:ascii="黑体" w:hAnsi="黑体" w:eastAsia="黑体" w:cs="黑体"/>
          <w:color w:val="000000"/>
          <w:sz w:val="32"/>
          <w:szCs w:val="32"/>
          <w:lang w:eastAsia="zh-CN"/>
        </w:rPr>
        <w:t>二、自主购机</w:t>
      </w:r>
    </w:p>
    <w:p>
      <w:pPr>
        <w:keepNext w:val="0"/>
        <w:keepLines w:val="0"/>
        <w:pageBreakBefore w:val="0"/>
        <w:widowControl/>
        <w:shd w:val="clear" w:color="auto" w:fill="FFFFFF"/>
        <w:kinsoku/>
        <w:wordWrap/>
        <w:overflowPunct/>
        <w:topLinePunct w:val="0"/>
        <w:autoSpaceDE/>
        <w:autoSpaceDN/>
        <w:bidi w:val="0"/>
        <w:adjustRightInd/>
        <w:spacing w:line="600" w:lineRule="exact"/>
        <w:ind w:firstLine="640" w:firstLineChars="200"/>
        <w:textAlignment w:val="auto"/>
        <w:outlineLvl w:val="9"/>
        <w:rPr>
          <w:rFonts w:hint="eastAsia" w:ascii="仿宋_GB2312" w:hAnsi="Times New Roman" w:eastAsia="仿宋_GB2312" w:cs="Times New Roman"/>
          <w:bCs/>
          <w:color w:val="auto"/>
          <w:sz w:val="32"/>
          <w:szCs w:val="32"/>
          <w:lang w:val="en-US" w:eastAsia="zh-CN"/>
        </w:rPr>
      </w:pPr>
      <w:r>
        <w:rPr>
          <w:rFonts w:hint="eastAsia" w:ascii="仿宋_GB2312" w:hAnsi="Times New Roman" w:eastAsia="仿宋_GB2312" w:cs="Times New Roman"/>
          <w:bCs/>
          <w:color w:val="auto"/>
          <w:sz w:val="32"/>
          <w:szCs w:val="32"/>
          <w:lang w:val="en-US" w:eastAsia="zh-CN"/>
        </w:rPr>
        <w:t>购机者自主选择购买机具，按市场化原则自行与农机产销企业协商确定购机价格与支付方式，并对交易行为真实性、有效性和可能发生的纠纷承担法律责任，农机产销企业开具标明购机者和机具信息的销售发票，其真实性、完整性和有效性由购机者和补贴机具产销企业负责，并承担相关责任。推行非现金方式支付购机款，便于对购置行为及资金往来全程留痕，有效遏制不规范经营行为的发生。</w:t>
      </w:r>
    </w:p>
    <w:p>
      <w:pPr>
        <w:keepNext w:val="0"/>
        <w:keepLines w:val="0"/>
        <w:pageBreakBefore w:val="0"/>
        <w:kinsoku/>
        <w:wordWrap/>
        <w:overflowPunct/>
        <w:topLinePunct w:val="0"/>
        <w:autoSpaceDE/>
        <w:autoSpaceDN/>
        <w:bidi w:val="0"/>
        <w:adjustRightInd/>
        <w:snapToGrid w:val="0"/>
        <w:spacing w:line="600" w:lineRule="exact"/>
        <w:ind w:firstLine="640" w:firstLineChars="200"/>
        <w:textAlignment w:val="auto"/>
        <w:outlineLvl w:val="9"/>
        <w:rPr>
          <w:rFonts w:hint="eastAsia" w:ascii="黑体" w:hAnsi="黑体" w:eastAsia="黑体" w:cs="黑体"/>
          <w:color w:val="000000"/>
          <w:sz w:val="32"/>
          <w:szCs w:val="32"/>
          <w:lang w:val="en-US" w:eastAsia="zh-CN"/>
        </w:rPr>
      </w:pPr>
      <w:r>
        <w:rPr>
          <w:rFonts w:hint="eastAsia" w:ascii="黑体" w:hAnsi="黑体" w:eastAsia="黑体" w:cs="黑体"/>
          <w:color w:val="000000"/>
          <w:sz w:val="32"/>
          <w:szCs w:val="32"/>
          <w:lang w:eastAsia="zh-CN"/>
        </w:rPr>
        <w:t>三、申请补贴</w:t>
      </w:r>
    </w:p>
    <w:p>
      <w:pPr>
        <w:keepNext w:val="0"/>
        <w:keepLines w:val="0"/>
        <w:pageBreakBefore w:val="0"/>
        <w:widowControl/>
        <w:shd w:val="clear" w:color="auto" w:fill="FFFFFF"/>
        <w:kinsoku/>
        <w:wordWrap/>
        <w:overflowPunct/>
        <w:topLinePunct w:val="0"/>
        <w:autoSpaceDE/>
        <w:autoSpaceDN/>
        <w:bidi w:val="0"/>
        <w:adjustRightInd/>
        <w:spacing w:line="600" w:lineRule="exact"/>
        <w:ind w:firstLine="640" w:firstLineChars="200"/>
        <w:textAlignment w:val="auto"/>
        <w:outlineLvl w:val="9"/>
        <w:rPr>
          <w:rFonts w:hint="eastAsia" w:ascii="仿宋_GB2312" w:hAnsi="Times New Roman" w:eastAsia="仿宋_GB2312" w:cs="Times New Roman"/>
          <w:bCs/>
          <w:color w:val="auto"/>
          <w:sz w:val="32"/>
          <w:szCs w:val="32"/>
          <w:lang w:val="en-US" w:eastAsia="zh-CN"/>
        </w:rPr>
      </w:pPr>
      <w:r>
        <w:rPr>
          <w:rFonts w:hint="eastAsia" w:ascii="仿宋_GB2312" w:hAnsi="Times New Roman" w:eastAsia="仿宋_GB2312" w:cs="Times New Roman"/>
          <w:bCs/>
          <w:color w:val="auto"/>
          <w:sz w:val="32"/>
          <w:szCs w:val="32"/>
          <w:lang w:val="en-US" w:eastAsia="zh-CN"/>
        </w:rPr>
        <w:t>购机行为完成后，购机者自主向当地农业农村（农机）部门或使用手机APP（可登录山西农机化信息网相关网页通过扫描二维码的方式下载安装“农机购置补贴”APP）提出补贴资金申领事项，签署告知承诺书，承诺购买行为、发票、购机价格等信息真实有效。</w:t>
      </w:r>
    </w:p>
    <w:p>
      <w:pPr>
        <w:keepNext w:val="0"/>
        <w:keepLines w:val="0"/>
        <w:pageBreakBefore w:val="0"/>
        <w:kinsoku/>
        <w:wordWrap/>
        <w:overflowPunct/>
        <w:topLinePunct w:val="0"/>
        <w:autoSpaceDE/>
        <w:autoSpaceDN/>
        <w:bidi w:val="0"/>
        <w:adjustRightInd/>
        <w:snapToGrid w:val="0"/>
        <w:spacing w:line="600" w:lineRule="exact"/>
        <w:ind w:firstLine="640" w:firstLineChars="200"/>
        <w:textAlignment w:val="auto"/>
        <w:outlineLvl w:val="9"/>
        <w:rPr>
          <w:rFonts w:hint="eastAsia" w:ascii="黑体" w:hAnsi="黑体" w:eastAsia="黑体" w:cs="黑体"/>
          <w:color w:val="000000"/>
          <w:sz w:val="32"/>
          <w:szCs w:val="32"/>
          <w:lang w:eastAsia="zh-CN"/>
        </w:rPr>
      </w:pPr>
      <w:r>
        <w:rPr>
          <w:rFonts w:hint="eastAsia" w:ascii="黑体" w:hAnsi="黑体" w:eastAsia="黑体" w:cs="黑体"/>
          <w:color w:val="000000"/>
          <w:sz w:val="32"/>
          <w:szCs w:val="32"/>
          <w:lang w:eastAsia="zh-CN"/>
        </w:rPr>
        <w:t>四、受理补贴申请</w:t>
      </w:r>
    </w:p>
    <w:p>
      <w:pPr>
        <w:keepNext w:val="0"/>
        <w:keepLines w:val="0"/>
        <w:pageBreakBefore w:val="0"/>
        <w:widowControl/>
        <w:shd w:val="clear" w:color="auto" w:fill="FFFFFF"/>
        <w:kinsoku/>
        <w:wordWrap/>
        <w:overflowPunct/>
        <w:topLinePunct w:val="0"/>
        <w:autoSpaceDE/>
        <w:autoSpaceDN/>
        <w:bidi w:val="0"/>
        <w:adjustRightInd/>
        <w:spacing w:line="600" w:lineRule="exact"/>
        <w:ind w:firstLine="640" w:firstLineChars="200"/>
        <w:textAlignment w:val="auto"/>
        <w:outlineLvl w:val="9"/>
        <w:rPr>
          <w:rFonts w:hint="eastAsia" w:ascii="仿宋_GB2312" w:hAnsi="Times New Roman" w:eastAsia="仿宋_GB2312" w:cs="Times New Roman"/>
          <w:bCs/>
          <w:color w:val="auto"/>
          <w:sz w:val="32"/>
          <w:szCs w:val="32"/>
          <w:lang w:val="en-US" w:eastAsia="zh-CN"/>
        </w:rPr>
      </w:pPr>
      <w:r>
        <w:rPr>
          <w:rFonts w:hint="eastAsia" w:ascii="仿宋_GB2312" w:hAnsi="Times New Roman" w:eastAsia="仿宋_GB2312" w:cs="Times New Roman"/>
          <w:bCs/>
          <w:color w:val="auto"/>
          <w:sz w:val="32"/>
          <w:szCs w:val="32"/>
          <w:lang w:val="en-US" w:eastAsia="zh-CN"/>
        </w:rPr>
        <w:t>农业农村（农机）部门全面实行办理服务系统常年连续开放，逐步推广使用带有人脸识别功能的手机APP等信息化技术，方便购机者随时在线提交补贴申请。为购机者提供机具核验、补贴申请受理、牌证管理等一站式服务，加快实现购机者线下申领补贴“最多跑一次”“最多跑一地”。农机购置补贴资金申请数量达到当年可用资金（含结转资金和调剂资金）总量110%时，及时在信息公开专栏发布公告，停止受理补贴申请。</w:t>
      </w:r>
    </w:p>
    <w:p>
      <w:pPr>
        <w:keepNext w:val="0"/>
        <w:keepLines w:val="0"/>
        <w:pageBreakBefore w:val="0"/>
        <w:kinsoku/>
        <w:wordWrap/>
        <w:overflowPunct/>
        <w:topLinePunct w:val="0"/>
        <w:autoSpaceDE/>
        <w:autoSpaceDN/>
        <w:bidi w:val="0"/>
        <w:adjustRightInd/>
        <w:snapToGrid w:val="0"/>
        <w:spacing w:line="600" w:lineRule="exact"/>
        <w:ind w:firstLine="640" w:firstLineChars="200"/>
        <w:textAlignment w:val="auto"/>
        <w:outlineLvl w:val="9"/>
        <w:rPr>
          <w:rFonts w:hint="eastAsia" w:ascii="黑体" w:hAnsi="黑体" w:eastAsia="黑体" w:cs="黑体"/>
          <w:color w:val="000000"/>
          <w:sz w:val="32"/>
          <w:szCs w:val="32"/>
          <w:lang w:eastAsia="zh-CN"/>
        </w:rPr>
      </w:pPr>
      <w:r>
        <w:rPr>
          <w:rFonts w:hint="eastAsia" w:ascii="黑体" w:hAnsi="黑体" w:eastAsia="黑体" w:cs="黑体"/>
          <w:color w:val="000000"/>
          <w:sz w:val="32"/>
          <w:szCs w:val="32"/>
          <w:lang w:eastAsia="zh-CN"/>
        </w:rPr>
        <w:t>五、审验信息</w:t>
      </w:r>
    </w:p>
    <w:p>
      <w:pPr>
        <w:keepNext w:val="0"/>
        <w:keepLines w:val="0"/>
        <w:pageBreakBefore w:val="0"/>
        <w:widowControl/>
        <w:shd w:val="clear" w:color="auto" w:fill="FFFFFF"/>
        <w:kinsoku/>
        <w:wordWrap/>
        <w:overflowPunct/>
        <w:topLinePunct w:val="0"/>
        <w:autoSpaceDE/>
        <w:autoSpaceDN/>
        <w:bidi w:val="0"/>
        <w:adjustRightInd/>
        <w:spacing w:line="600" w:lineRule="exact"/>
        <w:ind w:firstLine="640" w:firstLineChars="200"/>
        <w:textAlignment w:val="auto"/>
        <w:outlineLvl w:val="9"/>
        <w:rPr>
          <w:rFonts w:hint="eastAsia" w:ascii="黑体" w:hAnsi="黑体" w:eastAsia="黑体" w:cs="黑体"/>
          <w:color w:val="000000"/>
          <w:sz w:val="32"/>
          <w:szCs w:val="32"/>
          <w:lang w:eastAsia="zh-CN"/>
        </w:rPr>
      </w:pPr>
      <w:r>
        <w:rPr>
          <w:rFonts w:hint="eastAsia" w:ascii="仿宋_GB2312" w:hAnsi="Times New Roman" w:eastAsia="仿宋_GB2312" w:cs="Times New Roman"/>
          <w:bCs/>
          <w:color w:val="auto"/>
          <w:sz w:val="32"/>
          <w:szCs w:val="32"/>
          <w:lang w:val="en-US" w:eastAsia="zh-CN"/>
        </w:rPr>
        <w:t>农业农村（农机）部门按照《曲沃县农机购置补贴产品核验工作规程（试行）》(见附件2)， 对申请补贴相关资料进行形式审核，对补贴机具进行核验，其中牌证管理机具凭牌证免于现场实物核验。农业农村（农机）部门在收到购机者补贴申请后，将在2个工作日内做出是否受理的决定，对因资料不齐全等原因无法受理的，注明原因，并按原渠道退回申请；对符合条件可以受理的，在13个工作日内（不含公示时间）完成相关核验工作。</w:t>
      </w:r>
    </w:p>
    <w:p>
      <w:pPr>
        <w:keepNext w:val="0"/>
        <w:keepLines w:val="0"/>
        <w:pageBreakBefore w:val="0"/>
        <w:kinsoku/>
        <w:wordWrap/>
        <w:overflowPunct/>
        <w:topLinePunct w:val="0"/>
        <w:autoSpaceDE/>
        <w:autoSpaceDN/>
        <w:bidi w:val="0"/>
        <w:adjustRightInd/>
        <w:snapToGrid w:val="0"/>
        <w:spacing w:line="600" w:lineRule="exact"/>
        <w:ind w:firstLine="640" w:firstLineChars="200"/>
        <w:textAlignment w:val="auto"/>
        <w:outlineLvl w:val="9"/>
        <w:rPr>
          <w:rFonts w:hint="eastAsia" w:ascii="黑体" w:hAnsi="黑体" w:eastAsia="黑体" w:cs="黑体"/>
          <w:color w:val="000000"/>
          <w:sz w:val="32"/>
          <w:szCs w:val="32"/>
          <w:lang w:eastAsia="zh-CN"/>
        </w:rPr>
      </w:pPr>
      <w:r>
        <w:rPr>
          <w:rFonts w:hint="eastAsia" w:ascii="黑体" w:hAnsi="黑体" w:eastAsia="黑体" w:cs="黑体"/>
          <w:color w:val="000000"/>
          <w:sz w:val="32"/>
          <w:szCs w:val="32"/>
          <w:lang w:eastAsia="zh-CN"/>
        </w:rPr>
        <w:t>六、补贴公示</w:t>
      </w:r>
    </w:p>
    <w:p>
      <w:pPr>
        <w:keepNext w:val="0"/>
        <w:keepLines w:val="0"/>
        <w:pageBreakBefore w:val="0"/>
        <w:widowControl/>
        <w:shd w:val="clear" w:color="auto" w:fill="FFFFFF"/>
        <w:kinsoku/>
        <w:wordWrap/>
        <w:overflowPunct/>
        <w:topLinePunct w:val="0"/>
        <w:autoSpaceDE/>
        <w:autoSpaceDN/>
        <w:bidi w:val="0"/>
        <w:adjustRightInd/>
        <w:spacing w:line="600" w:lineRule="exact"/>
        <w:ind w:firstLine="640" w:firstLineChars="200"/>
        <w:textAlignment w:val="auto"/>
        <w:outlineLvl w:val="9"/>
        <w:rPr>
          <w:rFonts w:hint="eastAsia" w:ascii="仿宋_GB2312" w:hAnsi="Times New Roman" w:eastAsia="仿宋_GB2312" w:cs="Times New Roman"/>
          <w:bCs/>
          <w:color w:val="auto"/>
          <w:sz w:val="32"/>
          <w:szCs w:val="32"/>
          <w:lang w:val="en-US" w:eastAsia="zh-CN"/>
        </w:rPr>
      </w:pPr>
      <w:r>
        <w:rPr>
          <w:rFonts w:hint="eastAsia" w:ascii="仿宋_GB2312" w:hAnsi="Times New Roman" w:eastAsia="仿宋_GB2312" w:cs="Times New Roman"/>
          <w:bCs/>
          <w:color w:val="auto"/>
          <w:sz w:val="32"/>
          <w:szCs w:val="32"/>
          <w:lang w:val="en-US" w:eastAsia="zh-CN"/>
        </w:rPr>
        <w:t>对核验通过的补贴申请信息在农机购置补贴信息公开专栏进行为期5个工作日的公示，公示无异议后，汇总形成农机购置补贴资金发放明细表（见附表）等有关材料，报送县级财政部门。</w:t>
      </w:r>
    </w:p>
    <w:p>
      <w:pPr>
        <w:keepNext w:val="0"/>
        <w:keepLines w:val="0"/>
        <w:pageBreakBefore w:val="0"/>
        <w:widowControl/>
        <w:shd w:val="clear" w:color="auto" w:fill="FFFFFF"/>
        <w:kinsoku/>
        <w:wordWrap/>
        <w:overflowPunct/>
        <w:topLinePunct w:val="0"/>
        <w:autoSpaceDE/>
        <w:autoSpaceDN/>
        <w:bidi w:val="0"/>
        <w:adjustRightInd/>
        <w:spacing w:line="600" w:lineRule="exact"/>
        <w:ind w:firstLine="640" w:firstLineChars="200"/>
        <w:textAlignment w:val="auto"/>
        <w:outlineLvl w:val="9"/>
        <w:rPr>
          <w:rFonts w:hint="eastAsia" w:ascii="仿宋" w:hAnsi="仿宋" w:eastAsia="仿宋" w:cs="仿宋"/>
          <w:color w:val="000000"/>
          <w:sz w:val="32"/>
          <w:szCs w:val="20"/>
          <w:lang w:val="en-US" w:eastAsia="zh-CN"/>
        </w:rPr>
      </w:pPr>
      <w:r>
        <w:rPr>
          <w:rFonts w:hint="eastAsia" w:ascii="仿宋_GB2312" w:hAnsi="Times New Roman" w:eastAsia="仿宋_GB2312" w:cs="Times New Roman"/>
          <w:bCs/>
          <w:color w:val="auto"/>
          <w:sz w:val="32"/>
          <w:szCs w:val="32"/>
          <w:lang w:val="en-US" w:eastAsia="zh-CN"/>
        </w:rPr>
        <w:t>核验、公示报送材料时间不超过20个工作日。在乡村或补贴申请点公示栏中同时公开公示信息。</w:t>
      </w:r>
    </w:p>
    <w:p>
      <w:pPr>
        <w:keepNext w:val="0"/>
        <w:keepLines w:val="0"/>
        <w:pageBreakBefore w:val="0"/>
        <w:kinsoku/>
        <w:wordWrap/>
        <w:overflowPunct/>
        <w:topLinePunct w:val="0"/>
        <w:autoSpaceDE/>
        <w:autoSpaceDN/>
        <w:bidi w:val="0"/>
        <w:adjustRightInd/>
        <w:snapToGrid w:val="0"/>
        <w:spacing w:line="600" w:lineRule="exact"/>
        <w:ind w:firstLine="640" w:firstLineChars="200"/>
        <w:textAlignment w:val="auto"/>
        <w:outlineLvl w:val="9"/>
        <w:rPr>
          <w:rFonts w:hint="eastAsia" w:ascii="黑体" w:hAnsi="黑体" w:eastAsia="黑体" w:cs="黑体"/>
          <w:color w:val="000000"/>
          <w:sz w:val="32"/>
          <w:szCs w:val="32"/>
          <w:lang w:val="en-US" w:eastAsia="zh-CN"/>
        </w:rPr>
      </w:pPr>
      <w:r>
        <w:rPr>
          <w:rFonts w:hint="eastAsia" w:ascii="黑体" w:hAnsi="黑体" w:eastAsia="黑体" w:cs="黑体"/>
          <w:color w:val="000000"/>
          <w:sz w:val="32"/>
          <w:szCs w:val="32"/>
          <w:lang w:val="en-US" w:eastAsia="zh-CN"/>
        </w:rPr>
        <w:t>七、兑付补贴资金</w:t>
      </w:r>
    </w:p>
    <w:p>
      <w:pPr>
        <w:keepNext w:val="0"/>
        <w:keepLines w:val="0"/>
        <w:pageBreakBefore w:val="0"/>
        <w:widowControl/>
        <w:shd w:val="clear" w:color="auto" w:fill="FFFFFF"/>
        <w:kinsoku/>
        <w:wordWrap/>
        <w:overflowPunct/>
        <w:topLinePunct w:val="0"/>
        <w:autoSpaceDE/>
        <w:autoSpaceDN/>
        <w:bidi w:val="0"/>
        <w:adjustRightInd/>
        <w:spacing w:line="600" w:lineRule="exact"/>
        <w:ind w:firstLine="640" w:firstLineChars="200"/>
        <w:textAlignment w:val="auto"/>
        <w:outlineLvl w:val="9"/>
        <w:rPr>
          <w:rFonts w:hint="eastAsia" w:ascii="仿宋_GB2312" w:hAnsi="Times New Roman" w:eastAsia="仿宋_GB2312" w:cs="Times New Roman"/>
          <w:bCs/>
          <w:color w:val="auto"/>
          <w:sz w:val="32"/>
          <w:szCs w:val="32"/>
          <w:lang w:val="en-US" w:eastAsia="zh-CN"/>
        </w:rPr>
      </w:pPr>
      <w:r>
        <w:rPr>
          <w:rFonts w:hint="eastAsia" w:ascii="仿宋_GB2312" w:hAnsi="Times New Roman" w:eastAsia="仿宋_GB2312" w:cs="Times New Roman"/>
          <w:bCs/>
          <w:color w:val="auto"/>
          <w:sz w:val="32"/>
          <w:szCs w:val="32"/>
          <w:lang w:val="en-US" w:eastAsia="zh-CN"/>
        </w:rPr>
        <w:t>财政部门审核农业农村（农机）部门提交的资金兑付申请与有关材料，对符合补贴要求的兑付申请，按照先操作办理服务系统后通过国库集中支付的程序，于15个工作日内向符合要求的购机者兑付资金。严禁挤占挪用农机购置补贴资金。因资金不足或加强监管等原因需要延期兑付的，应告知购机者，并及时与同级农业农村部门联合向上一级财政部门和农业农村部门报告资金供需情况。补贴申领原则上当年有效，因当年财政补贴资金规模不够、办理手续时间紧张等无法享受补贴的，可在下一个年度优先兑付。因违规、退货等原因退回的补贴资金由县级财政部门纳入补贴资金计划，继续使用。退货档案材料由经销企业交县级农业农村（农机）部门保存。</w:t>
      </w:r>
    </w:p>
    <w:p>
      <w:pPr>
        <w:keepNext w:val="0"/>
        <w:keepLines w:val="0"/>
        <w:pageBreakBefore w:val="0"/>
        <w:widowControl/>
        <w:shd w:val="clear" w:color="auto" w:fill="FFFFFF"/>
        <w:kinsoku/>
        <w:wordWrap/>
        <w:overflowPunct/>
        <w:topLinePunct w:val="0"/>
        <w:autoSpaceDE/>
        <w:autoSpaceDN/>
        <w:bidi w:val="0"/>
        <w:adjustRightInd/>
        <w:spacing w:line="600" w:lineRule="exact"/>
        <w:ind w:firstLine="640" w:firstLineChars="200"/>
        <w:textAlignment w:val="auto"/>
        <w:outlineLvl w:val="9"/>
        <w:rPr>
          <w:rFonts w:hint="eastAsia" w:ascii="仿宋_GB2312" w:hAnsi="Times New Roman" w:eastAsia="仿宋_GB2312" w:cs="Times New Roman"/>
          <w:bCs/>
          <w:color w:val="auto"/>
          <w:sz w:val="32"/>
          <w:szCs w:val="32"/>
          <w:lang w:val="en-US" w:eastAsia="zh-CN"/>
        </w:rPr>
      </w:pPr>
      <w:r>
        <w:rPr>
          <w:rFonts w:hint="eastAsia" w:ascii="仿宋_GB2312" w:hAnsi="Times New Roman" w:eastAsia="仿宋_GB2312" w:cs="Times New Roman"/>
          <w:bCs/>
          <w:color w:val="auto"/>
          <w:sz w:val="32"/>
          <w:szCs w:val="32"/>
          <w:lang w:val="en-US" w:eastAsia="zh-CN"/>
        </w:rPr>
        <w:t>补贴政策实行跨年度连续实施，除发生违规行为或补贴资金超录外，不得以任何理由限制购机者提交补贴申请，且补贴机具资质、补贴标准和办理程序等均按购机者提交补贴申请并录入办理服务系统时的相关规定执行，不受政策调整影响，切实稳定购机者补贴申领预期。购机者对其购置的补贴机具拥有所有权，可自主使用、依法依规处置。</w:t>
      </w:r>
    </w:p>
    <w:p>
      <w:pPr>
        <w:keepNext w:val="0"/>
        <w:keepLines w:val="0"/>
        <w:pageBreakBefore w:val="0"/>
        <w:widowControl/>
        <w:shd w:val="clear" w:color="auto" w:fill="FFFFFF"/>
        <w:kinsoku/>
        <w:wordWrap/>
        <w:overflowPunct/>
        <w:topLinePunct w:val="0"/>
        <w:autoSpaceDE/>
        <w:autoSpaceDN/>
        <w:bidi w:val="0"/>
        <w:adjustRightInd/>
        <w:snapToGrid/>
        <w:spacing w:line="600" w:lineRule="exact"/>
        <w:ind w:firstLine="640" w:firstLineChars="200"/>
        <w:textAlignment w:val="auto"/>
        <w:outlineLvl w:val="9"/>
        <w:rPr>
          <w:rFonts w:hint="eastAsia" w:ascii="仿宋_GB2312" w:hAnsi="Times New Roman" w:eastAsia="仿宋_GB2312" w:cs="Times New Roman"/>
          <w:bCs/>
          <w:color w:val="auto"/>
          <w:sz w:val="32"/>
          <w:szCs w:val="32"/>
          <w:lang w:val="en-US" w:eastAsia="zh-CN"/>
        </w:rPr>
      </w:pPr>
      <w:r>
        <w:rPr>
          <w:rFonts w:hint="eastAsia" w:ascii="仿宋_GB2312" w:hAnsi="Times New Roman" w:eastAsia="仿宋_GB2312" w:cs="Times New Roman"/>
          <w:bCs/>
          <w:color w:val="auto"/>
          <w:sz w:val="32"/>
          <w:szCs w:val="32"/>
          <w:lang w:val="en-US" w:eastAsia="zh-CN"/>
        </w:rPr>
        <w:t>附表：农机购置补贴发放明细表</w:t>
      </w:r>
    </w:p>
    <w:p>
      <w:pPr>
        <w:pStyle w:val="2"/>
        <w:rPr>
          <w:rFonts w:hint="eastAsia" w:ascii="仿宋_GB2312" w:hAnsi="Times New Roman" w:eastAsia="仿宋_GB2312" w:cs="Times New Roman"/>
          <w:bCs/>
          <w:color w:val="auto"/>
          <w:sz w:val="32"/>
          <w:szCs w:val="32"/>
          <w:lang w:val="en-US" w:eastAsia="zh-CN"/>
        </w:rPr>
      </w:pPr>
    </w:p>
    <w:p>
      <w:pPr>
        <w:spacing w:line="590" w:lineRule="exact"/>
        <w:rPr>
          <w:rFonts w:ascii="方正小标宋简体" w:hAnsi="仿宋" w:eastAsia="方正小标宋简体" w:cs="宋体"/>
          <w:bCs/>
          <w:color w:val="000000"/>
          <w:kern w:val="0"/>
          <w:sz w:val="32"/>
          <w:szCs w:val="27"/>
        </w:rPr>
      </w:pPr>
      <w:r>
        <w:rPr>
          <w:rFonts w:hint="eastAsia" w:ascii="黑体" w:hAnsi="黑体" w:eastAsia="黑体" w:cs="黑体"/>
          <w:bCs/>
          <w:color w:val="000000"/>
          <w:kern w:val="0"/>
          <w:sz w:val="32"/>
          <w:szCs w:val="27"/>
        </w:rPr>
        <w:t>附表</w:t>
      </w:r>
    </w:p>
    <w:p>
      <w:pPr>
        <w:spacing w:line="590" w:lineRule="exact"/>
        <w:jc w:val="center"/>
        <w:rPr>
          <w:rFonts w:ascii="方正小标宋简体" w:hAnsi="仿宋" w:eastAsia="方正小标宋简体"/>
          <w:color w:val="000000"/>
          <w:sz w:val="44"/>
          <w:szCs w:val="44"/>
        </w:rPr>
      </w:pPr>
      <w:r>
        <w:rPr>
          <w:rFonts w:hint="eastAsia" w:ascii="方正小标宋简体" w:hAnsi="仿宋" w:eastAsia="方正小标宋简体"/>
          <w:color w:val="000000"/>
          <w:sz w:val="44"/>
          <w:szCs w:val="44"/>
        </w:rPr>
        <w:t>农机购置补贴发放明细表</w:t>
      </w:r>
    </w:p>
    <w:p>
      <w:pPr>
        <w:spacing w:line="590" w:lineRule="exact"/>
        <w:ind w:firstLine="300" w:firstLineChars="1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填报单位(盖章)：                                         填报时间：      年     月    日</w:t>
      </w:r>
    </w:p>
    <w:tbl>
      <w:tblPr>
        <w:tblStyle w:val="5"/>
        <w:tblW w:w="13358"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2772"/>
        <w:gridCol w:w="2053"/>
        <w:gridCol w:w="1401"/>
        <w:gridCol w:w="2013"/>
        <w:gridCol w:w="2347"/>
        <w:gridCol w:w="2772"/>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498" w:hRule="atLeast"/>
          <w:jc w:val="center"/>
        </w:trPr>
        <w:tc>
          <w:tcPr>
            <w:tcW w:w="2772" w:type="dxa"/>
            <w:noWrap w:val="0"/>
            <w:vAlign w:val="center"/>
          </w:tcPr>
          <w:p>
            <w:pPr>
              <w:spacing w:line="590" w:lineRule="exact"/>
              <w:jc w:val="center"/>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申请表编号</w:t>
            </w:r>
          </w:p>
        </w:tc>
        <w:tc>
          <w:tcPr>
            <w:tcW w:w="2053" w:type="dxa"/>
            <w:noWrap w:val="0"/>
            <w:vAlign w:val="center"/>
          </w:tcPr>
          <w:p>
            <w:pPr>
              <w:spacing w:line="590" w:lineRule="exact"/>
              <w:jc w:val="center"/>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购机者姓名</w:t>
            </w:r>
          </w:p>
        </w:tc>
        <w:tc>
          <w:tcPr>
            <w:tcW w:w="1401" w:type="dxa"/>
            <w:noWrap w:val="0"/>
            <w:vAlign w:val="center"/>
          </w:tcPr>
          <w:p>
            <w:pPr>
              <w:spacing w:line="590" w:lineRule="exact"/>
              <w:jc w:val="center"/>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机具</w:t>
            </w:r>
          </w:p>
          <w:p>
            <w:pPr>
              <w:spacing w:line="590" w:lineRule="exact"/>
              <w:jc w:val="center"/>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名称</w:t>
            </w:r>
          </w:p>
        </w:tc>
        <w:tc>
          <w:tcPr>
            <w:tcW w:w="2013" w:type="dxa"/>
            <w:noWrap w:val="0"/>
            <w:vAlign w:val="center"/>
          </w:tcPr>
          <w:p>
            <w:pPr>
              <w:spacing w:line="590" w:lineRule="exact"/>
              <w:jc w:val="center"/>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机具型号</w:t>
            </w:r>
          </w:p>
        </w:tc>
        <w:tc>
          <w:tcPr>
            <w:tcW w:w="2347" w:type="dxa"/>
            <w:noWrap w:val="0"/>
            <w:vAlign w:val="center"/>
          </w:tcPr>
          <w:p>
            <w:pPr>
              <w:spacing w:line="590" w:lineRule="exact"/>
              <w:jc w:val="center"/>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补贴金额（元）</w:t>
            </w:r>
          </w:p>
        </w:tc>
        <w:tc>
          <w:tcPr>
            <w:tcW w:w="2772" w:type="dxa"/>
            <w:noWrap w:val="0"/>
            <w:vAlign w:val="center"/>
          </w:tcPr>
          <w:p>
            <w:pPr>
              <w:spacing w:line="590" w:lineRule="exact"/>
              <w:jc w:val="center"/>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银行卡号/银行账户</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07" w:hRule="exact"/>
          <w:jc w:val="center"/>
        </w:trPr>
        <w:tc>
          <w:tcPr>
            <w:tcW w:w="2772" w:type="dxa"/>
            <w:noWrap w:val="0"/>
            <w:vAlign w:val="center"/>
          </w:tcPr>
          <w:p>
            <w:pPr>
              <w:spacing w:line="590" w:lineRule="exact"/>
              <w:rPr>
                <w:rFonts w:ascii="仿宋_GB2312" w:hAnsi="仿宋_GB2312" w:eastAsia="仿宋_GB2312" w:cs="仿宋_GB2312"/>
                <w:b/>
                <w:bCs/>
                <w:color w:val="000000"/>
                <w:sz w:val="30"/>
                <w:szCs w:val="30"/>
              </w:rPr>
            </w:pPr>
          </w:p>
        </w:tc>
        <w:tc>
          <w:tcPr>
            <w:tcW w:w="2053" w:type="dxa"/>
            <w:noWrap w:val="0"/>
            <w:vAlign w:val="center"/>
          </w:tcPr>
          <w:p>
            <w:pPr>
              <w:spacing w:line="590" w:lineRule="exact"/>
              <w:rPr>
                <w:rFonts w:ascii="仿宋_GB2312" w:hAnsi="仿宋_GB2312" w:eastAsia="仿宋_GB2312" w:cs="仿宋_GB2312"/>
                <w:b/>
                <w:bCs/>
                <w:color w:val="000000"/>
                <w:sz w:val="30"/>
                <w:szCs w:val="30"/>
              </w:rPr>
            </w:pPr>
          </w:p>
        </w:tc>
        <w:tc>
          <w:tcPr>
            <w:tcW w:w="1401" w:type="dxa"/>
            <w:noWrap w:val="0"/>
            <w:vAlign w:val="center"/>
          </w:tcPr>
          <w:p>
            <w:pPr>
              <w:spacing w:line="590" w:lineRule="exact"/>
              <w:rPr>
                <w:rFonts w:ascii="仿宋_GB2312" w:hAnsi="仿宋_GB2312" w:eastAsia="仿宋_GB2312" w:cs="仿宋_GB2312"/>
                <w:b/>
                <w:bCs/>
                <w:color w:val="000000"/>
                <w:sz w:val="30"/>
                <w:szCs w:val="30"/>
              </w:rPr>
            </w:pPr>
          </w:p>
        </w:tc>
        <w:tc>
          <w:tcPr>
            <w:tcW w:w="2013" w:type="dxa"/>
            <w:tcBorders>
              <w:right w:val="single" w:color="auto" w:sz="4" w:space="0"/>
            </w:tcBorders>
            <w:noWrap w:val="0"/>
            <w:vAlign w:val="center"/>
          </w:tcPr>
          <w:p>
            <w:pPr>
              <w:spacing w:line="590" w:lineRule="exact"/>
              <w:rPr>
                <w:rFonts w:ascii="仿宋_GB2312" w:hAnsi="仿宋_GB2312" w:eastAsia="仿宋_GB2312" w:cs="仿宋_GB2312"/>
                <w:b/>
                <w:bCs/>
                <w:color w:val="000000"/>
                <w:sz w:val="30"/>
                <w:szCs w:val="30"/>
              </w:rPr>
            </w:pPr>
          </w:p>
        </w:tc>
        <w:tc>
          <w:tcPr>
            <w:tcW w:w="2347" w:type="dxa"/>
            <w:tcBorders>
              <w:left w:val="single" w:color="auto" w:sz="4" w:space="0"/>
            </w:tcBorders>
            <w:noWrap w:val="0"/>
            <w:vAlign w:val="center"/>
          </w:tcPr>
          <w:p>
            <w:pPr>
              <w:spacing w:line="590" w:lineRule="exact"/>
              <w:rPr>
                <w:rFonts w:ascii="仿宋_GB2312" w:hAnsi="仿宋_GB2312" w:eastAsia="仿宋_GB2312" w:cs="仿宋_GB2312"/>
                <w:b/>
                <w:bCs/>
                <w:color w:val="000000"/>
                <w:sz w:val="30"/>
                <w:szCs w:val="30"/>
              </w:rPr>
            </w:pPr>
          </w:p>
        </w:tc>
        <w:tc>
          <w:tcPr>
            <w:tcW w:w="2772" w:type="dxa"/>
            <w:noWrap w:val="0"/>
            <w:vAlign w:val="center"/>
          </w:tcPr>
          <w:p>
            <w:pPr>
              <w:spacing w:line="590" w:lineRule="exact"/>
              <w:rPr>
                <w:rFonts w:ascii="仿宋_GB2312" w:hAnsi="仿宋_GB2312" w:eastAsia="仿宋_GB2312" w:cs="仿宋_GB2312"/>
                <w:b/>
                <w:bCs/>
                <w:color w:val="000000"/>
                <w:sz w:val="30"/>
                <w:szCs w:val="30"/>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07" w:hRule="exact"/>
          <w:jc w:val="center"/>
        </w:trPr>
        <w:tc>
          <w:tcPr>
            <w:tcW w:w="2772" w:type="dxa"/>
            <w:noWrap w:val="0"/>
            <w:vAlign w:val="center"/>
          </w:tcPr>
          <w:p>
            <w:pPr>
              <w:spacing w:line="590" w:lineRule="exact"/>
              <w:rPr>
                <w:rFonts w:ascii="仿宋_GB2312" w:hAnsi="仿宋_GB2312" w:eastAsia="仿宋_GB2312" w:cs="仿宋_GB2312"/>
                <w:b/>
                <w:bCs/>
                <w:color w:val="000000"/>
                <w:sz w:val="30"/>
                <w:szCs w:val="30"/>
              </w:rPr>
            </w:pPr>
          </w:p>
        </w:tc>
        <w:tc>
          <w:tcPr>
            <w:tcW w:w="2053" w:type="dxa"/>
            <w:noWrap w:val="0"/>
            <w:vAlign w:val="center"/>
          </w:tcPr>
          <w:p>
            <w:pPr>
              <w:spacing w:line="590" w:lineRule="exact"/>
              <w:rPr>
                <w:rFonts w:ascii="仿宋_GB2312" w:hAnsi="仿宋_GB2312" w:eastAsia="仿宋_GB2312" w:cs="仿宋_GB2312"/>
                <w:b/>
                <w:bCs/>
                <w:color w:val="000000"/>
                <w:sz w:val="30"/>
                <w:szCs w:val="30"/>
              </w:rPr>
            </w:pPr>
          </w:p>
        </w:tc>
        <w:tc>
          <w:tcPr>
            <w:tcW w:w="1401" w:type="dxa"/>
            <w:noWrap w:val="0"/>
            <w:vAlign w:val="center"/>
          </w:tcPr>
          <w:p>
            <w:pPr>
              <w:spacing w:line="590" w:lineRule="exact"/>
              <w:rPr>
                <w:rFonts w:ascii="仿宋_GB2312" w:hAnsi="仿宋_GB2312" w:eastAsia="仿宋_GB2312" w:cs="仿宋_GB2312"/>
                <w:b/>
                <w:bCs/>
                <w:color w:val="000000"/>
                <w:sz w:val="30"/>
                <w:szCs w:val="30"/>
              </w:rPr>
            </w:pPr>
          </w:p>
        </w:tc>
        <w:tc>
          <w:tcPr>
            <w:tcW w:w="2013" w:type="dxa"/>
            <w:tcBorders>
              <w:right w:val="single" w:color="auto" w:sz="4" w:space="0"/>
            </w:tcBorders>
            <w:noWrap w:val="0"/>
            <w:vAlign w:val="center"/>
          </w:tcPr>
          <w:p>
            <w:pPr>
              <w:spacing w:line="590" w:lineRule="exact"/>
              <w:rPr>
                <w:rFonts w:ascii="仿宋_GB2312" w:hAnsi="仿宋_GB2312" w:eastAsia="仿宋_GB2312" w:cs="仿宋_GB2312"/>
                <w:b/>
                <w:bCs/>
                <w:color w:val="000000"/>
                <w:sz w:val="30"/>
                <w:szCs w:val="30"/>
              </w:rPr>
            </w:pPr>
          </w:p>
        </w:tc>
        <w:tc>
          <w:tcPr>
            <w:tcW w:w="2347" w:type="dxa"/>
            <w:tcBorders>
              <w:left w:val="single" w:color="auto" w:sz="4" w:space="0"/>
            </w:tcBorders>
            <w:noWrap w:val="0"/>
            <w:vAlign w:val="center"/>
          </w:tcPr>
          <w:p>
            <w:pPr>
              <w:spacing w:line="590" w:lineRule="exact"/>
              <w:rPr>
                <w:rFonts w:ascii="仿宋_GB2312" w:hAnsi="仿宋_GB2312" w:eastAsia="仿宋_GB2312" w:cs="仿宋_GB2312"/>
                <w:b/>
                <w:bCs/>
                <w:color w:val="000000"/>
                <w:sz w:val="30"/>
                <w:szCs w:val="30"/>
              </w:rPr>
            </w:pPr>
          </w:p>
        </w:tc>
        <w:tc>
          <w:tcPr>
            <w:tcW w:w="2772" w:type="dxa"/>
            <w:noWrap w:val="0"/>
            <w:vAlign w:val="center"/>
          </w:tcPr>
          <w:p>
            <w:pPr>
              <w:spacing w:line="590" w:lineRule="exact"/>
              <w:rPr>
                <w:rFonts w:ascii="仿宋_GB2312" w:hAnsi="仿宋_GB2312" w:eastAsia="仿宋_GB2312" w:cs="仿宋_GB2312"/>
                <w:b/>
                <w:bCs/>
                <w:color w:val="000000"/>
                <w:sz w:val="30"/>
                <w:szCs w:val="30"/>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07" w:hRule="exact"/>
          <w:jc w:val="center"/>
        </w:trPr>
        <w:tc>
          <w:tcPr>
            <w:tcW w:w="2772" w:type="dxa"/>
            <w:noWrap w:val="0"/>
            <w:vAlign w:val="center"/>
          </w:tcPr>
          <w:p>
            <w:pPr>
              <w:spacing w:line="590" w:lineRule="exact"/>
              <w:rPr>
                <w:rFonts w:ascii="仿宋_GB2312" w:hAnsi="仿宋_GB2312" w:eastAsia="仿宋_GB2312" w:cs="仿宋_GB2312"/>
                <w:b/>
                <w:bCs/>
                <w:color w:val="000000"/>
                <w:sz w:val="30"/>
                <w:szCs w:val="30"/>
              </w:rPr>
            </w:pPr>
          </w:p>
        </w:tc>
        <w:tc>
          <w:tcPr>
            <w:tcW w:w="2053" w:type="dxa"/>
            <w:noWrap w:val="0"/>
            <w:vAlign w:val="center"/>
          </w:tcPr>
          <w:p>
            <w:pPr>
              <w:spacing w:line="590" w:lineRule="exact"/>
              <w:rPr>
                <w:rFonts w:ascii="仿宋_GB2312" w:hAnsi="仿宋_GB2312" w:eastAsia="仿宋_GB2312" w:cs="仿宋_GB2312"/>
                <w:b/>
                <w:bCs/>
                <w:color w:val="000000"/>
                <w:sz w:val="30"/>
                <w:szCs w:val="30"/>
              </w:rPr>
            </w:pPr>
          </w:p>
        </w:tc>
        <w:tc>
          <w:tcPr>
            <w:tcW w:w="1401" w:type="dxa"/>
            <w:noWrap w:val="0"/>
            <w:vAlign w:val="center"/>
          </w:tcPr>
          <w:p>
            <w:pPr>
              <w:spacing w:line="590" w:lineRule="exact"/>
              <w:rPr>
                <w:rFonts w:ascii="仿宋_GB2312" w:hAnsi="仿宋_GB2312" w:eastAsia="仿宋_GB2312" w:cs="仿宋_GB2312"/>
                <w:b/>
                <w:bCs/>
                <w:color w:val="000000"/>
                <w:sz w:val="30"/>
                <w:szCs w:val="30"/>
              </w:rPr>
            </w:pPr>
          </w:p>
        </w:tc>
        <w:tc>
          <w:tcPr>
            <w:tcW w:w="2013" w:type="dxa"/>
            <w:tcBorders>
              <w:right w:val="single" w:color="auto" w:sz="4" w:space="0"/>
            </w:tcBorders>
            <w:noWrap w:val="0"/>
            <w:vAlign w:val="center"/>
          </w:tcPr>
          <w:p>
            <w:pPr>
              <w:spacing w:line="590" w:lineRule="exact"/>
              <w:rPr>
                <w:rFonts w:ascii="仿宋_GB2312" w:hAnsi="仿宋_GB2312" w:eastAsia="仿宋_GB2312" w:cs="仿宋_GB2312"/>
                <w:b/>
                <w:bCs/>
                <w:color w:val="000000"/>
                <w:sz w:val="30"/>
                <w:szCs w:val="30"/>
              </w:rPr>
            </w:pPr>
          </w:p>
        </w:tc>
        <w:tc>
          <w:tcPr>
            <w:tcW w:w="2347" w:type="dxa"/>
            <w:tcBorders>
              <w:left w:val="single" w:color="auto" w:sz="4" w:space="0"/>
            </w:tcBorders>
            <w:noWrap w:val="0"/>
            <w:vAlign w:val="center"/>
          </w:tcPr>
          <w:p>
            <w:pPr>
              <w:spacing w:line="590" w:lineRule="exact"/>
              <w:rPr>
                <w:rFonts w:ascii="仿宋_GB2312" w:hAnsi="仿宋_GB2312" w:eastAsia="仿宋_GB2312" w:cs="仿宋_GB2312"/>
                <w:b/>
                <w:bCs/>
                <w:color w:val="000000"/>
                <w:sz w:val="30"/>
                <w:szCs w:val="30"/>
              </w:rPr>
            </w:pPr>
          </w:p>
        </w:tc>
        <w:tc>
          <w:tcPr>
            <w:tcW w:w="2772" w:type="dxa"/>
            <w:noWrap w:val="0"/>
            <w:vAlign w:val="center"/>
          </w:tcPr>
          <w:p>
            <w:pPr>
              <w:spacing w:line="590" w:lineRule="exact"/>
              <w:rPr>
                <w:rFonts w:ascii="仿宋_GB2312" w:hAnsi="仿宋_GB2312" w:eastAsia="仿宋_GB2312" w:cs="仿宋_GB2312"/>
                <w:b/>
                <w:bCs/>
                <w:color w:val="000000"/>
                <w:sz w:val="30"/>
                <w:szCs w:val="30"/>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07" w:hRule="exact"/>
          <w:jc w:val="center"/>
        </w:trPr>
        <w:tc>
          <w:tcPr>
            <w:tcW w:w="2772" w:type="dxa"/>
            <w:noWrap w:val="0"/>
            <w:vAlign w:val="center"/>
          </w:tcPr>
          <w:p>
            <w:pPr>
              <w:spacing w:line="590" w:lineRule="exact"/>
              <w:rPr>
                <w:rFonts w:ascii="仿宋_GB2312" w:hAnsi="仿宋_GB2312" w:eastAsia="仿宋_GB2312" w:cs="仿宋_GB2312"/>
                <w:b/>
                <w:bCs/>
                <w:color w:val="000000"/>
                <w:sz w:val="30"/>
                <w:szCs w:val="30"/>
              </w:rPr>
            </w:pPr>
          </w:p>
        </w:tc>
        <w:tc>
          <w:tcPr>
            <w:tcW w:w="2053" w:type="dxa"/>
            <w:noWrap w:val="0"/>
            <w:vAlign w:val="center"/>
          </w:tcPr>
          <w:p>
            <w:pPr>
              <w:spacing w:line="590" w:lineRule="exact"/>
              <w:rPr>
                <w:rFonts w:ascii="仿宋_GB2312" w:hAnsi="仿宋_GB2312" w:eastAsia="仿宋_GB2312" w:cs="仿宋_GB2312"/>
                <w:b/>
                <w:bCs/>
                <w:color w:val="000000"/>
                <w:sz w:val="30"/>
                <w:szCs w:val="30"/>
              </w:rPr>
            </w:pPr>
          </w:p>
        </w:tc>
        <w:tc>
          <w:tcPr>
            <w:tcW w:w="1401" w:type="dxa"/>
            <w:noWrap w:val="0"/>
            <w:vAlign w:val="center"/>
          </w:tcPr>
          <w:p>
            <w:pPr>
              <w:spacing w:line="590" w:lineRule="exact"/>
              <w:rPr>
                <w:rFonts w:ascii="仿宋_GB2312" w:hAnsi="仿宋_GB2312" w:eastAsia="仿宋_GB2312" w:cs="仿宋_GB2312"/>
                <w:b/>
                <w:bCs/>
                <w:color w:val="000000"/>
                <w:sz w:val="30"/>
                <w:szCs w:val="30"/>
              </w:rPr>
            </w:pPr>
          </w:p>
        </w:tc>
        <w:tc>
          <w:tcPr>
            <w:tcW w:w="2013" w:type="dxa"/>
            <w:tcBorders>
              <w:right w:val="single" w:color="auto" w:sz="4" w:space="0"/>
            </w:tcBorders>
            <w:noWrap w:val="0"/>
            <w:vAlign w:val="center"/>
          </w:tcPr>
          <w:p>
            <w:pPr>
              <w:spacing w:line="590" w:lineRule="exact"/>
              <w:rPr>
                <w:rFonts w:ascii="仿宋_GB2312" w:hAnsi="仿宋_GB2312" w:eastAsia="仿宋_GB2312" w:cs="仿宋_GB2312"/>
                <w:b/>
                <w:bCs/>
                <w:color w:val="000000"/>
                <w:sz w:val="30"/>
                <w:szCs w:val="30"/>
              </w:rPr>
            </w:pPr>
          </w:p>
        </w:tc>
        <w:tc>
          <w:tcPr>
            <w:tcW w:w="2347" w:type="dxa"/>
            <w:tcBorders>
              <w:left w:val="single" w:color="auto" w:sz="4" w:space="0"/>
            </w:tcBorders>
            <w:noWrap w:val="0"/>
            <w:vAlign w:val="center"/>
          </w:tcPr>
          <w:p>
            <w:pPr>
              <w:spacing w:line="590" w:lineRule="exact"/>
              <w:rPr>
                <w:rFonts w:ascii="仿宋_GB2312" w:hAnsi="仿宋_GB2312" w:eastAsia="仿宋_GB2312" w:cs="仿宋_GB2312"/>
                <w:b/>
                <w:bCs/>
                <w:color w:val="000000"/>
                <w:sz w:val="30"/>
                <w:szCs w:val="30"/>
              </w:rPr>
            </w:pPr>
          </w:p>
        </w:tc>
        <w:tc>
          <w:tcPr>
            <w:tcW w:w="2772" w:type="dxa"/>
            <w:noWrap w:val="0"/>
            <w:vAlign w:val="center"/>
          </w:tcPr>
          <w:p>
            <w:pPr>
              <w:spacing w:line="590" w:lineRule="exact"/>
              <w:rPr>
                <w:rFonts w:ascii="仿宋_GB2312" w:hAnsi="仿宋_GB2312" w:eastAsia="仿宋_GB2312" w:cs="仿宋_GB2312"/>
                <w:b/>
                <w:bCs/>
                <w:color w:val="000000"/>
                <w:sz w:val="30"/>
                <w:szCs w:val="30"/>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07" w:hRule="exact"/>
          <w:jc w:val="center"/>
        </w:trPr>
        <w:tc>
          <w:tcPr>
            <w:tcW w:w="2772" w:type="dxa"/>
            <w:noWrap w:val="0"/>
            <w:vAlign w:val="center"/>
          </w:tcPr>
          <w:p>
            <w:pPr>
              <w:spacing w:line="590" w:lineRule="exact"/>
              <w:rPr>
                <w:rFonts w:ascii="仿宋_GB2312" w:hAnsi="仿宋_GB2312" w:eastAsia="仿宋_GB2312" w:cs="仿宋_GB2312"/>
                <w:b/>
                <w:bCs/>
                <w:color w:val="000000"/>
                <w:sz w:val="30"/>
                <w:szCs w:val="30"/>
              </w:rPr>
            </w:pPr>
          </w:p>
        </w:tc>
        <w:tc>
          <w:tcPr>
            <w:tcW w:w="2053" w:type="dxa"/>
            <w:noWrap w:val="0"/>
            <w:vAlign w:val="center"/>
          </w:tcPr>
          <w:p>
            <w:pPr>
              <w:spacing w:line="590" w:lineRule="exact"/>
              <w:rPr>
                <w:rFonts w:ascii="仿宋_GB2312" w:hAnsi="仿宋_GB2312" w:eastAsia="仿宋_GB2312" w:cs="仿宋_GB2312"/>
                <w:b/>
                <w:bCs/>
                <w:color w:val="000000"/>
                <w:sz w:val="30"/>
                <w:szCs w:val="30"/>
              </w:rPr>
            </w:pPr>
          </w:p>
        </w:tc>
        <w:tc>
          <w:tcPr>
            <w:tcW w:w="1401" w:type="dxa"/>
            <w:noWrap w:val="0"/>
            <w:vAlign w:val="center"/>
          </w:tcPr>
          <w:p>
            <w:pPr>
              <w:spacing w:line="590" w:lineRule="exact"/>
              <w:rPr>
                <w:rFonts w:ascii="仿宋_GB2312" w:hAnsi="仿宋_GB2312" w:eastAsia="仿宋_GB2312" w:cs="仿宋_GB2312"/>
                <w:b/>
                <w:bCs/>
                <w:color w:val="000000"/>
                <w:sz w:val="30"/>
                <w:szCs w:val="30"/>
              </w:rPr>
            </w:pPr>
          </w:p>
        </w:tc>
        <w:tc>
          <w:tcPr>
            <w:tcW w:w="2013" w:type="dxa"/>
            <w:tcBorders>
              <w:right w:val="single" w:color="auto" w:sz="4" w:space="0"/>
            </w:tcBorders>
            <w:noWrap w:val="0"/>
            <w:vAlign w:val="center"/>
          </w:tcPr>
          <w:p>
            <w:pPr>
              <w:spacing w:line="590" w:lineRule="exact"/>
              <w:rPr>
                <w:rFonts w:ascii="仿宋_GB2312" w:hAnsi="仿宋_GB2312" w:eastAsia="仿宋_GB2312" w:cs="仿宋_GB2312"/>
                <w:b/>
                <w:bCs/>
                <w:color w:val="000000"/>
                <w:sz w:val="30"/>
                <w:szCs w:val="30"/>
              </w:rPr>
            </w:pPr>
          </w:p>
        </w:tc>
        <w:tc>
          <w:tcPr>
            <w:tcW w:w="2347" w:type="dxa"/>
            <w:tcBorders>
              <w:left w:val="single" w:color="auto" w:sz="4" w:space="0"/>
            </w:tcBorders>
            <w:noWrap w:val="0"/>
            <w:vAlign w:val="center"/>
          </w:tcPr>
          <w:p>
            <w:pPr>
              <w:spacing w:line="590" w:lineRule="exact"/>
              <w:rPr>
                <w:rFonts w:ascii="仿宋_GB2312" w:hAnsi="仿宋_GB2312" w:eastAsia="仿宋_GB2312" w:cs="仿宋_GB2312"/>
                <w:b/>
                <w:bCs/>
                <w:color w:val="000000"/>
                <w:sz w:val="30"/>
                <w:szCs w:val="30"/>
              </w:rPr>
            </w:pPr>
          </w:p>
        </w:tc>
        <w:tc>
          <w:tcPr>
            <w:tcW w:w="2772" w:type="dxa"/>
            <w:noWrap w:val="0"/>
            <w:vAlign w:val="center"/>
          </w:tcPr>
          <w:p>
            <w:pPr>
              <w:spacing w:line="590" w:lineRule="exact"/>
              <w:rPr>
                <w:rFonts w:ascii="仿宋_GB2312" w:hAnsi="仿宋_GB2312" w:eastAsia="仿宋_GB2312" w:cs="仿宋_GB2312"/>
                <w:b/>
                <w:bCs/>
                <w:color w:val="000000"/>
                <w:sz w:val="30"/>
                <w:szCs w:val="30"/>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75" w:hRule="exact"/>
          <w:jc w:val="center"/>
        </w:trPr>
        <w:tc>
          <w:tcPr>
            <w:tcW w:w="2772" w:type="dxa"/>
            <w:noWrap w:val="0"/>
            <w:vAlign w:val="center"/>
          </w:tcPr>
          <w:p>
            <w:pPr>
              <w:spacing w:line="590" w:lineRule="exact"/>
              <w:ind w:firstLine="150" w:firstLineChars="50"/>
              <w:jc w:val="center"/>
              <w:rPr>
                <w:rFonts w:ascii="仿宋_GB2312" w:hAnsi="仿宋_GB2312" w:eastAsia="仿宋_GB2312" w:cs="仿宋_GB2312"/>
                <w:b/>
                <w:bCs/>
                <w:color w:val="000000"/>
                <w:sz w:val="30"/>
                <w:szCs w:val="30"/>
              </w:rPr>
            </w:pPr>
            <w:r>
              <w:rPr>
                <w:rFonts w:hint="eastAsia" w:ascii="仿宋_GB2312" w:hAnsi="仿宋_GB2312" w:eastAsia="仿宋_GB2312" w:cs="仿宋_GB2312"/>
                <w:color w:val="000000"/>
                <w:sz w:val="30"/>
                <w:szCs w:val="30"/>
              </w:rPr>
              <w:t>合  计</w:t>
            </w:r>
          </w:p>
        </w:tc>
        <w:tc>
          <w:tcPr>
            <w:tcW w:w="2053" w:type="dxa"/>
            <w:noWrap w:val="0"/>
            <w:vAlign w:val="center"/>
          </w:tcPr>
          <w:p>
            <w:pPr>
              <w:spacing w:line="590" w:lineRule="exact"/>
              <w:rPr>
                <w:rFonts w:ascii="仿宋_GB2312" w:hAnsi="仿宋_GB2312" w:eastAsia="仿宋_GB2312" w:cs="仿宋_GB2312"/>
                <w:b/>
                <w:bCs/>
                <w:color w:val="000000"/>
                <w:sz w:val="30"/>
                <w:szCs w:val="30"/>
              </w:rPr>
            </w:pPr>
          </w:p>
        </w:tc>
        <w:tc>
          <w:tcPr>
            <w:tcW w:w="1401" w:type="dxa"/>
            <w:noWrap w:val="0"/>
            <w:vAlign w:val="center"/>
          </w:tcPr>
          <w:p>
            <w:pPr>
              <w:spacing w:line="590" w:lineRule="exact"/>
              <w:rPr>
                <w:rFonts w:ascii="仿宋_GB2312" w:hAnsi="仿宋_GB2312" w:eastAsia="仿宋_GB2312" w:cs="仿宋_GB2312"/>
                <w:b/>
                <w:bCs/>
                <w:color w:val="000000"/>
                <w:sz w:val="30"/>
                <w:szCs w:val="30"/>
              </w:rPr>
            </w:pPr>
          </w:p>
        </w:tc>
        <w:tc>
          <w:tcPr>
            <w:tcW w:w="2013" w:type="dxa"/>
            <w:tcBorders>
              <w:right w:val="single" w:color="auto" w:sz="4" w:space="0"/>
            </w:tcBorders>
            <w:noWrap w:val="0"/>
            <w:vAlign w:val="center"/>
          </w:tcPr>
          <w:p>
            <w:pPr>
              <w:spacing w:line="590" w:lineRule="exact"/>
              <w:rPr>
                <w:rFonts w:ascii="仿宋_GB2312" w:hAnsi="仿宋_GB2312" w:eastAsia="仿宋_GB2312" w:cs="仿宋_GB2312"/>
                <w:b/>
                <w:bCs/>
                <w:color w:val="000000"/>
                <w:sz w:val="30"/>
                <w:szCs w:val="30"/>
              </w:rPr>
            </w:pPr>
          </w:p>
        </w:tc>
        <w:tc>
          <w:tcPr>
            <w:tcW w:w="2347" w:type="dxa"/>
            <w:tcBorders>
              <w:left w:val="single" w:color="auto" w:sz="4" w:space="0"/>
            </w:tcBorders>
            <w:noWrap w:val="0"/>
            <w:vAlign w:val="center"/>
          </w:tcPr>
          <w:p>
            <w:pPr>
              <w:spacing w:line="590" w:lineRule="exact"/>
              <w:rPr>
                <w:rFonts w:ascii="仿宋_GB2312" w:hAnsi="仿宋_GB2312" w:eastAsia="仿宋_GB2312" w:cs="仿宋_GB2312"/>
                <w:b/>
                <w:bCs/>
                <w:color w:val="000000"/>
                <w:sz w:val="30"/>
                <w:szCs w:val="30"/>
              </w:rPr>
            </w:pPr>
          </w:p>
        </w:tc>
        <w:tc>
          <w:tcPr>
            <w:tcW w:w="2772" w:type="dxa"/>
            <w:noWrap w:val="0"/>
            <w:vAlign w:val="center"/>
          </w:tcPr>
          <w:p>
            <w:pPr>
              <w:spacing w:line="590" w:lineRule="exact"/>
              <w:rPr>
                <w:rFonts w:ascii="仿宋_GB2312" w:hAnsi="仿宋_GB2312" w:eastAsia="仿宋_GB2312" w:cs="仿宋_GB2312"/>
                <w:b/>
                <w:bCs/>
                <w:color w:val="000000"/>
                <w:sz w:val="30"/>
                <w:szCs w:val="30"/>
              </w:rPr>
            </w:pPr>
          </w:p>
        </w:tc>
      </w:tr>
    </w:tbl>
    <w:p>
      <w:pPr>
        <w:spacing w:line="590" w:lineRule="exact"/>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分管领导（签字）：              审核人（签字）：              经办人（签字）：</w:t>
      </w:r>
    </w:p>
    <w:p>
      <w:pPr>
        <w:spacing w:line="590" w:lineRule="exact"/>
        <w:rPr>
          <w:rFonts w:hint="eastAsia" w:ascii="仿宋_GB2312" w:hAnsi="仿宋_GB2312" w:eastAsia="仿宋_GB2312" w:cs="仿宋_GB2312"/>
          <w:color w:val="000000"/>
          <w:sz w:val="30"/>
          <w:szCs w:val="30"/>
        </w:rPr>
        <w:sectPr>
          <w:footerReference r:id="rId3" w:type="default"/>
          <w:pgSz w:w="16838" w:h="11906" w:orient="landscape"/>
          <w:pgMar w:top="1531" w:right="1814" w:bottom="1531" w:left="1758" w:header="851" w:footer="1701" w:gutter="0"/>
          <w:pgNumType w:fmt="numberInDash"/>
          <w:cols w:space="720" w:num="1"/>
          <w:docGrid w:type="lines" w:linePitch="322" w:charSpace="0"/>
        </w:sectPr>
      </w:pPr>
    </w:p>
    <w:p>
      <w:pPr>
        <w:pStyle w:val="3"/>
        <w:rPr>
          <w:rFonts w:hint="eastAsia"/>
          <w:lang w:val="en-US" w:eastAsia="zh-CN"/>
        </w:rPr>
        <w:sectPr>
          <w:footerReference r:id="rId4" w:type="default"/>
          <w:footerReference r:id="rId5" w:type="even"/>
          <w:pgSz w:w="11906" w:h="16838"/>
          <w:pgMar w:top="1440" w:right="1474" w:bottom="1984" w:left="1587" w:header="851" w:footer="1701" w:gutter="0"/>
          <w:pgNumType w:fmt="numberInDash" w:start="3"/>
          <w:cols w:space="720" w:num="1"/>
          <w:rtlGutter w:val="0"/>
          <w:docGrid w:type="lines" w:linePitch="312" w:charSpace="0"/>
        </w:sect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仿宋_GB2312">
    <w:altName w:val="仿宋"/>
    <w:panose1 w:val="00000000000000000000"/>
    <w:charset w:val="00"/>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方正小标宋_GBK"/>
    <w:panose1 w:val="03000509000000000000"/>
    <w:charset w:val="00"/>
    <w:family w:val="script"/>
    <w:pitch w:val="default"/>
    <w:sig w:usb0="00000000" w:usb1="00000000" w:usb2="00000010" w:usb3="00000000" w:csb0="00040000" w:csb1="00000000"/>
  </w:font>
  <w:font w:name="方正小标宋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left="210" w:leftChars="100" w:right="210" w:rightChars="100"/>
      <w:jc w:val="right"/>
      <w:rPr>
        <w:rFonts w:ascii="宋体" w:hAnsi="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a:effectLst/>
                    </wps:spPr>
                    <wps:txbx>
                      <w:txbxContent>
                        <w:p>
                          <w:pPr>
                            <w:pStyle w:val="4"/>
                            <w:ind w:left="210" w:leftChars="100" w:right="210" w:rightChars="100"/>
                            <w:jc w:val="right"/>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13 -</w:t>
                          </w:r>
                          <w:r>
                            <w:rPr>
                              <w:rFonts w:ascii="宋体" w:hAnsi="宋体"/>
                              <w:sz w:val="28"/>
                              <w:szCs w:val="28"/>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FgAAAGRycy9QSwEC&#10;FAAUAAAACACHTuJAs0lY7tAAAAAFAQAADwAAAAAAAAABACAAAAA4AAAAZHJzL2Rvd25yZXYueG1s&#10;UEsBAhQAFAAAAAgAh07iQJe4n+EjAgAANwQAAA4AAAAAAAAAAQAgAAAANQEAAGRycy9lMm9Eb2Mu&#10;eG1sUEsFBgAAAAAGAAYAWQEAAMoFAAAAAA==&#10;">
              <v:path/>
              <v:fill on="f" focussize="0,0"/>
              <v:stroke on="f" weight="0.5pt"/>
              <v:imagedata o:title=""/>
              <o:lock v:ext="edit" aspectratio="f"/>
              <v:textbox inset="0mm,0mm,0mm,0mm" style="mso-fit-shape-to-text:t;">
                <w:txbxContent>
                  <w:p>
                    <w:pPr>
                      <w:pStyle w:val="4"/>
                      <w:ind w:left="210" w:leftChars="100" w:right="210" w:rightChars="100"/>
                      <w:jc w:val="right"/>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13 -</w:t>
                    </w:r>
                    <w:r>
                      <w:rPr>
                        <w:rFonts w:ascii="宋体" w:hAnsi="宋体"/>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left="210" w:leftChars="100" w:right="210" w:rightChars="100"/>
      <w:jc w:val="right"/>
      <w:rPr>
        <w:rFonts w:ascii="宋体" w:hAnsi="宋体"/>
        <w:sz w:val="28"/>
        <w:szCs w:val="28"/>
      </w:rPr>
    </w:pPr>
    <w:r>
      <w:rPr>
        <w:sz w:val="2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a:effectLst/>
                    </wps:spPr>
                    <wps:txbx>
                      <w:txbxContent>
                        <w:p>
                          <w:pPr>
                            <w:pStyle w:val="4"/>
                            <w:ind w:left="210" w:leftChars="100" w:right="210" w:rightChars="100"/>
                            <w:jc w:val="right"/>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13 -</w:t>
                          </w:r>
                          <w:r>
                            <w:rPr>
                              <w:rFonts w:ascii="宋体" w:hAnsi="宋体"/>
                              <w:sz w:val="28"/>
                              <w:szCs w:val="28"/>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FgAAAGRycy9QSwECFAAU&#10;AAAACACHTuJAs0lY7tAAAAAFAQAADwAAAAAAAAABACAAAAA4AAAAZHJzL2Rvd25yZXYueG1sUEsB&#10;AhQAFAAAAAgAh07iQGUktTAgAgAANwQAAA4AAAAAAAAAAQAgAAAANQEAAGRycy9lMm9Eb2MueG1s&#10;UEsFBgAAAAAGAAYAWQEAAMcFAAAAAA==&#10;">
              <v:path/>
              <v:fill on="f" focussize="0,0"/>
              <v:stroke on="f" weight="0.5pt"/>
              <v:imagedata o:title=""/>
              <o:lock v:ext="edit" aspectratio="f"/>
              <v:textbox inset="0mm,0mm,0mm,0mm" style="mso-fit-shape-to-text:t;">
                <w:txbxContent>
                  <w:p>
                    <w:pPr>
                      <w:pStyle w:val="4"/>
                      <w:ind w:left="210" w:leftChars="100" w:right="210" w:rightChars="100"/>
                      <w:jc w:val="right"/>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13 -</w:t>
                    </w:r>
                    <w:r>
                      <w:rPr>
                        <w:rFonts w:ascii="宋体" w:hAnsi="宋体"/>
                        <w:sz w:val="28"/>
                        <w:szCs w:val="28"/>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left="210" w:leftChars="100" w:right="210" w:rightChars="100"/>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26 -</w:t>
    </w:r>
    <w:r>
      <w:rPr>
        <w:rFonts w:ascii="宋体" w:hAnsi="宋体"/>
        <w:sz w:val="28"/>
        <w:szCs w:val="28"/>
      </w:rP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7DFCE94"/>
    <w:rsid w:val="F7DFCE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customStyle="1" w:styleId="2">
    <w:name w:val="正文首行缩进 21"/>
    <w:next w:val="3"/>
    <w:qFormat/>
    <w:uiPriority w:val="0"/>
    <w:pPr>
      <w:widowControl w:val="0"/>
      <w:ind w:left="200" w:leftChars="200"/>
      <w:jc w:val="both"/>
    </w:pPr>
    <w:rPr>
      <w:rFonts w:ascii="Calibri" w:hAnsi="Calibri" w:eastAsia="仿宋_GB2312" w:cs="Times New Roman"/>
      <w:kern w:val="2"/>
      <w:sz w:val="32"/>
      <w:szCs w:val="32"/>
      <w:lang w:val="en-US" w:eastAsia="zh-CN" w:bidi="ar-SA"/>
    </w:rPr>
  </w:style>
  <w:style w:type="paragraph" w:styleId="3">
    <w:name w:val="Normal (Web)"/>
    <w:next w:val="1"/>
    <w:unhideWhenUsed/>
    <w:qFormat/>
    <w:uiPriority w:val="99"/>
    <w:pPr>
      <w:widowControl w:val="0"/>
      <w:jc w:val="both"/>
    </w:pPr>
    <w:rPr>
      <w:rFonts w:ascii="Times New Roman" w:hAnsi="Times New Roman" w:eastAsia="宋体" w:cs="Times New Roman"/>
      <w:kern w:val="2"/>
      <w:sz w:val="24"/>
      <w:szCs w:val="22"/>
      <w:lang w:val="en-US" w:eastAsia="zh-CN" w:bidi="ar-SA"/>
    </w:rPr>
  </w:style>
  <w:style w:type="paragraph" w:styleId="4">
    <w:name w:val="footer"/>
    <w:qFormat/>
    <w:uiPriority w:val="99"/>
    <w:pPr>
      <w:widowControl w:val="0"/>
      <w:tabs>
        <w:tab w:val="center" w:pos="4153"/>
        <w:tab w:val="right" w:pos="8306"/>
      </w:tabs>
      <w:snapToGrid w:val="0"/>
      <w:jc w:val="left"/>
    </w:pPr>
    <w:rPr>
      <w:rFonts w:ascii="Calibri" w:hAnsi="Calibri" w:eastAsia="宋体" w:cs="Times New Roman"/>
      <w:kern w:val="2"/>
      <w:sz w:val="18"/>
      <w:szCs w:val="18"/>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2023-11-17T11:04:00Z</dcterms:created>
  <dc:creator>baixin</dc:creator>
  <cp:lastModifiedBy>baixin</cp:lastModifiedBy>
  <dcterms:modified xsi:type="dcterms:W3CDTF">2023-11-17T11:05:15Z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ies>
</file>