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1924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0"/>
        <w:gridCol w:w="2094"/>
        <w:gridCol w:w="1550"/>
        <w:gridCol w:w="1476"/>
        <w:gridCol w:w="10143"/>
        <w:gridCol w:w="1684"/>
        <w:gridCol w:w="1633"/>
      </w:tblGrid>
      <w:tr w14:paraId="03CE78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3" w:hRule="atLeast"/>
          <w:jc w:val="center"/>
        </w:trPr>
        <w:tc>
          <w:tcPr>
            <w:tcW w:w="660" w:type="dxa"/>
            <w:vAlign w:val="center"/>
          </w:tcPr>
          <w:p w14:paraId="3AD1D56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pacing w:val="-6"/>
                <w:sz w:val="28"/>
                <w:szCs w:val="28"/>
                <w:lang w:eastAsia="zh-CN"/>
              </w:rPr>
            </w:pPr>
            <w:bookmarkStart w:id="0" w:name="_GoBack"/>
            <w:bookmarkEnd w:id="0"/>
            <w:r>
              <w:rPr>
                <w:rFonts w:hint="eastAsia" w:ascii="黑体" w:hAnsi="黑体" w:eastAsia="黑体" w:cs="黑体"/>
                <w:b w:val="0"/>
                <w:bCs w:val="0"/>
                <w:spacing w:val="-6"/>
                <w:sz w:val="28"/>
                <w:szCs w:val="28"/>
                <w:lang w:eastAsia="zh-CN"/>
              </w:rPr>
              <w:t>序</w:t>
            </w:r>
          </w:p>
          <w:p w14:paraId="0E8B279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6"/>
                <w:sz w:val="28"/>
                <w:szCs w:val="28"/>
                <w:lang w:eastAsia="zh-CN"/>
              </w:rPr>
              <w:t>号</w:t>
            </w:r>
          </w:p>
        </w:tc>
        <w:tc>
          <w:tcPr>
            <w:tcW w:w="2094" w:type="dxa"/>
            <w:vAlign w:val="top"/>
          </w:tcPr>
          <w:p w14:paraId="534F059D">
            <w:pPr>
              <w:spacing w:before="314" w:line="220" w:lineRule="auto"/>
              <w:ind w:firstLine="268" w:firstLineChars="100"/>
              <w:jc w:val="both"/>
              <w:rPr>
                <w:rFonts w:hint="eastAsia" w:ascii="黑体" w:hAnsi="黑体" w:eastAsia="黑体" w:cs="黑体"/>
                <w:b w:val="0"/>
                <w:bCs w:val="0"/>
                <w:spacing w:val="-6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6"/>
                <w:sz w:val="28"/>
                <w:szCs w:val="28"/>
                <w:lang w:eastAsia="zh-CN"/>
              </w:rPr>
              <w:t>行政执法机关</w:t>
            </w:r>
          </w:p>
        </w:tc>
        <w:tc>
          <w:tcPr>
            <w:tcW w:w="1550" w:type="dxa"/>
            <w:tcBorders>
              <w:left w:val="single" w:color="auto" w:sz="4" w:space="0"/>
            </w:tcBorders>
            <w:vAlign w:val="top"/>
          </w:tcPr>
          <w:p w14:paraId="5B1CC09E">
            <w:pPr>
              <w:spacing w:before="314" w:line="220" w:lineRule="auto"/>
              <w:ind w:firstLine="268" w:firstLineChars="100"/>
              <w:jc w:val="both"/>
              <w:rPr>
                <w:rFonts w:hint="eastAsia" w:ascii="黑体" w:hAnsi="黑体" w:eastAsia="黑体" w:cs="黑体"/>
                <w:b w:val="0"/>
                <w:bCs w:val="0"/>
                <w:spacing w:val="-6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6"/>
                <w:sz w:val="28"/>
                <w:szCs w:val="28"/>
                <w:lang w:eastAsia="zh-CN"/>
              </w:rPr>
              <w:t>事项名称</w:t>
            </w:r>
          </w:p>
        </w:tc>
        <w:tc>
          <w:tcPr>
            <w:tcW w:w="1476" w:type="dxa"/>
            <w:tcBorders>
              <w:right w:val="single" w:color="auto" w:sz="4" w:space="0"/>
            </w:tcBorders>
            <w:vAlign w:val="top"/>
          </w:tcPr>
          <w:p w14:paraId="346E0FD6">
            <w:pPr>
              <w:spacing w:before="314" w:line="220" w:lineRule="auto"/>
              <w:jc w:val="center"/>
              <w:rPr>
                <w:rFonts w:hint="eastAsia" w:ascii="黑体" w:hAnsi="黑体" w:eastAsia="黑体" w:cs="黑体"/>
                <w:b w:val="0"/>
                <w:bCs w:val="0"/>
                <w:spacing w:val="-6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6"/>
                <w:sz w:val="28"/>
                <w:szCs w:val="28"/>
                <w:lang w:eastAsia="zh-CN"/>
              </w:rPr>
              <w:t>事项类型</w:t>
            </w:r>
          </w:p>
        </w:tc>
        <w:tc>
          <w:tcPr>
            <w:tcW w:w="10143" w:type="dxa"/>
            <w:tcBorders>
              <w:left w:val="single" w:color="auto" w:sz="4" w:space="0"/>
            </w:tcBorders>
            <w:vAlign w:val="center"/>
          </w:tcPr>
          <w:p w14:paraId="4B00C64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pacing w:val="-6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6"/>
                <w:sz w:val="28"/>
                <w:szCs w:val="28"/>
                <w:lang w:eastAsia="zh-CN"/>
              </w:rPr>
              <w:t>事项依据</w:t>
            </w:r>
          </w:p>
        </w:tc>
        <w:tc>
          <w:tcPr>
            <w:tcW w:w="1684" w:type="dxa"/>
            <w:tcBorders>
              <w:right w:val="single" w:color="auto" w:sz="4" w:space="0"/>
            </w:tcBorders>
            <w:vAlign w:val="center"/>
          </w:tcPr>
          <w:p w14:paraId="4773CC5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pacing w:val="-6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6"/>
                <w:sz w:val="28"/>
                <w:szCs w:val="28"/>
                <w:lang w:eastAsia="zh-CN"/>
              </w:rPr>
              <w:t>检查方式</w:t>
            </w:r>
          </w:p>
        </w:tc>
        <w:tc>
          <w:tcPr>
            <w:tcW w:w="1633" w:type="dxa"/>
            <w:tcBorders>
              <w:left w:val="single" w:color="auto" w:sz="4" w:space="0"/>
            </w:tcBorders>
            <w:vAlign w:val="center"/>
          </w:tcPr>
          <w:p w14:paraId="465290D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pacing w:val="-6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6"/>
                <w:sz w:val="28"/>
                <w:szCs w:val="28"/>
              </w:rPr>
              <w:t>备注</w:t>
            </w:r>
          </w:p>
        </w:tc>
      </w:tr>
      <w:tr w14:paraId="36E089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3" w:hRule="atLeast"/>
          <w:jc w:val="center"/>
        </w:trPr>
        <w:tc>
          <w:tcPr>
            <w:tcW w:w="660" w:type="dxa"/>
            <w:vAlign w:val="center"/>
          </w:tcPr>
          <w:p w14:paraId="496C1851">
            <w:pPr>
              <w:pStyle w:val="7"/>
              <w:jc w:val="center"/>
              <w:rPr>
                <w:rFonts w:hint="default" w:ascii="仿宋_GB2312" w:hAnsi="仿宋_GB2312" w:eastAsia="仿宋_GB2312" w:cs="仿宋_GB2312"/>
                <w:spacing w:val="0"/>
                <w:sz w:val="28"/>
                <w:szCs w:val="28"/>
                <w:lang w:eastAsia="zh-CN"/>
              </w:rPr>
            </w:pPr>
            <w:r>
              <w:rPr>
                <w:rFonts w:hint="default" w:ascii="仿宋_GB2312" w:hAnsi="仿宋_GB2312" w:eastAsia="仿宋_GB2312" w:cs="仿宋_GB2312"/>
                <w:spacing w:val="0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2094" w:type="dxa"/>
            <w:vAlign w:val="center"/>
          </w:tcPr>
          <w:p w14:paraId="48152FAD">
            <w:pPr>
              <w:pStyle w:val="7"/>
              <w:jc w:val="center"/>
              <w:rPr>
                <w:rFonts w:hint="default" w:ascii="仿宋_GB2312" w:hAnsi="仿宋_GB2312" w:eastAsia="仿宋_GB2312" w:cs="仿宋_GB2312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lang w:val="en-US" w:eastAsia="zh-CN"/>
              </w:rPr>
              <w:t>曲沃县发展和改革局</w:t>
            </w:r>
          </w:p>
        </w:tc>
        <w:tc>
          <w:tcPr>
            <w:tcW w:w="1550" w:type="dxa"/>
            <w:tcBorders>
              <w:left w:val="single" w:color="auto" w:sz="4" w:space="0"/>
            </w:tcBorders>
            <w:vAlign w:val="center"/>
          </w:tcPr>
          <w:p w14:paraId="2EB995C1">
            <w:pPr>
              <w:pStyle w:val="7"/>
              <w:jc w:val="center"/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lang w:val="en-US" w:eastAsia="en-US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lang w:val="en-US" w:eastAsia="zh-CN"/>
              </w:rPr>
              <w:t>对政策性粮食的购销活动，以及执行国家粮食流通统计制度的情况进行监督检查。</w:t>
            </w:r>
          </w:p>
        </w:tc>
        <w:tc>
          <w:tcPr>
            <w:tcW w:w="1476" w:type="dxa"/>
            <w:tcBorders>
              <w:right w:val="single" w:color="auto" w:sz="4" w:space="0"/>
            </w:tcBorders>
            <w:vAlign w:val="center"/>
          </w:tcPr>
          <w:p w14:paraId="4B8FA880">
            <w:pPr>
              <w:pStyle w:val="7"/>
              <w:jc w:val="center"/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lang w:val="en-US" w:eastAsia="en-US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lang w:val="en-US" w:eastAsia="zh-CN"/>
              </w:rPr>
              <w:t>行政检查</w:t>
            </w:r>
          </w:p>
        </w:tc>
        <w:tc>
          <w:tcPr>
            <w:tcW w:w="10143" w:type="dxa"/>
            <w:tcBorders>
              <w:left w:val="single" w:color="auto" w:sz="4" w:space="0"/>
            </w:tcBorders>
            <w:vAlign w:val="center"/>
          </w:tcPr>
          <w:p w14:paraId="0E22227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firstLine="562" w:firstLineChars="20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b/>
                <w:bCs/>
                <w:snapToGrid w:val="0"/>
                <w:color w:val="000000"/>
                <w:spacing w:val="0"/>
                <w:sz w:val="28"/>
                <w:szCs w:val="28"/>
                <w:lang w:val="en-US" w:eastAsia="zh-CN" w:bidi="ar-SA"/>
              </w:rPr>
              <w:t>.【法律】《粮食安全保障法》第五十八条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sz w:val="28"/>
                <w:szCs w:val="28"/>
                <w:lang w:val="en-US" w:eastAsia="zh-CN" w:bidi="ar-SA"/>
              </w:rPr>
              <w:t>“县级以上人民政府发展改革、农业农村、粮食和储备、自然资源、水行政、生态环境、市场监督管理、工业和信息化等有关部门应当依照职责对粮食生产、储备、流通、加工等实施监督检查，并建立粮食安全监管协调机制和信息共享机制，加强协作配合”、</w:t>
            </w:r>
            <w:r>
              <w:rPr>
                <w:rFonts w:hint="eastAsia" w:ascii="仿宋_GB2312" w:hAnsi="仿宋_GB2312" w:eastAsia="仿宋_GB2312" w:cs="仿宋_GB2312"/>
                <w:b/>
                <w:bCs/>
                <w:snapToGrid w:val="0"/>
                <w:color w:val="000000"/>
                <w:spacing w:val="0"/>
                <w:sz w:val="28"/>
                <w:szCs w:val="28"/>
                <w:lang w:val="en-US" w:eastAsia="zh-CN" w:bidi="ar-SA"/>
              </w:rPr>
              <w:t>第六十一条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sz w:val="28"/>
                <w:szCs w:val="28"/>
                <w:lang w:val="en-US" w:eastAsia="zh-CN" w:bidi="ar-SA"/>
              </w:rPr>
              <w:t>“县级以上人民政府有关部门依照职责开展粮食安全监督检查，可以采取下列措施：（一）进入粮食生产经营场所实施现场检查；（二）向有关单位和人员调查了解相关情况；（三）进入涉嫌违法活动的场所调查取证；（四）查阅、复制有关文件、资料、账簿、凭证，对可能被转移、隐匿或者损毁的文件、资料、账簿、凭证、电子设备等予以封存；（五）查封、扣押涉嫌违法活动的场所、设施或者财物；（六）对有关单位的法定代表人、负责人或者其他工作人员进行约谈、询问”；</w:t>
            </w:r>
          </w:p>
          <w:p w14:paraId="7B37053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firstLine="562" w:firstLineChars="20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napToGrid w:val="0"/>
                <w:color w:val="000000"/>
                <w:spacing w:val="0"/>
                <w:sz w:val="28"/>
                <w:szCs w:val="28"/>
                <w:lang w:val="en-US" w:eastAsia="zh-CN" w:bidi="ar-SA"/>
              </w:rPr>
              <w:t>2.【行政法规】《粮食流通管理条例》第三十八条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sz w:val="28"/>
                <w:szCs w:val="28"/>
                <w:lang w:val="en-US" w:eastAsia="zh-CN" w:bidi="ar-SA"/>
              </w:rPr>
              <w:t>“粮食和储备行政管理部门依照本条例对粮食经营者从事粮食收购、储存、运输活动和政策性粮食的购销活动，以及执行国家粮食流通统计制度的情况进行监督检查。粮食和储备行政管理部门在监督检查过程中，可以进入粮食经营者经营场所，查阅有关资料、凭证；检查粮食数量、质量和储存安全情况；检查粮食仓储设施、设备是否符合有关标准和技术规范；向有关单位和人员调查了解相关情况；查封、扣押非法收购或者不符合国家粮食质量安全标准的粮食，用于违法经营或者被污染的工具、设备以及有关账簿资料；查封违法从事粮食经营活动的场所”；</w:t>
            </w:r>
          </w:p>
          <w:p w14:paraId="43CFFD0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firstLine="420" w:firstLineChars="200"/>
              <w:jc w:val="left"/>
              <w:textAlignment w:val="baseline"/>
              <w:rPr>
                <w:rFonts w:hint="eastAsia" w:ascii="方正仿宋_GBK" w:hAnsi="方正仿宋_GBK" w:eastAsia="方正仿宋_GBK" w:cs="方正仿宋_GBK"/>
                <w:snapToGrid w:val="0"/>
                <w:color w:val="auto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684" w:type="dxa"/>
            <w:tcBorders>
              <w:right w:val="single" w:color="auto" w:sz="4" w:space="0"/>
            </w:tcBorders>
            <w:vAlign w:val="center"/>
          </w:tcPr>
          <w:p w14:paraId="031C18BE">
            <w:pPr>
              <w:pStyle w:val="7"/>
              <w:jc w:val="center"/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lang w:val="en-US" w:eastAsia="en-US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lang w:val="en-US" w:eastAsia="zh-CN"/>
              </w:rPr>
              <w:t>实地检查</w:t>
            </w:r>
          </w:p>
        </w:tc>
        <w:tc>
          <w:tcPr>
            <w:tcW w:w="1633" w:type="dxa"/>
            <w:tcBorders>
              <w:left w:val="single" w:color="auto" w:sz="4" w:space="0"/>
            </w:tcBorders>
          </w:tcPr>
          <w:p w14:paraId="307FE1C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firstLine="420" w:firstLineChars="200"/>
              <w:jc w:val="left"/>
              <w:textAlignment w:val="baseline"/>
              <w:rPr>
                <w:rFonts w:hint="default" w:eastAsia="宋体"/>
                <w:lang w:val="en-US" w:eastAsia="zh-CN"/>
              </w:rPr>
            </w:pPr>
          </w:p>
        </w:tc>
      </w:tr>
      <w:tr w14:paraId="702C4B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52" w:hRule="atLeast"/>
          <w:jc w:val="center"/>
        </w:trPr>
        <w:tc>
          <w:tcPr>
            <w:tcW w:w="660" w:type="dxa"/>
            <w:vAlign w:val="center"/>
          </w:tcPr>
          <w:p w14:paraId="55FAB9E2">
            <w:pPr>
              <w:pStyle w:val="7"/>
              <w:jc w:val="center"/>
              <w:rPr>
                <w:rFonts w:hint="default" w:ascii="仿宋_GB2312" w:hAnsi="仿宋_GB2312" w:eastAsia="仿宋_GB2312" w:cs="仿宋_GB2312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2094" w:type="dxa"/>
            <w:vAlign w:val="center"/>
          </w:tcPr>
          <w:p w14:paraId="4BA660BF">
            <w:pPr>
              <w:pStyle w:val="7"/>
              <w:jc w:val="center"/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lang w:val="en-US" w:eastAsia="en-US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lang w:val="en-US" w:eastAsia="zh-CN"/>
              </w:rPr>
              <w:t>曲沃县发展和改革局</w:t>
            </w:r>
          </w:p>
        </w:tc>
        <w:tc>
          <w:tcPr>
            <w:tcW w:w="1550" w:type="dxa"/>
            <w:tcBorders>
              <w:left w:val="single" w:color="auto" w:sz="4" w:space="0"/>
            </w:tcBorders>
            <w:vAlign w:val="center"/>
          </w:tcPr>
          <w:p w14:paraId="2C34A339">
            <w:pPr>
              <w:pStyle w:val="7"/>
              <w:jc w:val="left"/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lang w:val="en-US" w:eastAsia="en-US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lang w:val="en-US" w:eastAsia="zh-CN"/>
              </w:rPr>
              <w:t>粮食收购企业未按照规定备案或者提供虚假备案信息的监督检查。</w:t>
            </w:r>
          </w:p>
        </w:tc>
        <w:tc>
          <w:tcPr>
            <w:tcW w:w="1476" w:type="dxa"/>
            <w:tcBorders>
              <w:right w:val="single" w:color="auto" w:sz="4" w:space="0"/>
            </w:tcBorders>
            <w:vAlign w:val="center"/>
          </w:tcPr>
          <w:p w14:paraId="3B32202D">
            <w:pPr>
              <w:pStyle w:val="7"/>
              <w:jc w:val="center"/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lang w:val="en-US" w:eastAsia="en-US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lang w:val="en-US" w:eastAsia="zh-CN"/>
              </w:rPr>
              <w:t>行政检查</w:t>
            </w:r>
          </w:p>
        </w:tc>
        <w:tc>
          <w:tcPr>
            <w:tcW w:w="10143" w:type="dxa"/>
            <w:tcBorders>
              <w:left w:val="single" w:color="auto" w:sz="4" w:space="0"/>
            </w:tcBorders>
            <w:vAlign w:val="center"/>
          </w:tcPr>
          <w:p w14:paraId="1ADAE26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firstLine="562" w:firstLineChars="20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napToGrid w:val="0"/>
                <w:color w:val="000000"/>
                <w:spacing w:val="0"/>
                <w:sz w:val="28"/>
                <w:szCs w:val="28"/>
                <w:lang w:val="en-US" w:eastAsia="zh-CN" w:bidi="ar-SA"/>
              </w:rPr>
              <w:t>1.【法律】《粮食安全保障法》第五十八条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sz w:val="28"/>
                <w:szCs w:val="28"/>
                <w:lang w:val="en-US" w:eastAsia="zh-CN" w:bidi="ar-SA"/>
              </w:rPr>
              <w:t>“县级以上人民政府发展改革、农业农村、粮食和储备、自然资源、水行政、生态环境、市场监督管理、工业和信息化等有关部门应当依照职责对粮食生产、储备、流通、加工等实施监督检查，并建立粮食安全监管协调机制和信息共享机制，加强协作配合”、</w:t>
            </w:r>
            <w:r>
              <w:rPr>
                <w:rFonts w:hint="eastAsia" w:ascii="仿宋_GB2312" w:hAnsi="仿宋_GB2312" w:eastAsia="仿宋_GB2312" w:cs="仿宋_GB2312"/>
                <w:b/>
                <w:bCs/>
                <w:snapToGrid w:val="0"/>
                <w:color w:val="000000"/>
                <w:spacing w:val="0"/>
                <w:sz w:val="28"/>
                <w:szCs w:val="28"/>
                <w:lang w:val="en-US" w:eastAsia="zh-CN" w:bidi="ar-SA"/>
              </w:rPr>
              <w:t>第六十一条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sz w:val="28"/>
                <w:szCs w:val="28"/>
                <w:lang w:val="en-US" w:eastAsia="zh-CN" w:bidi="ar-SA"/>
              </w:rPr>
              <w:t>“县级以上人民政府有关部门依照职责开展粮食安全监督检查，可以采取下列措施：（一）进入粮食生产经营场所实施现场检查；（二）向有关单位和人员调查了解相关情况；（三）进入涉嫌违法活动的场所调查取证；（四）查阅、复制有关文件、资料、账簿、凭证，对可能被转移、隐匿或者损毁的文件、资料、账簿、凭证、电子设备等予以封存；（五）查封、扣押涉嫌违法活动的场所、设施或者财物；（六）对有关单位的法定代表人、负责人或者其他工作人员进行约谈、询问”；</w:t>
            </w:r>
          </w:p>
          <w:p w14:paraId="56972CA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firstLine="562" w:firstLineChars="20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napToGrid w:val="0"/>
                <w:color w:val="000000"/>
                <w:spacing w:val="0"/>
                <w:sz w:val="28"/>
                <w:szCs w:val="28"/>
                <w:lang w:val="en-US" w:eastAsia="zh-CN" w:bidi="ar-SA"/>
              </w:rPr>
              <w:t>2.【行政法规】《粮食流通管理条例》第三十八条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sz w:val="28"/>
                <w:szCs w:val="28"/>
                <w:lang w:val="en-US" w:eastAsia="zh-CN" w:bidi="ar-SA"/>
              </w:rPr>
              <w:t>“粮食和储备行政管理部门依照本条例对粮食经营者从事粮食收购、储存、运输活动和政策性粮食的购销活动，以及执行国家粮食流通统计制度的情况进行监督检查。粮食和储备行政管理部门在监督检查过程中，可以进入粮食经营者经营场所，查阅有关资料、凭证；检查粮食数量、质量和储存安全情况；检查粮食仓储设施、设备是否符合有关标准和技术规范；向有关单位和人员调查了解相关情况；查封、扣押非法收购或者不符合国家粮食质量安全标准的粮食，用于违法经营或者被污染的工具、设备以及有关账簿资料；查封违法从事粮食经营活动的场所”；</w:t>
            </w:r>
          </w:p>
          <w:p w14:paraId="0D95080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firstLine="560" w:firstLineChars="20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sz w:val="28"/>
                <w:szCs w:val="28"/>
                <w:lang w:val="en-US" w:eastAsia="en-US" w:bidi="ar-SA"/>
              </w:rPr>
            </w:pPr>
          </w:p>
        </w:tc>
        <w:tc>
          <w:tcPr>
            <w:tcW w:w="1684" w:type="dxa"/>
            <w:tcBorders>
              <w:right w:val="single" w:color="auto" w:sz="4" w:space="0"/>
            </w:tcBorders>
            <w:vAlign w:val="center"/>
          </w:tcPr>
          <w:p w14:paraId="70B64D3C">
            <w:pPr>
              <w:pStyle w:val="7"/>
              <w:jc w:val="center"/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lang w:val="en-US" w:eastAsia="en-US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lang w:val="en-US" w:eastAsia="zh-CN"/>
              </w:rPr>
              <w:t>实地检查</w:t>
            </w:r>
          </w:p>
        </w:tc>
        <w:tc>
          <w:tcPr>
            <w:tcW w:w="1633" w:type="dxa"/>
            <w:tcBorders>
              <w:left w:val="single" w:color="auto" w:sz="4" w:space="0"/>
            </w:tcBorders>
          </w:tcPr>
          <w:p w14:paraId="50438898">
            <w:pPr>
              <w:pStyle w:val="7"/>
            </w:pPr>
          </w:p>
        </w:tc>
      </w:tr>
      <w:tr w14:paraId="2CB2BD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01" w:hRule="atLeast"/>
          <w:jc w:val="center"/>
        </w:trPr>
        <w:tc>
          <w:tcPr>
            <w:tcW w:w="660" w:type="dxa"/>
            <w:vAlign w:val="center"/>
          </w:tcPr>
          <w:p w14:paraId="0FC076F5">
            <w:pPr>
              <w:pStyle w:val="7"/>
              <w:jc w:val="center"/>
              <w:rPr>
                <w:rFonts w:hint="default" w:ascii="仿宋_GB2312" w:hAnsi="仿宋_GB2312" w:eastAsia="仿宋_GB2312" w:cs="仿宋_GB2312"/>
                <w:spacing w:val="0"/>
                <w:sz w:val="28"/>
                <w:szCs w:val="28"/>
                <w:lang w:eastAsia="zh-CN"/>
              </w:rPr>
            </w:pPr>
            <w:r>
              <w:rPr>
                <w:rFonts w:hint="default" w:ascii="仿宋_GB2312" w:hAnsi="仿宋_GB2312" w:eastAsia="仿宋_GB2312" w:cs="仿宋_GB2312"/>
                <w:spacing w:val="0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2094" w:type="dxa"/>
            <w:vAlign w:val="center"/>
          </w:tcPr>
          <w:p w14:paraId="79EEE354">
            <w:pPr>
              <w:pStyle w:val="7"/>
              <w:jc w:val="center"/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lang w:val="en-US" w:eastAsia="en-US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lang w:val="en-US" w:eastAsia="zh-CN"/>
              </w:rPr>
              <w:t>曲沃县发展和改革局</w:t>
            </w:r>
          </w:p>
        </w:tc>
        <w:tc>
          <w:tcPr>
            <w:tcW w:w="1550" w:type="dxa"/>
            <w:tcBorders>
              <w:left w:val="single" w:color="auto" w:sz="4" w:space="0"/>
            </w:tcBorders>
            <w:vAlign w:val="center"/>
          </w:tcPr>
          <w:p w14:paraId="156EE7BF">
            <w:pPr>
              <w:pStyle w:val="7"/>
              <w:jc w:val="left"/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lang w:val="en-US" w:eastAsia="zh-CN"/>
              </w:rPr>
              <w:t>对市、县级储备粮的品种、数量、质量和储存安全等实施监督检查。</w:t>
            </w:r>
          </w:p>
          <w:p w14:paraId="7B17B911">
            <w:pPr>
              <w:pStyle w:val="7"/>
              <w:jc w:val="center"/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lang w:val="en-US" w:eastAsia="en-US"/>
              </w:rPr>
            </w:pPr>
          </w:p>
        </w:tc>
        <w:tc>
          <w:tcPr>
            <w:tcW w:w="1476" w:type="dxa"/>
            <w:tcBorders>
              <w:right w:val="single" w:color="auto" w:sz="4" w:space="0"/>
            </w:tcBorders>
            <w:vAlign w:val="center"/>
          </w:tcPr>
          <w:p w14:paraId="62B1A31F">
            <w:pPr>
              <w:pStyle w:val="7"/>
              <w:jc w:val="center"/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lang w:val="en-US" w:eastAsia="en-US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lang w:val="en-US" w:eastAsia="zh-CN"/>
              </w:rPr>
              <w:t>行政检查</w:t>
            </w:r>
          </w:p>
        </w:tc>
        <w:tc>
          <w:tcPr>
            <w:tcW w:w="10143" w:type="dxa"/>
            <w:tcBorders>
              <w:left w:val="single" w:color="auto" w:sz="4" w:space="0"/>
            </w:tcBorders>
            <w:vAlign w:val="center"/>
          </w:tcPr>
          <w:p w14:paraId="375C622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firstLine="562" w:firstLineChars="20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snapToGrid w:val="0"/>
                <w:color w:val="000000"/>
                <w:spacing w:val="0"/>
                <w:sz w:val="28"/>
                <w:szCs w:val="28"/>
                <w:lang w:val="en-US" w:eastAsia="zh-CN" w:bidi="ar-SA"/>
              </w:rPr>
              <w:t>1.</w:t>
            </w:r>
            <w:r>
              <w:rPr>
                <w:rFonts w:hint="eastAsia" w:ascii="仿宋_GB2312" w:hAnsi="仿宋_GB2312" w:eastAsia="仿宋_GB2312" w:cs="仿宋_GB2312"/>
                <w:b/>
                <w:bCs/>
                <w:snapToGrid w:val="0"/>
                <w:color w:val="000000"/>
                <w:spacing w:val="0"/>
                <w:sz w:val="28"/>
                <w:szCs w:val="28"/>
                <w:lang w:val="en-US" w:eastAsia="zh-CN" w:bidi="ar-SA"/>
              </w:rPr>
              <w:t>【法律】</w:t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snapToGrid w:val="0"/>
                <w:color w:val="000000"/>
                <w:spacing w:val="0"/>
                <w:sz w:val="28"/>
                <w:szCs w:val="28"/>
                <w:lang w:val="en-US" w:eastAsia="zh-CN" w:bidi="ar-SA"/>
              </w:rPr>
              <w:t>《粮食安全保障法》第五十八条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sz w:val="28"/>
                <w:szCs w:val="28"/>
                <w:lang w:val="en-US" w:eastAsia="zh-CN" w:bidi="ar-SA"/>
              </w:rPr>
              <w:t>“县级以上人民政府发展改革、农业农村、粮食和储备、自然资源、水行政、生态环境、市场监督管理、工业和信息化等有关部门应当依照职责对粮食生产、储备、流通、加工等实施监督检查，并建立粮食安全监管协调机制和信息共享机制，加强协作配合”、</w:t>
            </w:r>
            <w:r>
              <w:rPr>
                <w:rFonts w:hint="eastAsia" w:ascii="仿宋_GB2312" w:hAnsi="仿宋_GB2312" w:eastAsia="仿宋_GB2312" w:cs="仿宋_GB2312"/>
                <w:b/>
                <w:bCs/>
                <w:snapToGrid w:val="0"/>
                <w:color w:val="000000"/>
                <w:spacing w:val="0"/>
                <w:sz w:val="28"/>
                <w:szCs w:val="28"/>
                <w:lang w:val="en-US" w:eastAsia="zh-CN" w:bidi="ar-SA"/>
              </w:rPr>
              <w:t>第六十一条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sz w:val="28"/>
                <w:szCs w:val="28"/>
                <w:lang w:val="en-US" w:eastAsia="zh-CN" w:bidi="ar-SA"/>
              </w:rPr>
              <w:t>“县级以上人民政府有关部门依照职责开展粮食安全监督检查，可以采取下列措施：（一）进入粮食生产经营场所实施现场检查；（二）向有关单位和人员调查了解相关情况；（三）进入涉嫌违法活动的场所调查取证；（四）查阅、复制有关文件、资料、账簿、凭证，对可能被转移、隐匿或者损毁的文件、资料、账簿、凭证、电子设备等予以封存；（五）查封、扣押涉嫌违法活动的场所、设施或者财物；（六）对有关单位的法定代表人、负责人或者其他工作人员进行约谈、询问”；</w:t>
            </w:r>
          </w:p>
          <w:p w14:paraId="5B2AB04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firstLine="562" w:firstLineChars="20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napToGrid w:val="0"/>
                <w:color w:val="000000"/>
                <w:spacing w:val="0"/>
                <w:sz w:val="28"/>
                <w:szCs w:val="28"/>
                <w:lang w:val="en-US" w:eastAsia="zh-CN" w:bidi="ar-SA"/>
              </w:rPr>
              <w:t>2.【行政法规】《粮食流通管理条例》第三十八条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sz w:val="28"/>
                <w:szCs w:val="28"/>
                <w:lang w:val="en-US" w:eastAsia="zh-CN" w:bidi="ar-SA"/>
              </w:rPr>
              <w:t>“粮食和储备行政管理部门依照本条例对粮食经营者从事粮食收购、储存、运输活动和政策性粮食的购销活动，以及执行国家粮食流通统计制度的情况进行监督检查。粮食和储备行政管理部门在监督检查过程中，可以进入粮食经营者经营场所，查阅有关资料、凭证；检查粮食数量、质量和储存安全情况；检查粮食仓储设施、设备是否符合有关标准和技术规范；向有关单位和人员调查了解相关情况；查封、扣押非法收购或者不符合国家粮食质量安全标准的粮食，用于违法经营或者被污染的工具、设备以及有关账簿资料；查封违法从事粮食经营活动的场所”；</w:t>
            </w:r>
          </w:p>
          <w:p w14:paraId="3F59021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firstLine="560" w:firstLineChars="20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sz w:val="28"/>
                <w:szCs w:val="28"/>
                <w:lang w:val="en-US" w:eastAsia="en-US" w:bidi="ar-SA"/>
              </w:rPr>
            </w:pPr>
          </w:p>
        </w:tc>
        <w:tc>
          <w:tcPr>
            <w:tcW w:w="1684" w:type="dxa"/>
            <w:tcBorders>
              <w:right w:val="single" w:color="auto" w:sz="4" w:space="0"/>
            </w:tcBorders>
            <w:vAlign w:val="center"/>
          </w:tcPr>
          <w:p w14:paraId="5753BD44">
            <w:pPr>
              <w:pStyle w:val="7"/>
              <w:jc w:val="center"/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lang w:val="en-US" w:eastAsia="en-US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lang w:val="en-US" w:eastAsia="zh-CN"/>
              </w:rPr>
              <w:t>实地检查</w:t>
            </w:r>
          </w:p>
        </w:tc>
        <w:tc>
          <w:tcPr>
            <w:tcW w:w="1633" w:type="dxa"/>
            <w:tcBorders>
              <w:left w:val="single" w:color="auto" w:sz="4" w:space="0"/>
            </w:tcBorders>
          </w:tcPr>
          <w:p w14:paraId="492D97AB">
            <w:pPr>
              <w:pStyle w:val="7"/>
            </w:pPr>
          </w:p>
        </w:tc>
      </w:tr>
    </w:tbl>
    <w:p w14:paraId="207B1C0A"/>
    <w:sectPr>
      <w:headerReference r:id="rId3" w:type="default"/>
      <w:pgSz w:w="23811" w:h="16838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0F9871C-DF66-4912-B2FA-74CE6E73E86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  <w:embedRegular r:id="rId2" w:fontKey="{4ACC8F9C-9863-4149-ACC7-554137CE3A07}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7C9B8346-2A00-4DC2-90A3-032B4FC24902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48EFCC0B-BF6E-4A5B-902B-6E227F274248}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5" w:fontKey="{EA1B1712-7A1A-4B8A-A467-FBF48A9E4AB8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887DE8">
    <w:pPr>
      <w:pStyle w:val="3"/>
      <w:jc w:val="center"/>
      <w:rPr>
        <w:rFonts w:hint="eastAsia" w:ascii="方正小标宋_GBK" w:hAnsi="方正小标宋_GBK" w:eastAsia="方正小标宋_GBK" w:cs="方正小标宋_GBK"/>
        <w:sz w:val="44"/>
        <w:szCs w:val="44"/>
        <w:lang w:val="en-US" w:eastAsia="zh-CN"/>
      </w:rPr>
    </w:pPr>
    <w:r>
      <w:rPr>
        <w:rFonts w:hint="eastAsia" w:ascii="方正小标宋_GBK" w:hAnsi="方正小标宋_GBK" w:eastAsia="方正小标宋_GBK" w:cs="方正小标宋_GBK"/>
        <w:sz w:val="44"/>
        <w:szCs w:val="44"/>
        <w:lang w:val="en-US" w:eastAsia="zh-CN"/>
      </w:rPr>
      <w:t>曲沃县发展和改革局行政执法监督检查事项目录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C94431"/>
    <w:rsid w:val="0702380D"/>
    <w:rsid w:val="13000971"/>
    <w:rsid w:val="27C94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2014</Words>
  <Characters>2020</Characters>
  <Lines>0</Lines>
  <Paragraphs>0</Paragraphs>
  <TotalTime>5</TotalTime>
  <ScaleCrop>false</ScaleCrop>
  <LinksUpToDate>false</LinksUpToDate>
  <CharactersWithSpaces>2020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2025-08-06T07:26:00Z</dcterms:created>
  <dc:creator>月  半</dc:creator>
  <cp:lastModifiedBy>Sakura.</cp:lastModifiedBy>
  <dcterms:modified xsi:type="dcterms:W3CDTF">2025-08-19T09:18:31Z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1E0F7411A1E143998890DC670872EBB7_13</vt:lpwstr>
  </property>
  <property fmtid="{D5CDD505-2E9C-101B-9397-08002B2CF9AE}" pid="4" name="KSOTemplateDocerSaveRecord">
    <vt:lpwstr>eyJoZGlkIjoiNWM2MjE2NjM1ODI0YjA5NThhMTVhMDc4MDk5YzNkYjEiLCJ1c2VySWQiOiI0OTA4Nzg0MTAifQ==</vt:lpwstr>
  </property>
</Properties>
</file>