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00" w:lineRule="exact"/>
        <w:ind w:right="0" w:rightChars="0"/>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mc:AlternateContent>
          <mc:Choice Requires="wps">
            <w:drawing>
              <wp:anchor distT="0" distB="0" distL="114300" distR="114300" simplePos="0" relativeHeight="251661312" behindDoc="0" locked="0" layoutInCell="1" allowOverlap="1">
                <wp:simplePos x="0" y="0"/>
                <wp:positionH relativeFrom="column">
                  <wp:posOffset>-174625</wp:posOffset>
                </wp:positionH>
                <wp:positionV relativeFrom="paragraph">
                  <wp:posOffset>-115570</wp:posOffset>
                </wp:positionV>
                <wp:extent cx="869950" cy="479425"/>
                <wp:effectExtent l="0" t="0" r="0" b="0"/>
                <wp:wrapNone/>
                <wp:docPr id="179" name="矩形 69"/>
                <wp:cNvGraphicFramePr/>
                <a:graphic xmlns:a="http://schemas.openxmlformats.org/drawingml/2006/main">
                  <a:graphicData uri="http://schemas.microsoft.com/office/word/2010/wordprocessingShape">
                    <wps:wsp>
                      <wps:cNvSpPr/>
                      <wps:spPr>
                        <a:xfrm>
                          <a:off x="0" y="0"/>
                          <a:ext cx="869950" cy="479425"/>
                        </a:xfrm>
                        <a:prstGeom prst="rect">
                          <a:avLst/>
                        </a:prstGeom>
                        <a:noFill/>
                        <a:ln w="9525" cap="flat" cmpd="sng">
                          <a:noFill/>
                          <a:prstDash val="solid"/>
                          <a:miter/>
                          <a:headEnd type="none" w="med" len="med"/>
                          <a:tailEnd type="none" w="med" len="med"/>
                        </a:ln>
                      </wps:spPr>
                      <wps:txbx>
                        <w:txbxContent>
                          <w:p>
                            <w:pPr>
                              <w:jc w:val="center"/>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txbxContent>
                      </wps:txbx>
                      <wps:bodyPr upright="true"/>
                    </wps:wsp>
                  </a:graphicData>
                </a:graphic>
              </wp:anchor>
            </w:drawing>
          </mc:Choice>
          <mc:Fallback>
            <w:pict>
              <v:rect id="矩形 69" o:spid="_x0000_s1026" o:spt="1" style="position:absolute;left:0pt;margin-left:-13.75pt;margin-top:-9.1pt;height:37.75pt;width:68.5pt;z-index:251661312;mso-width-relative:page;mso-height-relative:page;" filled="f" stroked="f" coordsize="21600,21600" o:gfxdata="UEsFBgAAAAAAAAAAAAAAAAAAAAAAAFBLAwQKAAAAAACHTuJAAAAAAAAAAAAAAAAABAAAAGRycy9Q&#10;SwMEFAAAAAgAh07iQHy88tXaAAAACgEAAA8AAABkcnMvZG93bnJldi54bWxNj01PwkAQhu8m/ofN&#10;mHgxsNsaBGq3HEiMxJgQi3Be2rFt7M6W7tLiv3c46W0+nrzzTLq62FYM2PvGkYZoqkAgFa5sqNLw&#10;uXuZLED4YKg0rSPU8IMeVtntTWqS0o30gUMeKsEh5BOjoQ6hS6T0RY3W+KnrkHj35XprArd9Jcve&#10;jBxuWxkr9SStaYgv1KbDdY3Fd362GsZiOxx2769y+3DYODptTut8/6b1/V2knkEEvIQ/GK76rA4Z&#10;Ox3dmUovWg2TeD5jlItoEYO4EmrJk6OG2fwRZJbK/y9kv1BLAwQUAAAACACHTuJA37Vv1NQBAACO&#10;AwAADgAAAGRycy9lMm9Eb2MueG1srZPPbhMxEMbvSLyD5TvZNGrS7iqbXkK5IKhU+gATe3bXkv/J&#10;drKbp0HixkPwOIjXYOyEtIILQlycsWfy2d9vZtd3k9HsgCEqZ1t+NZtzhlY4qWzf8qdP929uOYsJ&#10;rATtLLb8iJHfbV6/Wo++wYUbnJYYGInY2Iy+5UNKvqmqKAY0EGfOo6Vk54KBRNvQVzLASOpGV4v5&#10;fFWNLkgfnMAY6XR7SvJN0e86FOlj10VMTLec3pbKGsq6y2u1WUPTB/CDEudnwD+8woCydOlFagsJ&#10;2D6oP6SMEsFF16WZcKZyXacEFg/k5mr+m5vHATwWLwQn+gum+P9kxYfDQ2BKUu9uas4sGGrSj89f&#10;v3/7wlZ1xjP62FDVo38I512kMHudumDyL7lgU0F6vCDFKTFBh7erul4SeEGp65v6erHMmtXzn32I&#10;6R06w3LQ8kAdKyDh8D6mU+mvknyXdfdKazqHRls2trxekiQTQLPTaUgUGk9uou2LzIv6LLOFOLAD&#10;0DBEp5U8td+ohNkbNAOCfGslS0dPGCxNLM93GJScaaQBz1GpTKD031SSU23JcKZ44pajNO0mksnh&#10;zskjdWDvg+oHApDCHguinKSmF1jnAc1T9XJfdJ8/o81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FgAAAGRycy9QSwECFAAUAAAACACHTuJA&#10;fLzy1doAAAAKAQAADwAAAAAAAAABACAAAAA4AAAAZHJzL2Rvd25yZXYueG1sUEsBAhQAFAAAAAgA&#10;h07iQN+1b9TUAQAAjgMAAA4AAAAAAAAAAQAgAAAAPwEAAGRycy9lMm9Eb2MueG1sUEsFBgAAAAAG&#10;AAYAWQEAAIUFAAAAAA==&#10;">
                <v:fill on="f" focussize="0,0"/>
                <v:stroke on="f" joinstyle="miter"/>
                <v:imagedata o:title=""/>
                <o:lock v:ext="edit" aspectratio="f"/>
                <v:textbox>
                  <w:txbxContent>
                    <w:p>
                      <w:pPr>
                        <w:jc w:val="center"/>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txbxContent>
                </v:textbox>
              </v:rect>
            </w:pict>
          </mc:Fallback>
        </mc:AlternateContent>
      </w:r>
    </w:p>
    <w:p>
      <w:pPr>
        <w:keepNext w:val="0"/>
        <w:keepLines w:val="0"/>
        <w:pageBreakBefore w:val="0"/>
        <w:kinsoku/>
        <w:wordWrap/>
        <w:overflowPunct/>
        <w:topLinePunct w:val="0"/>
        <w:autoSpaceDE/>
        <w:autoSpaceDN/>
        <w:bidi w:val="0"/>
        <w:adjustRightInd/>
        <w:snapToGrid/>
        <w:spacing w:line="600" w:lineRule="exact"/>
        <w:ind w:right="0" w:rightChars="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eastAsia="zh-CN"/>
        </w:rPr>
        <w:t>曲沃</w:t>
      </w:r>
      <w:r>
        <w:rPr>
          <w:rFonts w:hint="default" w:ascii="方正小标宋简体" w:hAnsi="方正小标宋简体" w:eastAsia="方正小标宋简体" w:cs="方正小标宋简体"/>
          <w:b w:val="0"/>
          <w:bCs w:val="0"/>
          <w:sz w:val="44"/>
          <w:szCs w:val="44"/>
          <w:lang w:eastAsia="zh-CN"/>
        </w:rPr>
        <w:t>县辐射事故</w:t>
      </w:r>
      <w:r>
        <w:rPr>
          <w:rFonts w:hint="eastAsia" w:ascii="方正小标宋简体" w:hAnsi="方正小标宋简体" w:eastAsia="方正小标宋简体" w:cs="方正小标宋简体"/>
          <w:b w:val="0"/>
          <w:bCs w:val="0"/>
          <w:sz w:val="44"/>
          <w:szCs w:val="44"/>
          <w:lang w:val="en-US" w:eastAsia="zh-CN"/>
        </w:rPr>
        <w:t>应急现场指挥部及其办公室、成员单位职责</w:t>
      </w:r>
    </w:p>
    <w:p>
      <w:pPr>
        <w:pStyle w:val="2"/>
        <w:rPr>
          <w:rFonts w:hint="eastAsia"/>
          <w:lang w:eastAsia="zh-CN"/>
        </w:rPr>
      </w:pPr>
      <w:bookmarkStart w:id="0" w:name="_GoBack"/>
      <w:bookmarkEnd w:id="0"/>
    </w:p>
    <w:tbl>
      <w:tblPr>
        <w:tblStyle w:val="3"/>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47"/>
        <w:gridCol w:w="2764"/>
        <w:gridCol w:w="1044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0" w:type="pct"/>
            <w:gridSpan w:val="2"/>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指挥机构</w:t>
            </w:r>
          </w:p>
        </w:tc>
        <w:tc>
          <w:tcPr>
            <w:tcW w:w="3689" w:type="pct"/>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职责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4" w:type="pct"/>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指挥长</w:t>
            </w:r>
          </w:p>
        </w:tc>
        <w:tc>
          <w:tcPr>
            <w:tcW w:w="975" w:type="pct"/>
            <w:noWrap w:val="0"/>
            <w:vAlign w:val="center"/>
          </w:tcPr>
          <w:p>
            <w:pPr>
              <w:keepNext w:val="0"/>
              <w:keepLines w:val="0"/>
              <w:suppressLineNumbers w:val="0"/>
              <w:spacing w:before="0" w:beforeAutospacing="0" w:after="0" w:afterAutospacing="0"/>
              <w:ind w:left="0" w:right="0"/>
              <w:jc w:val="center"/>
              <w:rPr>
                <w:rFonts w:hint="default" w:ascii="仿宋" w:hAnsi="仿宋" w:eastAsia="仿宋" w:cs="仿宋"/>
                <w:kern w:val="10"/>
                <w:szCs w:val="21"/>
                <w:lang w:val="en-US" w:eastAsia="zh-CN"/>
              </w:rPr>
            </w:pPr>
            <w:r>
              <w:rPr>
                <w:rFonts w:hint="eastAsia" w:ascii="仿宋" w:hAnsi="仿宋" w:eastAsia="仿宋" w:cs="仿宋"/>
                <w:kern w:val="10"/>
                <w:szCs w:val="21"/>
                <w:lang w:val="en-US" w:eastAsia="zh-CN"/>
              </w:rPr>
              <w:t>县政府分管生态环境工作的副县长</w:t>
            </w:r>
          </w:p>
        </w:tc>
        <w:tc>
          <w:tcPr>
            <w:tcW w:w="3689" w:type="pct"/>
            <w:vMerge w:val="restart"/>
            <w:noWrap w:val="0"/>
            <w:vAlign w:val="center"/>
          </w:tcPr>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县指挥部职责：</w:t>
            </w:r>
          </w:p>
          <w:p>
            <w:pPr>
              <w:keepNext w:val="0"/>
              <w:keepLines w:val="0"/>
              <w:numPr>
                <w:ilvl w:val="0"/>
                <w:numId w:val="0"/>
              </w:numPr>
              <w:suppressLineNumbers w:val="0"/>
              <w:spacing w:before="0" w:beforeAutospacing="0" w:after="0" w:afterAutospacing="0"/>
              <w:ind w:right="0" w:rightChars="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（1）贯彻落实党中央、国务院及省委、省政府、市委、市政府、县委、县政府关于辐射安全工作的决策部署；</w:t>
            </w:r>
          </w:p>
          <w:p>
            <w:pPr>
              <w:keepNext w:val="0"/>
              <w:keepLines w:val="0"/>
              <w:numPr>
                <w:ilvl w:val="0"/>
                <w:numId w:val="0"/>
              </w:numPr>
              <w:suppressLineNumbers w:val="0"/>
              <w:spacing w:before="0" w:beforeAutospacing="0" w:after="0" w:afterAutospacing="0"/>
              <w:ind w:right="0" w:rightChars="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（2）统筹协调全县辐射安全防范和隐患排查治理工作；</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（3）制定辐射安全总体规划、重要措施；</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（4）组织指挥一般辐射事故应急处置工作；</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（5）组织实施辐射事故调查评估和善后处置工作；</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（6）落实县委、县政府及县应急救援总指挥部交办的辐射事故应急处置的其他重大事项。县指挥部办公室设在市生态环境局曲沃分局，市生态环境局曲沃分局局长兼任办公室主任。</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县指挥部办公室职责：</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（1）承担一般辐射事故应急指挥部日常工作，制定、修订辐射事故应急预案；</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（2）组织辐射环境污染防范和隐患排查治理工作；</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（3）开展桌面推演、实兵演练等应对辐射事故专项训练；</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（4）协调各方面力量参加较大辐射事故救援行动；</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（5）协助县委、县政府指定的负责同志组织一般辐射事故应急处置工作；</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（6）协调组织一般辐射事故调查评估和善后处置工作，报告和发布一般辐射事故事件信息；</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（7）指导乡镇级做好辐射事故应对等工作。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4" w:type="pct"/>
            <w:vMerge w:val="restart"/>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副指</w:t>
            </w:r>
          </w:p>
          <w:p>
            <w:pPr>
              <w:keepNext w:val="0"/>
              <w:keepLines w:val="0"/>
              <w:suppressLineNumbers w:val="0"/>
              <w:spacing w:before="0" w:beforeAutospacing="0" w:after="0" w:afterAutospacing="0"/>
              <w:ind w:left="0" w:right="0"/>
              <w:jc w:val="center"/>
              <w:rPr>
                <w:rFonts w:hint="default" w:ascii="仿宋" w:hAnsi="仿宋" w:eastAsia="仿宋" w:cs="仿宋"/>
                <w:kern w:val="10"/>
                <w:szCs w:val="21"/>
                <w:lang w:val="en-US" w:eastAsia="zh-CN"/>
              </w:rPr>
            </w:pPr>
            <w:r>
              <w:rPr>
                <w:rFonts w:hint="eastAsia" w:ascii="仿宋" w:hAnsi="仿宋" w:eastAsia="仿宋" w:cs="仿宋"/>
                <w:kern w:val="10"/>
                <w:szCs w:val="21"/>
                <w:lang w:val="en-US" w:eastAsia="zh-CN"/>
              </w:rPr>
              <w:t>挥长</w:t>
            </w:r>
          </w:p>
        </w:tc>
        <w:tc>
          <w:tcPr>
            <w:tcW w:w="975" w:type="pct"/>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县政府办公室协助工作的副主任</w:t>
            </w:r>
          </w:p>
        </w:tc>
        <w:tc>
          <w:tcPr>
            <w:tcW w:w="3689" w:type="pct"/>
            <w:vMerge w:val="continue"/>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4" w:type="pct"/>
            <w:vMerge w:val="continue"/>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p>
        </w:tc>
        <w:tc>
          <w:tcPr>
            <w:tcW w:w="975" w:type="pct"/>
            <w:noWrap w:val="0"/>
            <w:vAlign w:val="center"/>
          </w:tcPr>
          <w:p>
            <w:pPr>
              <w:keepNext w:val="0"/>
              <w:keepLines w:val="0"/>
              <w:suppressLineNumbers w:val="0"/>
              <w:spacing w:before="0" w:beforeAutospacing="0" w:after="0" w:afterAutospacing="0"/>
              <w:ind w:left="0" w:right="0"/>
              <w:jc w:val="center"/>
              <w:rPr>
                <w:rFonts w:hint="default" w:ascii="仿宋" w:hAnsi="仿宋" w:eastAsia="仿宋" w:cs="仿宋"/>
                <w:kern w:val="10"/>
                <w:szCs w:val="21"/>
                <w:lang w:val="en-US" w:eastAsia="zh-CN"/>
              </w:rPr>
            </w:pPr>
            <w:r>
              <w:rPr>
                <w:rFonts w:hint="eastAsia" w:ascii="仿宋" w:hAnsi="仿宋" w:eastAsia="仿宋" w:cs="仿宋"/>
                <w:kern w:val="10"/>
                <w:szCs w:val="21"/>
                <w:lang w:val="en-US" w:eastAsia="zh-CN"/>
              </w:rPr>
              <w:t>市生态环境局曲沃分局主要负责人</w:t>
            </w:r>
          </w:p>
        </w:tc>
        <w:tc>
          <w:tcPr>
            <w:tcW w:w="3689" w:type="pct"/>
            <w:vMerge w:val="continue"/>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4" w:type="pct"/>
            <w:vMerge w:val="continue"/>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p>
        </w:tc>
        <w:tc>
          <w:tcPr>
            <w:tcW w:w="975" w:type="pct"/>
            <w:noWrap w:val="0"/>
            <w:vAlign w:val="center"/>
          </w:tcPr>
          <w:p>
            <w:pPr>
              <w:keepNext w:val="0"/>
              <w:keepLines w:val="0"/>
              <w:suppressLineNumbers w:val="0"/>
              <w:spacing w:before="0" w:beforeAutospacing="0" w:after="0" w:afterAutospacing="0"/>
              <w:ind w:left="0" w:right="0"/>
              <w:jc w:val="center"/>
              <w:rPr>
                <w:rFonts w:hint="default" w:ascii="仿宋" w:hAnsi="仿宋" w:eastAsia="仿宋" w:cs="仿宋"/>
                <w:kern w:val="10"/>
                <w:szCs w:val="21"/>
                <w:lang w:val="en-US" w:eastAsia="zh-CN"/>
              </w:rPr>
            </w:pPr>
            <w:r>
              <w:rPr>
                <w:rFonts w:hint="eastAsia" w:ascii="仿宋" w:hAnsi="仿宋" w:eastAsia="仿宋" w:cs="仿宋"/>
                <w:kern w:val="10"/>
                <w:szCs w:val="21"/>
                <w:lang w:val="en-US" w:eastAsia="zh-CN"/>
              </w:rPr>
              <w:t>县应急管理局主要负责人</w:t>
            </w:r>
          </w:p>
        </w:tc>
        <w:tc>
          <w:tcPr>
            <w:tcW w:w="3689" w:type="pct"/>
            <w:vMerge w:val="continue"/>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334" w:type="pct"/>
            <w:vMerge w:val="continue"/>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p>
        </w:tc>
        <w:tc>
          <w:tcPr>
            <w:tcW w:w="975" w:type="pct"/>
            <w:noWrap w:val="0"/>
            <w:vAlign w:val="center"/>
          </w:tcPr>
          <w:p>
            <w:pPr>
              <w:keepNext w:val="0"/>
              <w:keepLines w:val="0"/>
              <w:suppressLineNumbers w:val="0"/>
              <w:spacing w:before="0" w:beforeAutospacing="0" w:after="0" w:afterAutospacing="0"/>
              <w:ind w:left="0" w:right="0"/>
              <w:jc w:val="center"/>
              <w:rPr>
                <w:rFonts w:hint="default" w:ascii="仿宋" w:hAnsi="仿宋" w:eastAsia="仿宋" w:cs="仿宋"/>
                <w:kern w:val="10"/>
                <w:szCs w:val="21"/>
                <w:lang w:val="en-US" w:eastAsia="zh-CN"/>
              </w:rPr>
            </w:pPr>
            <w:r>
              <w:rPr>
                <w:rFonts w:hint="eastAsia" w:ascii="仿宋" w:hAnsi="仿宋" w:eastAsia="仿宋" w:cs="仿宋"/>
                <w:kern w:val="10"/>
                <w:szCs w:val="21"/>
                <w:lang w:val="en-US" w:eastAsia="zh-CN"/>
              </w:rPr>
              <w:t>县人武部分管负责人</w:t>
            </w:r>
          </w:p>
        </w:tc>
        <w:tc>
          <w:tcPr>
            <w:tcW w:w="3689" w:type="pct"/>
            <w:vMerge w:val="continue"/>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4" w:type="pct"/>
            <w:vMerge w:val="continue"/>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p>
        </w:tc>
        <w:tc>
          <w:tcPr>
            <w:tcW w:w="975" w:type="pct"/>
            <w:noWrap w:val="0"/>
            <w:vAlign w:val="center"/>
          </w:tcPr>
          <w:p>
            <w:pPr>
              <w:keepNext w:val="0"/>
              <w:keepLines w:val="0"/>
              <w:suppressLineNumbers w:val="0"/>
              <w:spacing w:before="0" w:beforeAutospacing="0" w:after="0" w:afterAutospacing="0"/>
              <w:ind w:left="0" w:right="0"/>
              <w:jc w:val="center"/>
              <w:rPr>
                <w:rFonts w:hint="default" w:ascii="仿宋" w:hAnsi="仿宋" w:eastAsia="仿宋" w:cs="仿宋"/>
                <w:kern w:val="10"/>
                <w:szCs w:val="21"/>
                <w:lang w:val="en-US" w:eastAsia="zh-CN"/>
              </w:rPr>
            </w:pPr>
            <w:r>
              <w:rPr>
                <w:rFonts w:hint="eastAsia" w:ascii="仿宋" w:hAnsi="仿宋" w:eastAsia="仿宋" w:cs="仿宋"/>
                <w:kern w:val="10"/>
                <w:szCs w:val="21"/>
                <w:lang w:val="en-US" w:eastAsia="zh-CN"/>
              </w:rPr>
              <w:t>县消防救援大队主要负责人</w:t>
            </w:r>
          </w:p>
        </w:tc>
        <w:tc>
          <w:tcPr>
            <w:tcW w:w="3689" w:type="pct"/>
            <w:vMerge w:val="continue"/>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4" w:type="pct"/>
            <w:vMerge w:val="continue"/>
            <w:noWrap w:val="0"/>
            <w:vAlign w:val="center"/>
          </w:tcPr>
          <w:p>
            <w:pPr>
              <w:keepNext w:val="0"/>
              <w:keepLines w:val="0"/>
              <w:suppressLineNumbers w:val="0"/>
              <w:spacing w:before="0" w:beforeAutospacing="0" w:after="0" w:afterAutospacing="0"/>
              <w:ind w:left="0" w:right="0"/>
              <w:jc w:val="center"/>
            </w:pPr>
          </w:p>
        </w:tc>
        <w:tc>
          <w:tcPr>
            <w:tcW w:w="975" w:type="pct"/>
            <w:noWrap w:val="0"/>
            <w:vAlign w:val="center"/>
          </w:tcPr>
          <w:p>
            <w:pPr>
              <w:keepNext w:val="0"/>
              <w:keepLines w:val="0"/>
              <w:suppressLineNumbers w:val="0"/>
              <w:spacing w:before="0" w:beforeAutospacing="0" w:after="0" w:afterAutospacing="0"/>
              <w:ind w:left="0" w:right="0"/>
              <w:jc w:val="center"/>
              <w:rPr>
                <w:rFonts w:hint="default" w:ascii="仿宋" w:hAnsi="仿宋" w:eastAsia="仿宋" w:cs="仿宋"/>
                <w:kern w:val="10"/>
                <w:szCs w:val="21"/>
                <w:lang w:val="en-US" w:eastAsia="zh-CN"/>
              </w:rPr>
            </w:pPr>
            <w:r>
              <w:rPr>
                <w:rFonts w:hint="eastAsia" w:ascii="仿宋" w:hAnsi="仿宋" w:eastAsia="仿宋" w:cs="仿宋"/>
                <w:kern w:val="10"/>
                <w:szCs w:val="21"/>
                <w:lang w:val="en-US" w:eastAsia="zh-CN"/>
              </w:rPr>
              <w:t>事发地乡镇长</w:t>
            </w:r>
          </w:p>
        </w:tc>
        <w:tc>
          <w:tcPr>
            <w:tcW w:w="3689" w:type="pct"/>
            <w:vMerge w:val="continue"/>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4" w:type="pct"/>
            <w:vMerge w:val="restart"/>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成员</w:t>
            </w:r>
          </w:p>
          <w:p>
            <w:pPr>
              <w:keepNext w:val="0"/>
              <w:keepLines w:val="0"/>
              <w:suppressLineNumbers w:val="0"/>
              <w:spacing w:before="0" w:beforeAutospacing="0" w:after="0" w:afterAutospacing="0"/>
              <w:ind w:left="0" w:right="0"/>
              <w:jc w:val="center"/>
              <w:rPr>
                <w:rFonts w:hint="default" w:ascii="仿宋" w:hAnsi="仿宋" w:eastAsia="仿宋" w:cs="仿宋"/>
                <w:kern w:val="10"/>
                <w:szCs w:val="21"/>
                <w:lang w:val="en-US" w:eastAsia="zh-CN"/>
              </w:rPr>
            </w:pPr>
            <w:r>
              <w:rPr>
                <w:rFonts w:hint="eastAsia" w:ascii="仿宋" w:hAnsi="仿宋" w:eastAsia="仿宋" w:cs="仿宋"/>
                <w:kern w:val="10"/>
                <w:szCs w:val="21"/>
                <w:lang w:val="en-US" w:eastAsia="zh-CN"/>
              </w:rPr>
              <w:t>单位</w:t>
            </w:r>
          </w:p>
        </w:tc>
        <w:tc>
          <w:tcPr>
            <w:tcW w:w="975" w:type="pct"/>
            <w:noWrap w:val="0"/>
            <w:vAlign w:val="center"/>
          </w:tcPr>
          <w:p>
            <w:pPr>
              <w:keepNext w:val="0"/>
              <w:keepLines w:val="0"/>
              <w:suppressLineNumbers w:val="0"/>
              <w:spacing w:before="0" w:beforeAutospacing="0" w:after="0" w:afterAutospacing="0"/>
              <w:ind w:left="0" w:right="0"/>
              <w:jc w:val="center"/>
              <w:rPr>
                <w:rFonts w:hint="default" w:ascii="仿宋" w:hAnsi="仿宋" w:eastAsia="仿宋" w:cs="仿宋"/>
                <w:kern w:val="10"/>
                <w:szCs w:val="21"/>
                <w:lang w:val="en-US" w:eastAsia="zh-CN"/>
              </w:rPr>
            </w:pPr>
            <w:r>
              <w:rPr>
                <w:rFonts w:hint="eastAsia" w:ascii="仿宋" w:hAnsi="仿宋" w:eastAsia="仿宋" w:cs="仿宋"/>
                <w:kern w:val="10"/>
                <w:szCs w:val="21"/>
                <w:lang w:val="en-US" w:eastAsia="zh-CN"/>
              </w:rPr>
              <w:t>县委宣传部</w:t>
            </w:r>
          </w:p>
        </w:tc>
        <w:tc>
          <w:tcPr>
            <w:tcW w:w="3689" w:type="pct"/>
            <w:noWrap w:val="0"/>
            <w:vAlign w:val="center"/>
          </w:tcPr>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根据县指挥部统一部署，组织协调新闻媒体开展应急新闻报道，积极引导舆论。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4" w:type="pct"/>
            <w:vMerge w:val="continue"/>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p>
        </w:tc>
        <w:tc>
          <w:tcPr>
            <w:tcW w:w="975" w:type="pct"/>
            <w:noWrap w:val="0"/>
            <w:vAlign w:val="center"/>
          </w:tcPr>
          <w:p>
            <w:pPr>
              <w:keepNext w:val="0"/>
              <w:keepLines w:val="0"/>
              <w:suppressLineNumbers w:val="0"/>
              <w:spacing w:before="0" w:beforeAutospacing="0" w:after="0" w:afterAutospacing="0"/>
              <w:ind w:left="0" w:right="0"/>
              <w:jc w:val="center"/>
              <w:rPr>
                <w:rFonts w:hint="default" w:ascii="仿宋" w:hAnsi="仿宋" w:eastAsia="仿宋" w:cs="仿宋"/>
                <w:kern w:val="10"/>
                <w:szCs w:val="21"/>
                <w:lang w:val="en-US" w:eastAsia="zh-CN"/>
              </w:rPr>
            </w:pPr>
            <w:r>
              <w:rPr>
                <w:rFonts w:hint="eastAsia" w:ascii="仿宋" w:hAnsi="仿宋" w:eastAsia="仿宋" w:cs="仿宋"/>
                <w:kern w:val="10"/>
                <w:szCs w:val="21"/>
                <w:lang w:val="en-US" w:eastAsia="zh-CN"/>
              </w:rPr>
              <w:t>县发改局</w:t>
            </w:r>
          </w:p>
        </w:tc>
        <w:tc>
          <w:tcPr>
            <w:tcW w:w="3689" w:type="pct"/>
            <w:noWrap w:val="0"/>
            <w:vAlign w:val="center"/>
          </w:tcPr>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负责协调落实县级重要物资和应急储备物资动用计划和指令。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4" w:type="pct"/>
            <w:vMerge w:val="continue"/>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p>
        </w:tc>
        <w:tc>
          <w:tcPr>
            <w:tcW w:w="975" w:type="pct"/>
            <w:noWrap w:val="0"/>
            <w:vAlign w:val="center"/>
          </w:tcPr>
          <w:p>
            <w:pPr>
              <w:keepNext w:val="0"/>
              <w:keepLines w:val="0"/>
              <w:suppressLineNumbers w:val="0"/>
              <w:spacing w:before="0" w:beforeAutospacing="0" w:after="0" w:afterAutospacing="0"/>
              <w:ind w:left="0" w:right="0"/>
              <w:jc w:val="center"/>
              <w:rPr>
                <w:rFonts w:hint="default" w:ascii="仿宋" w:hAnsi="仿宋" w:eastAsia="仿宋" w:cs="仿宋"/>
                <w:kern w:val="10"/>
                <w:szCs w:val="21"/>
                <w:lang w:val="en-US" w:eastAsia="zh-CN"/>
              </w:rPr>
            </w:pPr>
            <w:r>
              <w:rPr>
                <w:rFonts w:hint="eastAsia" w:ascii="仿宋" w:hAnsi="仿宋" w:eastAsia="仿宋" w:cs="仿宋"/>
                <w:kern w:val="10"/>
                <w:szCs w:val="21"/>
                <w:lang w:val="en-US" w:eastAsia="zh-CN"/>
              </w:rPr>
              <w:t>县公安局</w:t>
            </w:r>
          </w:p>
        </w:tc>
        <w:tc>
          <w:tcPr>
            <w:tcW w:w="3689" w:type="pct"/>
            <w:noWrap w:val="0"/>
            <w:vAlign w:val="center"/>
          </w:tcPr>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（1）根据县指挥部的统一部署，封闭事故现场，维护突发辐射事故发生地公共秩序；</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（2）负责丢失、被盗放射源的立案侦查和追缴工作；</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（3）设立现场警戒区和交通管制区域；</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（4）协助主管部门转移、疏散受灾群众。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4" w:type="pct"/>
            <w:vMerge w:val="continue"/>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p>
        </w:tc>
        <w:tc>
          <w:tcPr>
            <w:tcW w:w="975" w:type="pct"/>
            <w:noWrap w:val="0"/>
            <w:vAlign w:val="center"/>
          </w:tcPr>
          <w:p>
            <w:pPr>
              <w:keepNext w:val="0"/>
              <w:keepLines w:val="0"/>
              <w:suppressLineNumbers w:val="0"/>
              <w:spacing w:before="0" w:beforeAutospacing="0" w:after="0" w:afterAutospacing="0"/>
              <w:ind w:left="0" w:right="0"/>
              <w:jc w:val="center"/>
              <w:rPr>
                <w:rFonts w:hint="default" w:ascii="仿宋" w:hAnsi="仿宋" w:eastAsia="仿宋" w:cs="仿宋"/>
                <w:kern w:val="10"/>
                <w:szCs w:val="21"/>
                <w:lang w:val="en-US" w:eastAsia="zh-CN"/>
              </w:rPr>
            </w:pPr>
            <w:r>
              <w:rPr>
                <w:rFonts w:hint="eastAsia" w:ascii="仿宋" w:hAnsi="仿宋" w:eastAsia="仿宋" w:cs="仿宋"/>
                <w:kern w:val="10"/>
                <w:szCs w:val="21"/>
                <w:lang w:val="en-US" w:eastAsia="zh-CN"/>
              </w:rPr>
              <w:t>县财政局</w:t>
            </w:r>
          </w:p>
        </w:tc>
        <w:tc>
          <w:tcPr>
            <w:tcW w:w="3689" w:type="pct"/>
            <w:noWrap w:val="0"/>
            <w:vAlign w:val="center"/>
          </w:tcPr>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负责保障县级辐射事故应急能力建设经费，确保县级突发辐射事故处置所需装备、器材等物资经费，并做好经费使用情况的监督检查工作。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4" w:type="pct"/>
            <w:vMerge w:val="continue"/>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p>
        </w:tc>
        <w:tc>
          <w:tcPr>
            <w:tcW w:w="975" w:type="pct"/>
            <w:noWrap w:val="0"/>
            <w:vAlign w:val="center"/>
          </w:tcPr>
          <w:p>
            <w:pPr>
              <w:keepNext w:val="0"/>
              <w:keepLines w:val="0"/>
              <w:suppressLineNumbers w:val="0"/>
              <w:spacing w:before="0" w:beforeAutospacing="0" w:after="0" w:afterAutospacing="0"/>
              <w:ind w:left="0" w:right="0"/>
              <w:jc w:val="center"/>
              <w:rPr>
                <w:rFonts w:hint="default" w:ascii="仿宋" w:hAnsi="仿宋" w:eastAsia="仿宋" w:cs="仿宋"/>
                <w:kern w:val="10"/>
                <w:szCs w:val="21"/>
                <w:lang w:val="en-US" w:eastAsia="zh-CN"/>
              </w:rPr>
            </w:pPr>
            <w:r>
              <w:rPr>
                <w:rFonts w:hint="eastAsia" w:ascii="仿宋" w:hAnsi="仿宋" w:eastAsia="仿宋" w:cs="仿宋"/>
                <w:kern w:val="10"/>
                <w:szCs w:val="21"/>
                <w:lang w:val="en-US" w:eastAsia="zh-CN"/>
              </w:rPr>
              <w:t>市生态环境局曲沃分局</w:t>
            </w:r>
          </w:p>
        </w:tc>
        <w:tc>
          <w:tcPr>
            <w:tcW w:w="3689" w:type="pct"/>
            <w:noWrap w:val="0"/>
            <w:vAlign w:val="center"/>
          </w:tcPr>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（1）负责做好辐射事故应急响应准备和各项措施的落实工作，保障整个应急响应和应急处理工作科学、有序进行；</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（2）负责向上级有关部门报告突发辐射事故应急响应和应急处理的信息；</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（3）负责安排落实现场辐射环境应急监测工作和防护行动；</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（4）负责在编制部门年度预算时向县财政局提出应急能力建设和装备配置费用，保障应急能力和应急处置所需资源。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4" w:type="pct"/>
            <w:vMerge w:val="continue"/>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p>
        </w:tc>
        <w:tc>
          <w:tcPr>
            <w:tcW w:w="975" w:type="pct"/>
            <w:noWrap w:val="0"/>
            <w:vAlign w:val="center"/>
          </w:tcPr>
          <w:p>
            <w:pPr>
              <w:keepNext w:val="0"/>
              <w:keepLines w:val="0"/>
              <w:suppressLineNumbers w:val="0"/>
              <w:spacing w:before="0" w:beforeAutospacing="0" w:after="0" w:afterAutospacing="0"/>
              <w:ind w:left="0" w:right="0"/>
              <w:jc w:val="center"/>
              <w:rPr>
                <w:rFonts w:hint="default" w:ascii="仿宋" w:hAnsi="仿宋" w:eastAsia="仿宋" w:cs="仿宋"/>
                <w:kern w:val="10"/>
                <w:szCs w:val="21"/>
                <w:lang w:val="en-US" w:eastAsia="zh-CN"/>
              </w:rPr>
            </w:pPr>
            <w:r>
              <w:rPr>
                <w:rFonts w:hint="eastAsia" w:ascii="仿宋" w:hAnsi="仿宋" w:eastAsia="仿宋" w:cs="仿宋"/>
                <w:kern w:val="10"/>
                <w:szCs w:val="21"/>
                <w:lang w:val="en-US" w:eastAsia="zh-CN"/>
              </w:rPr>
              <w:t>县卫体局</w:t>
            </w:r>
          </w:p>
        </w:tc>
        <w:tc>
          <w:tcPr>
            <w:tcW w:w="3689" w:type="pct"/>
            <w:noWrap w:val="0"/>
            <w:vAlign w:val="center"/>
          </w:tcPr>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（1）负责组织协调当地医疗卫生机构开展辐射损伤人员转运、救治、现场医学处理等工作；</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（2）督导开展紧急医学救援准备；</w:t>
            </w:r>
          </w:p>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（3）根据需要和指令，协调、调动县内医疗卫生资源并给予指导和支援。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4" w:type="pct"/>
            <w:vMerge w:val="continue"/>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p>
        </w:tc>
        <w:tc>
          <w:tcPr>
            <w:tcW w:w="975" w:type="pct"/>
            <w:noWrap w:val="0"/>
            <w:vAlign w:val="center"/>
          </w:tcPr>
          <w:p>
            <w:pPr>
              <w:keepNext w:val="0"/>
              <w:keepLines w:val="0"/>
              <w:suppressLineNumbers w:val="0"/>
              <w:spacing w:before="0" w:beforeAutospacing="0" w:after="0" w:afterAutospacing="0"/>
              <w:ind w:left="0" w:right="0"/>
              <w:jc w:val="center"/>
              <w:rPr>
                <w:rFonts w:hint="default" w:ascii="仿宋" w:hAnsi="仿宋" w:eastAsia="仿宋" w:cs="仿宋"/>
                <w:kern w:val="10"/>
                <w:szCs w:val="21"/>
                <w:lang w:val="en-US" w:eastAsia="zh-CN"/>
              </w:rPr>
            </w:pPr>
            <w:r>
              <w:rPr>
                <w:rFonts w:hint="eastAsia" w:ascii="仿宋" w:hAnsi="仿宋" w:eastAsia="仿宋" w:cs="仿宋"/>
                <w:kern w:val="10"/>
                <w:szCs w:val="21"/>
                <w:lang w:val="en-US" w:eastAsia="zh-CN"/>
              </w:rPr>
              <w:t>县应急管理局</w:t>
            </w:r>
          </w:p>
        </w:tc>
        <w:tc>
          <w:tcPr>
            <w:tcW w:w="3689" w:type="pct"/>
            <w:noWrap w:val="0"/>
            <w:vAlign w:val="center"/>
          </w:tcPr>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负责协调有关救援力量、物资参与辐射事故应急抢险救援。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4" w:type="pct"/>
            <w:vMerge w:val="continue"/>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p>
        </w:tc>
        <w:tc>
          <w:tcPr>
            <w:tcW w:w="975" w:type="pct"/>
            <w:noWrap w:val="0"/>
            <w:vAlign w:val="center"/>
          </w:tcPr>
          <w:p>
            <w:pPr>
              <w:keepNext w:val="0"/>
              <w:keepLines w:val="0"/>
              <w:suppressLineNumbers w:val="0"/>
              <w:spacing w:before="0" w:beforeAutospacing="0" w:after="0" w:afterAutospacing="0"/>
              <w:ind w:left="0" w:right="0"/>
              <w:jc w:val="center"/>
              <w:rPr>
                <w:rFonts w:hint="default" w:ascii="仿宋" w:hAnsi="仿宋" w:eastAsia="仿宋" w:cs="仿宋"/>
                <w:kern w:val="10"/>
                <w:szCs w:val="21"/>
                <w:lang w:val="en-US" w:eastAsia="zh-CN"/>
              </w:rPr>
            </w:pPr>
            <w:r>
              <w:rPr>
                <w:rFonts w:hint="eastAsia" w:ascii="仿宋" w:hAnsi="仿宋" w:eastAsia="仿宋" w:cs="仿宋"/>
                <w:kern w:val="10"/>
                <w:szCs w:val="21"/>
                <w:lang w:val="en-US" w:eastAsia="zh-CN"/>
              </w:rPr>
              <w:t>县人武部</w:t>
            </w:r>
          </w:p>
        </w:tc>
        <w:tc>
          <w:tcPr>
            <w:tcW w:w="3689" w:type="pct"/>
            <w:noWrap w:val="0"/>
            <w:vAlign w:val="center"/>
          </w:tcPr>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负责组织民兵，协调驻军、预备役部队参加事故救援工作。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4" w:type="pct"/>
            <w:vMerge w:val="continue"/>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p>
        </w:tc>
        <w:tc>
          <w:tcPr>
            <w:tcW w:w="975" w:type="pct"/>
            <w:noWrap w:val="0"/>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kern w:val="10"/>
                <w:szCs w:val="21"/>
                <w:lang w:val="en-US" w:eastAsia="zh-CN"/>
              </w:rPr>
            </w:pPr>
            <w:r>
              <w:rPr>
                <w:rFonts w:hint="eastAsia" w:ascii="仿宋" w:hAnsi="仿宋" w:eastAsia="仿宋" w:cs="仿宋"/>
                <w:color w:val="auto"/>
                <w:kern w:val="10"/>
                <w:szCs w:val="21"/>
                <w:lang w:val="en-US" w:eastAsia="zh-CN"/>
              </w:rPr>
              <w:t>县消防救援大队</w:t>
            </w:r>
          </w:p>
        </w:tc>
        <w:tc>
          <w:tcPr>
            <w:tcW w:w="3689" w:type="pct"/>
            <w:noWrap w:val="0"/>
            <w:vAlign w:val="center"/>
          </w:tcPr>
          <w:p>
            <w:pPr>
              <w:keepNext w:val="0"/>
              <w:keepLines w:val="0"/>
              <w:suppressLineNumbers w:val="0"/>
              <w:spacing w:before="0" w:beforeAutospacing="0" w:after="0" w:afterAutospacing="0"/>
              <w:ind w:left="0" w:right="0"/>
              <w:jc w:val="left"/>
              <w:rPr>
                <w:rFonts w:hint="eastAsia" w:ascii="仿宋" w:hAnsi="仿宋" w:eastAsia="仿宋" w:cs="仿宋"/>
                <w:color w:val="auto"/>
                <w:kern w:val="10"/>
                <w:szCs w:val="21"/>
                <w:lang w:val="en-US" w:eastAsia="zh-CN"/>
              </w:rPr>
            </w:pPr>
            <w:r>
              <w:rPr>
                <w:rFonts w:hint="eastAsia" w:ascii="仿宋" w:hAnsi="仿宋" w:eastAsia="仿宋" w:cs="仿宋"/>
                <w:color w:val="auto"/>
                <w:kern w:val="10"/>
                <w:szCs w:val="21"/>
                <w:lang w:val="en-US" w:eastAsia="zh-CN"/>
              </w:rPr>
              <w:t>负责辐射事故应急抢险救援工作。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4" w:type="pct"/>
            <w:vMerge w:val="continue"/>
            <w:noWrap w:val="0"/>
            <w:vAlign w:val="center"/>
          </w:tcPr>
          <w:p>
            <w:pPr>
              <w:keepNext w:val="0"/>
              <w:keepLines w:val="0"/>
              <w:suppressLineNumbers w:val="0"/>
              <w:spacing w:before="0" w:beforeAutospacing="0" w:after="0" w:afterAutospacing="0"/>
              <w:ind w:left="0" w:right="0"/>
              <w:jc w:val="center"/>
              <w:rPr>
                <w:rFonts w:hint="eastAsia" w:ascii="仿宋" w:hAnsi="仿宋" w:eastAsia="仿宋" w:cs="仿宋"/>
                <w:kern w:val="10"/>
                <w:szCs w:val="21"/>
                <w:lang w:val="en-US" w:eastAsia="zh-CN"/>
              </w:rPr>
            </w:pPr>
          </w:p>
        </w:tc>
        <w:tc>
          <w:tcPr>
            <w:tcW w:w="975" w:type="pct"/>
            <w:noWrap w:val="0"/>
            <w:vAlign w:val="center"/>
          </w:tcPr>
          <w:p>
            <w:pPr>
              <w:keepNext w:val="0"/>
              <w:keepLines w:val="0"/>
              <w:suppressLineNumbers w:val="0"/>
              <w:spacing w:before="0" w:beforeAutospacing="0" w:after="0" w:afterAutospacing="0"/>
              <w:ind w:left="0" w:right="0"/>
              <w:jc w:val="center"/>
              <w:rPr>
                <w:rFonts w:hint="default" w:ascii="仿宋" w:hAnsi="仿宋" w:eastAsia="仿宋" w:cs="仿宋"/>
                <w:kern w:val="10"/>
                <w:szCs w:val="21"/>
                <w:lang w:val="en-US" w:eastAsia="zh-CN"/>
              </w:rPr>
            </w:pPr>
            <w:r>
              <w:rPr>
                <w:rFonts w:hint="eastAsia" w:ascii="仿宋" w:hAnsi="仿宋" w:eastAsia="仿宋" w:cs="仿宋"/>
                <w:kern w:val="10"/>
                <w:szCs w:val="21"/>
                <w:lang w:val="en-US" w:eastAsia="zh-CN"/>
              </w:rPr>
              <w:t>县融媒体中心</w:t>
            </w:r>
          </w:p>
        </w:tc>
        <w:tc>
          <w:tcPr>
            <w:tcW w:w="3689" w:type="pct"/>
            <w:noWrap w:val="0"/>
            <w:vAlign w:val="center"/>
          </w:tcPr>
          <w:p>
            <w:pPr>
              <w:keepNext w:val="0"/>
              <w:keepLines w:val="0"/>
              <w:suppressLineNumbers w:val="0"/>
              <w:spacing w:before="0" w:beforeAutospacing="0" w:after="0" w:afterAutospacing="0"/>
              <w:ind w:left="0" w:right="0"/>
              <w:jc w:val="left"/>
              <w:rPr>
                <w:rFonts w:hint="eastAsia" w:ascii="仿宋" w:hAnsi="仿宋" w:eastAsia="仿宋" w:cs="仿宋"/>
                <w:kern w:val="10"/>
                <w:szCs w:val="21"/>
                <w:lang w:val="en-US" w:eastAsia="zh-CN"/>
              </w:rPr>
            </w:pPr>
            <w:r>
              <w:rPr>
                <w:rFonts w:hint="eastAsia" w:ascii="仿宋" w:hAnsi="仿宋" w:eastAsia="仿宋" w:cs="仿宋"/>
                <w:kern w:val="10"/>
                <w:szCs w:val="21"/>
                <w:lang w:val="en-US" w:eastAsia="zh-CN"/>
              </w:rPr>
              <w:t>配合县指挥部掌握舆论引导主动权，第一时间获取和发布突发事件的全面、真实和客观的信息。</w:t>
            </w:r>
          </w:p>
        </w:tc>
      </w:tr>
    </w:tbl>
    <w:p>
      <w:pPr>
        <w:rPr>
          <w:rFonts w:hint="default"/>
        </w:rPr>
      </w:pPr>
      <w:r>
        <w:rPr>
          <w:rFonts w:hint="default" w:ascii="Times New Roman" w:hAnsi="Times New Roman" w:eastAsia="仿宋" w:cs="Times New Roman"/>
          <w:sz w:val="32"/>
          <w:szCs w:val="32"/>
        </w:rPr>
        <w:br w:type="page"/>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2010600030101010101"/>
    <w:charset w:val="B1"/>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仿宋_GB2312">
    <w:altName w:val="方正仿宋_GBK"/>
    <w:panose1 w:val="02010609030101010101"/>
    <w:charset w:val="86"/>
    <w:family w:val="auto"/>
    <w:pitch w:val="default"/>
    <w:sig w:usb0="00000000" w:usb1="00000000" w:usb2="00000000" w:usb3="00000000" w:csb0="00040000" w:csb1="00000000"/>
  </w:font>
  <w:font w:name="方正小标宋简体">
    <w:altName w:val="方正小标宋_GBK"/>
    <w:panose1 w:val="02010601030101010101"/>
    <w:charset w:val="86"/>
    <w:family w:val="script"/>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1F1C43"/>
    <w:rsid w:val="6F1F1C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2022-01-21T10:22:00Z</dcterms:created>
  <dc:creator>baixin</dc:creator>
  <cp:lastModifiedBy>baixin</cp:lastModifiedBy>
  <dcterms:modified xsi:type="dcterms:W3CDTF">2022-01-21T10:26:27Z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