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line="560" w:lineRule="exac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 w:bidi="ar-SA"/>
        </w:rPr>
        <w:t>危险化学品事故分级</w:t>
      </w:r>
    </w:p>
    <w:tbl>
      <w:tblPr>
        <w:tblStyle w:val="3"/>
        <w:tblW w:w="14081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6"/>
        <w:gridCol w:w="3803"/>
        <w:gridCol w:w="3836"/>
        <w:gridCol w:w="28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特别重大事故</w:t>
            </w:r>
          </w:p>
        </w:tc>
        <w:tc>
          <w:tcPr>
            <w:tcW w:w="38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重大事故</w:t>
            </w:r>
          </w:p>
        </w:tc>
        <w:tc>
          <w:tcPr>
            <w:tcW w:w="38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较大事故</w:t>
            </w:r>
          </w:p>
        </w:tc>
        <w:tc>
          <w:tcPr>
            <w:tcW w:w="280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0"/>
                <w:szCs w:val="30"/>
                <w:lang w:bidi="ar"/>
              </w:rPr>
              <w:t>一般事故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0" w:hRule="atLeast"/>
        </w:trPr>
        <w:tc>
          <w:tcPr>
            <w:tcW w:w="36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是指造成30人以上死亡，或者100人以上重伤（包括急性工业中毒，下同），或者1亿元以上直接经济损失的事故。</w:t>
            </w:r>
          </w:p>
        </w:tc>
        <w:tc>
          <w:tcPr>
            <w:tcW w:w="38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是指造成10人以上30人以下死亡，或者50人以上100人以下重伤，或者5000万元以上1亿元以下直接经济损失的事故。</w:t>
            </w:r>
          </w:p>
        </w:tc>
        <w:tc>
          <w:tcPr>
            <w:tcW w:w="383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是指造成3人以上10人以下死亡，或者10人以上50人以下重伤，或者1000万元以上5000万元以下直接经济损失的事故。</w:t>
            </w:r>
          </w:p>
        </w:tc>
        <w:tc>
          <w:tcPr>
            <w:tcW w:w="280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是指造成3人以下死亡，或者10人以下重伤，或者1000万元以下直接经济损失的事故。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40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说明：上述数量表述中，“以上”含本数，“以下”不含本数。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line="560" w:lineRule="exact"/>
        <w:rPr>
          <w:rFonts w:ascii="Calibri" w:hAnsi="Calibri" w:eastAsia="宋体" w:cs="Times New Roman"/>
        </w:rPr>
      </w:pPr>
    </w:p>
    <w:p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FC057"/>
    <w:rsid w:val="37FFC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2022-01-18T15:47:00Z</dcterms:created>
  <dc:creator>baixin</dc:creator>
  <cp:lastModifiedBy>baixin</cp:lastModifiedBy>
  <dcterms:modified xsi:type="dcterms:W3CDTF">2022-01-18T15:48:29Z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