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ind w:firstLine="0" w:firstLineChars="0"/>
        <w:rPr>
          <w:rFonts w:hint="eastAsia" w:ascii="黑体" w:hAnsi="黑体" w:cs="黑体"/>
          <w:kern w:val="0"/>
          <w:szCs w:val="32"/>
        </w:rPr>
      </w:pPr>
      <w:bookmarkStart w:id="0" w:name="_Toc10841"/>
      <w:r>
        <w:rPr>
          <w:rFonts w:hint="eastAsia" w:ascii="黑体" w:hAnsi="黑体" w:cs="黑体"/>
          <w:kern w:val="0"/>
          <w:szCs w:val="32"/>
        </w:rPr>
        <w:t>附件</w:t>
      </w:r>
      <w:bookmarkEnd w:id="0"/>
      <w:r>
        <w:rPr>
          <w:rFonts w:hint="eastAsia" w:ascii="黑体" w:hAnsi="黑体" w:cs="黑体"/>
          <w:kern w:val="0"/>
          <w:szCs w:val="32"/>
        </w:rPr>
        <w:t>2</w:t>
      </w:r>
    </w:p>
    <w:p>
      <w:pPr>
        <w:tabs>
          <w:tab w:val="right" w:leader="middleDot" w:pos="8490"/>
        </w:tabs>
        <w:spacing w:line="240" w:lineRule="auto"/>
        <w:ind w:firstLine="0" w:firstLineChars="0"/>
        <w:jc w:val="center"/>
        <w:rPr>
          <w:rFonts w:hint="eastAsia" w:ascii="宋体" w:hAnsi="宋体" w:eastAsia="宋体" w:cs="宋体"/>
          <w:b/>
          <w:bCs/>
          <w:kern w:val="0"/>
          <w:sz w:val="44"/>
          <w:szCs w:val="44"/>
          <w:lang w:bidi="ar"/>
        </w:rPr>
      </w:pPr>
      <w:bookmarkStart w:id="1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曲沃县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地震灾害分级和对应响应级别</w:t>
      </w:r>
    </w:p>
    <w:bookmarkEnd w:id="1"/>
    <w:p>
      <w:pPr>
        <w:pStyle w:val="9"/>
        <w:rPr>
          <w:rFonts w:hint="eastAsia"/>
        </w:rPr>
      </w:pPr>
    </w:p>
    <w:tbl>
      <w:tblPr>
        <w:tblStyle w:val="7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2"/>
        <w:gridCol w:w="3198"/>
        <w:gridCol w:w="3198"/>
        <w:gridCol w:w="3198"/>
        <w:gridCol w:w="31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488" w:type="pct"/>
            <w:noWrap w:val="0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sz w:val="24"/>
              </w:rPr>
            </w:pPr>
            <w:r>
              <w:rPr>
                <w:rFonts w:hint="eastAsia" w:ascii="黑体" w:hAnsi="宋体" w:eastAsia="黑体" w:cs="黑体"/>
                <w:sz w:val="24"/>
              </w:rPr>
              <w:t>灾害分级</w:t>
            </w:r>
          </w:p>
        </w:tc>
        <w:tc>
          <w:tcPr>
            <w:tcW w:w="1128" w:type="pct"/>
            <w:noWrap w:val="0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kern w:val="0"/>
                <w:sz w:val="24"/>
                <w:lang w:bidi="ar"/>
              </w:rPr>
            </w:pPr>
            <w:r>
              <w:rPr>
                <w:rFonts w:hint="eastAsia" w:ascii="黑体" w:hAnsi="宋体" w:eastAsia="黑体" w:cs="黑体"/>
                <w:kern w:val="0"/>
                <w:sz w:val="24"/>
                <w:lang w:bidi="ar"/>
              </w:rPr>
              <w:t>一般</w:t>
            </w:r>
          </w:p>
        </w:tc>
        <w:tc>
          <w:tcPr>
            <w:tcW w:w="1128" w:type="pct"/>
            <w:noWrap w:val="0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kern w:val="0"/>
                <w:sz w:val="24"/>
                <w:lang w:bidi="ar"/>
              </w:rPr>
            </w:pPr>
            <w:r>
              <w:rPr>
                <w:rFonts w:hint="eastAsia" w:ascii="黑体" w:hAnsi="宋体" w:eastAsia="黑体" w:cs="黑体"/>
                <w:kern w:val="0"/>
                <w:sz w:val="24"/>
                <w:lang w:bidi="ar"/>
              </w:rPr>
              <w:t>较大</w:t>
            </w:r>
          </w:p>
        </w:tc>
        <w:tc>
          <w:tcPr>
            <w:tcW w:w="1128" w:type="pct"/>
            <w:noWrap w:val="0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kern w:val="0"/>
                <w:sz w:val="24"/>
                <w:lang w:bidi="ar"/>
              </w:rPr>
            </w:pPr>
            <w:r>
              <w:rPr>
                <w:rFonts w:hint="eastAsia" w:ascii="黑体" w:hAnsi="宋体" w:eastAsia="黑体" w:cs="黑体"/>
                <w:kern w:val="0"/>
                <w:sz w:val="24"/>
                <w:lang w:bidi="ar"/>
              </w:rPr>
              <w:t>重大</w:t>
            </w:r>
          </w:p>
        </w:tc>
        <w:tc>
          <w:tcPr>
            <w:tcW w:w="1128" w:type="pct"/>
            <w:noWrap w:val="0"/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kern w:val="0"/>
                <w:sz w:val="24"/>
                <w:lang w:bidi="ar"/>
              </w:rPr>
            </w:pPr>
            <w:r>
              <w:rPr>
                <w:rFonts w:hint="eastAsia" w:ascii="黑体" w:hAnsi="宋体" w:eastAsia="黑体" w:cs="黑体"/>
                <w:kern w:val="0"/>
                <w:sz w:val="24"/>
                <w:lang w:bidi="ar"/>
              </w:rPr>
              <w:t>特别重大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5" w:hRule="atLeast"/>
        </w:trPr>
        <w:tc>
          <w:tcPr>
            <w:tcW w:w="488" w:type="pct"/>
            <w:noWrap w:val="0"/>
            <w:vAlign w:val="center"/>
          </w:tcPr>
          <w:p>
            <w:pPr>
              <w:pStyle w:val="10"/>
              <w:ind w:left="0" w:leftChars="0" w:firstLine="0" w:firstLineChars="0"/>
              <w:jc w:val="center"/>
              <w:rPr>
                <w:rFonts w:hint="eastAsia" w:ascii="黑体" w:hAnsi="宋体" w:eastAsia="黑体" w:cs="黑体"/>
                <w:kern w:val="2"/>
              </w:rPr>
            </w:pPr>
            <w:r>
              <w:rPr>
                <w:rFonts w:hint="eastAsia" w:ascii="黑体" w:hAnsi="宋体" w:eastAsia="黑体" w:cs="黑体"/>
                <w:kern w:val="2"/>
              </w:rPr>
              <w:t>分级标准</w:t>
            </w:r>
          </w:p>
        </w:tc>
        <w:tc>
          <w:tcPr>
            <w:tcW w:w="1128" w:type="pct"/>
            <w:noWrap w:val="0"/>
            <w:vAlign w:val="center"/>
          </w:tcPr>
          <w:p>
            <w:pPr>
              <w:widowControl/>
              <w:spacing w:line="400" w:lineRule="exact"/>
              <w:ind w:firstLine="0" w:firstLineChars="0"/>
              <w:jc w:val="both"/>
              <w:textAlignment w:val="center"/>
              <w:rPr>
                <w:rFonts w:hint="eastAsia" w:ascii="仿宋_GB2312" w:hAnsi="宋体" w:eastAsia="仿宋_GB2312" w:cs="仿宋_GB2312"/>
                <w:sz w:val="24"/>
              </w:rPr>
            </w:pPr>
            <w:r>
              <w:rPr>
                <w:rFonts w:hint="eastAsia" w:ascii="仿宋_GB2312" w:hAnsi="宋体" w:eastAsia="仿宋" w:cs="仿宋_GB2312"/>
                <w:sz w:val="24"/>
              </w:rPr>
              <w:t>人口较密集地区发生4.0-5.0 级地震或地震灾害造成 10人以下死亡（含失踪）或者造成一定经济损失的地震灾害。</w:t>
            </w:r>
          </w:p>
        </w:tc>
        <w:tc>
          <w:tcPr>
            <w:tcW w:w="1128" w:type="pct"/>
            <w:noWrap w:val="0"/>
            <w:vAlign w:val="center"/>
          </w:tcPr>
          <w:p>
            <w:pPr>
              <w:widowControl/>
              <w:spacing w:line="400" w:lineRule="exact"/>
              <w:ind w:firstLine="0" w:firstLineChars="0"/>
              <w:jc w:val="both"/>
              <w:textAlignment w:val="center"/>
              <w:rPr>
                <w:rFonts w:hint="eastAsia" w:ascii="仿宋_GB2312" w:hAnsi="宋体" w:eastAsia="仿宋_GB2312" w:cs="仿宋_GB2312"/>
                <w:sz w:val="24"/>
              </w:rPr>
            </w:pPr>
            <w:r>
              <w:rPr>
                <w:rFonts w:hint="eastAsia" w:ascii="仿宋_GB2312" w:hAnsi="宋体" w:eastAsia="仿宋" w:cs="仿宋_GB2312"/>
                <w:sz w:val="24"/>
              </w:rPr>
              <w:t>人口较密集地区发生5.0-6.0 级地震；人口密集地区发4.0-5.0 级地震或地震造成10-50 人死亡（含失踪）或者造成较重经济损失的地震灾害。</w:t>
            </w:r>
          </w:p>
        </w:tc>
        <w:tc>
          <w:tcPr>
            <w:tcW w:w="1128" w:type="pct"/>
            <w:noWrap w:val="0"/>
            <w:vAlign w:val="center"/>
          </w:tcPr>
          <w:p>
            <w:pPr>
              <w:widowControl/>
              <w:spacing w:line="400" w:lineRule="exact"/>
              <w:ind w:firstLine="0" w:firstLineChars="0"/>
              <w:jc w:val="both"/>
              <w:textAlignment w:val="center"/>
              <w:rPr>
                <w:rFonts w:hint="eastAsia" w:ascii="仿宋_GB2312" w:hAnsi="宋体" w:eastAsia="仿宋_GB2312" w:cs="仿宋_GB2312"/>
                <w:sz w:val="24"/>
              </w:rPr>
            </w:pPr>
            <w:r>
              <w:rPr>
                <w:rFonts w:hint="eastAsia" w:ascii="仿宋_GB2312" w:hAnsi="宋体" w:eastAsia="仿宋" w:cs="仿宋_GB2312"/>
                <w:sz w:val="24"/>
              </w:rPr>
              <w:t>人口较密集地区发生6.0-7.0级地震；人口密集地区发生5.0-6.0级地震或地震造成50-300人死亡（含失踪）或者造成严重经济损失的地震灾害。</w:t>
            </w:r>
          </w:p>
        </w:tc>
        <w:tc>
          <w:tcPr>
            <w:tcW w:w="1128" w:type="pct"/>
            <w:noWrap w:val="0"/>
            <w:vAlign w:val="center"/>
          </w:tcPr>
          <w:p>
            <w:pPr>
              <w:widowControl/>
              <w:spacing w:line="400" w:lineRule="exact"/>
              <w:ind w:firstLine="0" w:firstLineChars="0"/>
              <w:jc w:val="both"/>
              <w:textAlignment w:val="center"/>
              <w:rPr>
                <w:rFonts w:hint="eastAsia" w:ascii="仿宋_GB2312" w:hAnsi="宋体" w:eastAsia="仿宋_GB2312" w:cs="仿宋_GB2312"/>
                <w:sz w:val="24"/>
              </w:rPr>
            </w:pPr>
            <w:r>
              <w:rPr>
                <w:rFonts w:hint="eastAsia" w:ascii="仿宋_GB2312" w:hAnsi="宋体" w:eastAsia="仿宋" w:cs="仿宋_GB2312"/>
                <w:sz w:val="24"/>
              </w:rPr>
              <w:t>人口较密集地区发生 7.0 级以上；人口密集地区发生 6.0级以上地震或地震造成 300人以上死亡（含失踪）或者直接经济损失占本市上年国内生产总值1%以上的地震灾害。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488" w:type="pct"/>
            <w:noWrap w:val="0"/>
            <w:vAlign w:val="center"/>
          </w:tcPr>
          <w:p>
            <w:pPr>
              <w:pStyle w:val="10"/>
              <w:ind w:left="0" w:leftChars="0" w:firstLine="0" w:firstLineChars="0"/>
              <w:jc w:val="center"/>
              <w:rPr>
                <w:rFonts w:hint="eastAsia" w:ascii="黑体" w:hAnsi="宋体" w:eastAsia="黑体" w:cs="黑体"/>
                <w:kern w:val="2"/>
              </w:rPr>
            </w:pPr>
            <w:r>
              <w:rPr>
                <w:rFonts w:hint="eastAsia" w:ascii="黑体" w:hAnsi="宋体" w:eastAsia="黑体" w:cs="黑体"/>
                <w:kern w:val="2"/>
              </w:rPr>
              <w:t>响应级别</w:t>
            </w:r>
          </w:p>
        </w:tc>
        <w:tc>
          <w:tcPr>
            <w:tcW w:w="1128" w:type="pct"/>
            <w:noWrap w:val="0"/>
            <w:vAlign w:val="center"/>
          </w:tcPr>
          <w:p>
            <w:pPr>
              <w:pStyle w:val="10"/>
              <w:ind w:left="0" w:leftChars="0" w:firstLine="0" w:firstLineChars="0"/>
              <w:jc w:val="center"/>
              <w:rPr>
                <w:rFonts w:hint="eastAsia" w:ascii="仿宋_GB2312" w:hAnsi="宋体" w:cs="仿宋_GB2312"/>
                <w:kern w:val="2"/>
              </w:rPr>
            </w:pPr>
            <w:r>
              <w:rPr>
                <w:rFonts w:hint="eastAsia" w:ascii="仿宋_GB2312" w:hAnsi="宋体" w:eastAsia="仿宋" w:cs="仿宋_GB2312"/>
                <w:kern w:val="2"/>
              </w:rPr>
              <w:t>四级响应</w:t>
            </w:r>
          </w:p>
        </w:tc>
        <w:tc>
          <w:tcPr>
            <w:tcW w:w="1128" w:type="pct"/>
            <w:noWrap w:val="0"/>
            <w:vAlign w:val="center"/>
          </w:tcPr>
          <w:p>
            <w:pPr>
              <w:pStyle w:val="10"/>
              <w:ind w:left="0" w:leftChars="0" w:firstLine="0" w:firstLineChars="0"/>
              <w:jc w:val="center"/>
              <w:rPr>
                <w:rFonts w:hint="eastAsia" w:ascii="仿宋_GB2312" w:hAnsi="宋体" w:cs="仿宋_GB2312"/>
                <w:kern w:val="2"/>
              </w:rPr>
            </w:pPr>
            <w:r>
              <w:rPr>
                <w:rFonts w:hint="eastAsia" w:ascii="仿宋_GB2312" w:hAnsi="宋体" w:eastAsia="仿宋" w:cs="仿宋_GB2312"/>
                <w:kern w:val="2"/>
              </w:rPr>
              <w:t>三级响应</w:t>
            </w:r>
          </w:p>
        </w:tc>
        <w:tc>
          <w:tcPr>
            <w:tcW w:w="1128" w:type="pct"/>
            <w:noWrap w:val="0"/>
            <w:vAlign w:val="center"/>
          </w:tcPr>
          <w:p>
            <w:pPr>
              <w:pStyle w:val="10"/>
              <w:ind w:left="0" w:leftChars="0" w:firstLine="0" w:firstLineChars="0"/>
              <w:jc w:val="center"/>
              <w:rPr>
                <w:rFonts w:hint="eastAsia" w:ascii="仿宋_GB2312" w:hAnsi="宋体" w:cs="仿宋_GB2312"/>
                <w:kern w:val="2"/>
              </w:rPr>
            </w:pPr>
            <w:r>
              <w:rPr>
                <w:rFonts w:hint="eastAsia" w:ascii="仿宋_GB2312" w:hAnsi="宋体" w:eastAsia="仿宋" w:cs="仿宋_GB2312"/>
                <w:kern w:val="2"/>
              </w:rPr>
              <w:t>二级响应</w:t>
            </w:r>
          </w:p>
        </w:tc>
        <w:tc>
          <w:tcPr>
            <w:tcW w:w="1128" w:type="pct"/>
            <w:noWrap w:val="0"/>
            <w:vAlign w:val="center"/>
          </w:tcPr>
          <w:p>
            <w:pPr>
              <w:pStyle w:val="10"/>
              <w:ind w:left="0" w:leftChars="0" w:firstLine="0" w:firstLineChars="0"/>
              <w:jc w:val="center"/>
              <w:rPr>
                <w:rFonts w:hint="eastAsia" w:ascii="仿宋_GB2312" w:hAnsi="宋体" w:cs="仿宋_GB2312"/>
                <w:kern w:val="2"/>
              </w:rPr>
            </w:pPr>
            <w:r>
              <w:rPr>
                <w:rFonts w:hint="eastAsia" w:ascii="仿宋_GB2312" w:hAnsi="宋体" w:eastAsia="仿宋" w:cs="仿宋_GB2312"/>
                <w:kern w:val="2"/>
              </w:rPr>
              <w:t>一级响应</w:t>
            </w:r>
          </w:p>
        </w:tc>
      </w:tr>
    </w:tbl>
    <w:p>
      <w:pPr>
        <w:pStyle w:val="6"/>
        <w:ind w:firstLine="560"/>
        <w:rPr>
          <w:rFonts w:hint="eastAsia" w:ascii="华文仿宋" w:hAnsi="华文仿宋" w:eastAsia="华文仿宋" w:cs="宋体"/>
          <w:sz w:val="28"/>
          <w:szCs w:val="28"/>
          <w:lang w:bidi="ar"/>
        </w:rPr>
        <w:sectPr>
          <w:headerReference r:id="rId3" w:type="default"/>
          <w:footerReference r:id="rId4" w:type="default"/>
          <w:footerReference r:id="rId5" w:type="even"/>
          <w:pgSz w:w="16838" w:h="11906" w:orient="landscape"/>
          <w:pgMar w:top="1800" w:right="1440" w:bottom="1800" w:left="1440" w:header="851" w:footer="992" w:gutter="0"/>
          <w:cols w:space="720" w:num="1"/>
          <w:docGrid w:type="lines" w:linePitch="312" w:charSpace="0"/>
        </w:sectPr>
      </w:pPr>
      <w:r>
        <w:rPr>
          <w:rFonts w:hint="eastAsia" w:ascii="华文仿宋" w:hAnsi="华文仿宋" w:eastAsia="华文仿宋" w:cs="宋体"/>
          <w:sz w:val="28"/>
          <w:szCs w:val="28"/>
          <w:lang w:bidi="ar"/>
        </w:rPr>
        <w:t>说明：“以上”包括本数，“以下”不包括本数。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方正小标宋_GBK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华文仿宋">
    <w:altName w:val="方正仿宋_GBK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right="360" w:firstLine="360"/>
    </w:pPr>
    <w: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2" name="文本框 1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ind w:firstLine="360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23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950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FgAAAGRycy9Q&#10;SwECFAAUAAAACACHTuJAzql5uc8AAAAFAQAADwAAAAAAAAABACAAAAA4AAAAZHJzL2Rvd25yZXYu&#10;eG1sUEsBAhQAFAAAAAgAh07iQOA4qrK1AQAAVgMAAA4AAAAAAAAAAQAgAAAANA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ind w:firstLine="360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23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D71E42"/>
    <w:rsid w:val="FFD71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snapToGrid w:val="0"/>
      <w:spacing w:beforeLines="0" w:beforeAutospacing="0" w:afterLines="0" w:afterAutospacing="0" w:line="560" w:lineRule="exact"/>
      <w:ind w:firstLine="640" w:firstLineChars="200"/>
      <w:outlineLvl w:val="1"/>
    </w:pPr>
    <w:rPr>
      <w:rFonts w:ascii="Times New Roman" w:hAnsi="Times New Roman" w:eastAsia="黑体" w:cs="Times New Roman"/>
      <w:color w:val="000000"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  <w:style w:type="paragraph" w:styleId="4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next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customStyle="1" w:styleId="9">
    <w:name w:val="_Style 1"/>
    <w:qFormat/>
    <w:uiPriority w:val="1"/>
    <w:pPr>
      <w:widowControl w:val="0"/>
      <w:jc w:val="both"/>
    </w:pPr>
    <w:rPr>
      <w:rFonts w:ascii="仿宋" w:hAnsi="仿宋" w:eastAsia="仿宋" w:cs="Times New Roman"/>
      <w:kern w:val="2"/>
      <w:sz w:val="21"/>
      <w:szCs w:val="22"/>
      <w:lang w:val="en-US" w:eastAsia="zh-CN" w:bidi="ar-SA"/>
    </w:rPr>
  </w:style>
  <w:style w:type="paragraph" w:customStyle="1" w:styleId="10">
    <w:name w:val="正文首行缩进 21"/>
    <w:basedOn w:val="11"/>
    <w:next w:val="6"/>
    <w:qFormat/>
    <w:uiPriority w:val="0"/>
    <w:pPr>
      <w:widowControl/>
      <w:ind w:firstLine="200" w:firstLineChars="200"/>
      <w:jc w:val="left"/>
    </w:pPr>
    <w:rPr>
      <w:rFonts w:ascii="Calibri" w:hAnsi="Calibri" w:eastAsia="仿宋_GB2312" w:cs="Calibri"/>
      <w:kern w:val="0"/>
      <w:sz w:val="24"/>
      <w:szCs w:val="24"/>
    </w:rPr>
  </w:style>
  <w:style w:type="paragraph" w:customStyle="1" w:styleId="11">
    <w:name w:val="正文文本缩进1"/>
    <w:basedOn w:val="1"/>
    <w:qFormat/>
    <w:uiPriority w:val="0"/>
    <w:pPr>
      <w:ind w:left="200" w:left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2026-05-08T16:49:00Z</dcterms:created>
  <dc:creator>baixin</dc:creator>
  <cp:lastModifiedBy>baixin</cp:lastModifiedBy>
  <dcterms:modified xsi:type="dcterms:W3CDTF">2026-05-08T16:49:55Z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