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left="0" w:leftChars="0" w:firstLine="0" w:firstLineChars="0"/>
        <w:outlineLvl w:val="0"/>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ind w:left="0" w:leftChars="0" w:firstLine="0" w:firstLineChars="0"/>
        <w:jc w:val="center"/>
        <w:textAlignment w:val="auto"/>
        <w:outlineLvl w:val="1"/>
        <w:rPr>
          <w:rFonts w:hint="default" w:ascii="方正小标宋_GBK" w:hAnsi="方正小标宋_GBK" w:eastAsia="方正小标宋_GBK" w:cs="方正小标宋_GBK"/>
          <w:b w:val="0"/>
          <w:bCs w:val="0"/>
          <w:color w:val="000000"/>
          <w:sz w:val="44"/>
          <w:szCs w:val="44"/>
          <w:lang w:val="en-US" w:eastAsia="zh-CN"/>
        </w:rPr>
      </w:pPr>
      <w:r>
        <w:rPr>
          <w:rFonts w:hint="eastAsia" w:ascii="方正小标宋_GBK" w:hAnsi="方正小标宋_GBK" w:eastAsia="方正小标宋_GBK" w:cs="方正小标宋_GBK"/>
          <w:b w:val="0"/>
          <w:bCs w:val="0"/>
          <w:color w:val="000000"/>
          <w:sz w:val="44"/>
          <w:szCs w:val="44"/>
          <w:lang w:val="en-US" w:eastAsia="zh-CN"/>
        </w:rPr>
        <w:t>曲沃县集中式饮用水水源地突发环境事件应急工作专班成员单位职责</w:t>
      </w:r>
    </w:p>
    <w:tbl>
      <w:tblPr>
        <w:tblStyle w:val="3"/>
        <w:tblW w:w="4997"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2299"/>
        <w:gridCol w:w="2769"/>
        <w:gridCol w:w="8912"/>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tblHeader/>
        </w:trPr>
        <w:tc>
          <w:tcPr>
            <w:tcW w:w="822"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val="0"/>
              <w:topLinePunct w:val="0"/>
              <w:autoSpaceDE/>
              <w:autoSpaceDN/>
              <w:bidi w:val="0"/>
              <w:adjustRightInd/>
              <w:snapToGrid/>
              <w:spacing w:line="400" w:lineRule="exact"/>
              <w:ind w:left="0" w:leftChars="0" w:right="0" w:rightChars="0" w:firstLine="0" w:firstLineChars="0"/>
              <w:jc w:val="center"/>
              <w:textAlignment w:val="auto"/>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县应急工作专班组成</w:t>
            </w:r>
          </w:p>
        </w:tc>
        <w:tc>
          <w:tcPr>
            <w:tcW w:w="990"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val="0"/>
              <w:topLinePunct w:val="0"/>
              <w:autoSpaceDE/>
              <w:autoSpaceDN/>
              <w:bidi w:val="0"/>
              <w:adjustRightInd/>
              <w:snapToGrid/>
              <w:spacing w:line="400" w:lineRule="exact"/>
              <w:ind w:left="0" w:leftChars="0" w:right="0" w:rightChars="0" w:firstLine="0" w:firstLineChars="0"/>
              <w:jc w:val="center"/>
              <w:textAlignment w:val="auto"/>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主要负责人</w:t>
            </w:r>
          </w:p>
        </w:tc>
        <w:tc>
          <w:tcPr>
            <w:tcW w:w="318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val="0"/>
              <w:topLinePunct w:val="0"/>
              <w:autoSpaceDE/>
              <w:autoSpaceDN/>
              <w:bidi w:val="0"/>
              <w:adjustRightInd/>
              <w:snapToGrid/>
              <w:spacing w:line="400" w:lineRule="exact"/>
              <w:ind w:left="0" w:leftChars="0" w:right="0" w:rightChars="0" w:firstLine="0" w:firstLineChars="0"/>
              <w:jc w:val="center"/>
              <w:textAlignment w:val="auto"/>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应急职责</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492" w:hRule="atLeast"/>
        </w:trPr>
        <w:tc>
          <w:tcPr>
            <w:tcW w:w="822"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组长</w:t>
            </w:r>
          </w:p>
        </w:tc>
        <w:tc>
          <w:tcPr>
            <w:tcW w:w="990"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分管生态环境工作的副县长</w:t>
            </w:r>
          </w:p>
        </w:tc>
        <w:tc>
          <w:tcPr>
            <w:tcW w:w="318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（1）发生水源地突发环境事件时，赶赴现场进行指挥，组织开展现场应急处置；</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（2）贯彻执行上级人民政府及有关部门的应急指令；</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（3）按照预警、应急启动或终止条件，启动或终止响应；</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（4）研判突发环境事件发展态势，组织制定并批准现场处置方案；</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（5）组织开展损害评估等后期工作。</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045" w:hRule="atLeast"/>
        </w:trPr>
        <w:tc>
          <w:tcPr>
            <w:tcW w:w="822"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副组长</w:t>
            </w:r>
          </w:p>
        </w:tc>
        <w:tc>
          <w:tcPr>
            <w:tcW w:w="990"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协助分管生态环境工作的政府办副主任、市生态环境局曲沃分局、县应急管理局、武警曲沃县中队、县消防救援大队负责人</w:t>
            </w:r>
          </w:p>
        </w:tc>
        <w:tc>
          <w:tcPr>
            <w:tcW w:w="318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（1）协助总指挥组织开展现场应急处置；</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（2）根据分工或总指挥安排，负责现场具体指挥协调；</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（3）负责提出有关应急处置建议；</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（4）负责通报有关应急信息；</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（5）负责协调现场与场外应急处置工作；</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（6）停止取水后，负责协调保障居民用水；</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（7）处置现场出现的紧急情况等。</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822"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办公室</w:t>
            </w:r>
          </w:p>
        </w:tc>
        <w:tc>
          <w:tcPr>
            <w:tcW w:w="990"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临汾市生态环境局曲沃分局分管负责人</w:t>
            </w:r>
          </w:p>
        </w:tc>
        <w:tc>
          <w:tcPr>
            <w:tcW w:w="318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（1）贯彻执行总指挥、副总指挥的各项指令和要求；</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（2）负责信息汇总上报，并与有关的外部应急部门、组织和机构进行联络；</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（3）负责调动应急人员、调配应急资源和联络外部应急组织或机构；</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（4）收集整理有关事件数据。</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107" w:hRule="atLeast"/>
        </w:trPr>
        <w:tc>
          <w:tcPr>
            <w:tcW w:w="822" w:type="pct"/>
            <w:vMerge w:val="restart"/>
            <w:tcBorders>
              <w:tl2br w:val="nil"/>
              <w:tr2bl w:val="nil"/>
            </w:tcBorders>
            <w:noWrap w:val="0"/>
            <w:tcMar>
              <w:top w:w="15" w:type="dxa"/>
              <w:left w:w="15" w:type="dxa"/>
              <w:right w:w="15" w:type="dxa"/>
            </w:tcMar>
            <w:vAlign w:val="top"/>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 w:cs="仿宋_GB2312"/>
                <w:color w:val="00000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 w:cs="仿宋_GB2312"/>
                <w:color w:val="00000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 w:cs="仿宋_GB2312"/>
                <w:color w:val="00000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 w:cs="仿宋_GB2312"/>
                <w:color w:val="00000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 w:cs="仿宋_GB2312"/>
                <w:color w:val="00000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 w:cs="仿宋_GB2312"/>
                <w:color w:val="00000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 w:cs="仿宋_GB2312"/>
                <w:color w:val="00000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 w:cs="仿宋_GB2312"/>
                <w:color w:val="00000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 w:cs="仿宋_GB2312"/>
                <w:color w:val="00000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专项工作组</w:t>
            </w:r>
          </w:p>
          <w:p>
            <w:pPr>
              <w:pStyle w:val="2"/>
              <w:rPr>
                <w:rFonts w:hint="eastAsia" w:ascii="仿宋_GB2312" w:hAnsi="仿宋_GB2312" w:eastAsia="仿宋" w:cs="仿宋_GB2312"/>
                <w:color w:val="000000"/>
                <w:sz w:val="21"/>
                <w:szCs w:val="21"/>
                <w:lang w:val="en-US" w:eastAsia="zh-CN"/>
              </w:rPr>
            </w:pPr>
          </w:p>
          <w:p>
            <w:pPr>
              <w:pStyle w:val="2"/>
              <w:rPr>
                <w:rFonts w:hint="eastAsia" w:ascii="仿宋_GB2312" w:hAnsi="仿宋_GB2312" w:eastAsia="仿宋" w:cs="仿宋_GB2312"/>
                <w:color w:val="000000"/>
                <w:sz w:val="21"/>
                <w:szCs w:val="21"/>
                <w:lang w:val="en-US" w:eastAsia="zh-CN"/>
              </w:rPr>
            </w:pPr>
          </w:p>
          <w:p>
            <w:pPr>
              <w:pStyle w:val="2"/>
              <w:rPr>
                <w:rFonts w:hint="eastAsia" w:ascii="仿宋_GB2312" w:hAnsi="仿宋_GB2312" w:eastAsia="仿宋" w:cs="仿宋_GB2312"/>
                <w:color w:val="000000"/>
                <w:sz w:val="21"/>
                <w:szCs w:val="21"/>
                <w:lang w:val="en-US" w:eastAsia="zh-CN"/>
              </w:rPr>
            </w:pPr>
          </w:p>
          <w:p>
            <w:pPr>
              <w:pStyle w:val="2"/>
              <w:rPr>
                <w:rFonts w:hint="eastAsia" w:ascii="仿宋_GB2312" w:hAnsi="仿宋_GB2312" w:eastAsia="仿宋" w:cs="仿宋_GB2312"/>
                <w:color w:val="000000"/>
                <w:sz w:val="21"/>
                <w:szCs w:val="21"/>
                <w:lang w:val="en-US" w:eastAsia="zh-CN"/>
              </w:rPr>
            </w:pPr>
          </w:p>
          <w:p>
            <w:pPr>
              <w:pStyle w:val="2"/>
              <w:rPr>
                <w:rFonts w:hint="eastAsia" w:ascii="仿宋_GB2312" w:hAnsi="仿宋_GB2312" w:eastAsia="仿宋" w:cs="仿宋_GB2312"/>
                <w:color w:val="000000"/>
                <w:sz w:val="21"/>
                <w:szCs w:val="21"/>
                <w:lang w:val="en-US" w:eastAsia="zh-CN"/>
              </w:rPr>
            </w:pPr>
          </w:p>
          <w:p>
            <w:pPr>
              <w:pStyle w:val="2"/>
              <w:rPr>
                <w:rFonts w:hint="eastAsia" w:ascii="仿宋_GB2312" w:hAnsi="仿宋_GB2312" w:eastAsia="仿宋" w:cs="仿宋_GB2312"/>
                <w:color w:val="000000"/>
                <w:sz w:val="21"/>
                <w:szCs w:val="21"/>
                <w:lang w:val="en-US" w:eastAsia="zh-CN"/>
              </w:rPr>
            </w:pPr>
          </w:p>
          <w:p>
            <w:pPr>
              <w:pStyle w:val="2"/>
              <w:rPr>
                <w:rFonts w:hint="eastAsia" w:ascii="仿宋_GB2312" w:hAnsi="仿宋_GB2312" w:eastAsia="仿宋" w:cs="仿宋_GB2312"/>
                <w:color w:val="000000"/>
                <w:sz w:val="21"/>
                <w:szCs w:val="21"/>
                <w:lang w:val="en-US" w:eastAsia="zh-CN"/>
              </w:rPr>
            </w:pPr>
          </w:p>
          <w:p>
            <w:pPr>
              <w:pStyle w:val="2"/>
              <w:rPr>
                <w:rFonts w:hint="eastAsia" w:ascii="仿宋_GB2312" w:hAnsi="仿宋_GB2312" w:eastAsia="仿宋" w:cs="仿宋_GB2312"/>
                <w:color w:val="000000"/>
                <w:sz w:val="21"/>
                <w:szCs w:val="21"/>
                <w:lang w:val="en-US" w:eastAsia="zh-CN"/>
              </w:rPr>
            </w:pPr>
          </w:p>
          <w:p>
            <w:pPr>
              <w:pStyle w:val="2"/>
              <w:rPr>
                <w:rFonts w:hint="eastAsia" w:ascii="仿宋_GB2312" w:hAnsi="仿宋_GB2312" w:eastAsia="仿宋" w:cs="仿宋_GB2312"/>
                <w:color w:val="000000"/>
                <w:sz w:val="21"/>
                <w:szCs w:val="21"/>
                <w:lang w:val="en-US" w:eastAsia="zh-CN"/>
              </w:rPr>
            </w:pPr>
          </w:p>
          <w:p>
            <w:pPr>
              <w:pStyle w:val="2"/>
              <w:rPr>
                <w:rFonts w:hint="eastAsia" w:ascii="仿宋_GB2312" w:hAnsi="仿宋_GB2312" w:eastAsia="仿宋" w:cs="仿宋_GB2312"/>
                <w:color w:val="000000"/>
                <w:sz w:val="21"/>
                <w:szCs w:val="21"/>
                <w:lang w:val="en-US" w:eastAsia="zh-CN"/>
              </w:rPr>
            </w:pPr>
          </w:p>
          <w:p>
            <w:pPr>
              <w:pStyle w:val="2"/>
              <w:rPr>
                <w:rFonts w:hint="eastAsia" w:ascii="仿宋_GB2312" w:hAnsi="仿宋_GB2312" w:eastAsia="仿宋" w:cs="仿宋_GB2312"/>
                <w:color w:val="000000"/>
                <w:sz w:val="21"/>
                <w:szCs w:val="21"/>
                <w:lang w:val="en-US" w:eastAsia="zh-CN"/>
              </w:rPr>
            </w:pPr>
          </w:p>
          <w:p>
            <w:pPr>
              <w:pStyle w:val="2"/>
              <w:rPr>
                <w:rFonts w:hint="eastAsia" w:ascii="仿宋_GB2312" w:hAnsi="仿宋_GB2312" w:eastAsia="仿宋" w:cs="仿宋_GB2312"/>
                <w:color w:val="000000"/>
                <w:sz w:val="21"/>
                <w:szCs w:val="21"/>
                <w:lang w:val="en-US" w:eastAsia="zh-CN"/>
              </w:rPr>
            </w:pPr>
          </w:p>
          <w:p>
            <w:pPr>
              <w:pStyle w:val="2"/>
              <w:rPr>
                <w:rFonts w:hint="eastAsia" w:ascii="仿宋_GB2312" w:hAnsi="仿宋_GB2312" w:eastAsia="仿宋" w:cs="仿宋_GB2312"/>
                <w:color w:val="000000"/>
                <w:sz w:val="21"/>
                <w:szCs w:val="21"/>
                <w:lang w:val="en-US" w:eastAsia="zh-CN"/>
              </w:rPr>
            </w:pPr>
          </w:p>
          <w:p>
            <w:pPr>
              <w:pStyle w:val="2"/>
              <w:rPr>
                <w:rFonts w:hint="eastAsia" w:ascii="仿宋_GB2312" w:hAnsi="仿宋_GB2312" w:eastAsia="仿宋" w:cs="仿宋_GB2312"/>
                <w:color w:val="000000"/>
                <w:sz w:val="21"/>
                <w:szCs w:val="21"/>
                <w:lang w:val="en-US" w:eastAsia="zh-CN"/>
              </w:rPr>
            </w:pPr>
          </w:p>
          <w:p>
            <w:pPr>
              <w:pStyle w:val="2"/>
              <w:rPr>
                <w:rFonts w:hint="eastAsia" w:ascii="仿宋_GB2312" w:hAnsi="仿宋_GB2312" w:eastAsia="仿宋" w:cs="仿宋_GB2312"/>
                <w:color w:val="000000"/>
                <w:sz w:val="21"/>
                <w:szCs w:val="21"/>
                <w:lang w:val="en-US" w:eastAsia="zh-CN"/>
              </w:rPr>
            </w:pPr>
          </w:p>
          <w:p>
            <w:pPr>
              <w:pStyle w:val="2"/>
              <w:rPr>
                <w:rFonts w:hint="eastAsia" w:ascii="仿宋_GB2312" w:hAnsi="仿宋_GB2312" w:eastAsia="仿宋" w:cs="仿宋_GB2312"/>
                <w:color w:val="000000"/>
                <w:sz w:val="21"/>
                <w:szCs w:val="21"/>
                <w:lang w:val="en-US" w:eastAsia="zh-CN"/>
              </w:rPr>
            </w:pPr>
          </w:p>
          <w:p>
            <w:pPr>
              <w:pStyle w:val="2"/>
              <w:rPr>
                <w:rFonts w:hint="eastAsia" w:ascii="仿宋_GB2312" w:hAnsi="仿宋_GB2312" w:eastAsia="仿宋" w:cs="仿宋_GB2312"/>
                <w:color w:val="000000"/>
                <w:sz w:val="21"/>
                <w:szCs w:val="21"/>
                <w:lang w:val="en-US" w:eastAsia="zh-CN"/>
              </w:rPr>
            </w:pPr>
          </w:p>
          <w:p>
            <w:pPr>
              <w:pStyle w:val="2"/>
              <w:rPr>
                <w:rFonts w:hint="eastAsia" w:ascii="仿宋_GB2312" w:hAnsi="仿宋_GB2312" w:eastAsia="仿宋" w:cs="仿宋_GB2312"/>
                <w:color w:val="000000"/>
                <w:sz w:val="21"/>
                <w:szCs w:val="21"/>
                <w:lang w:val="en-US" w:eastAsia="zh-CN"/>
              </w:rPr>
            </w:pPr>
          </w:p>
          <w:p>
            <w:pPr>
              <w:pStyle w:val="2"/>
              <w:rPr>
                <w:rFonts w:hint="eastAsia" w:ascii="仿宋_GB2312" w:hAnsi="仿宋_GB2312" w:eastAsia="仿宋" w:cs="仿宋_GB2312"/>
                <w:color w:val="00000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专项工作组</w:t>
            </w:r>
          </w:p>
          <w:p>
            <w:pPr>
              <w:pStyle w:val="2"/>
              <w:rPr>
                <w:rFonts w:hint="eastAsia" w:ascii="仿宋_GB2312" w:hAnsi="仿宋_GB2312" w:eastAsia="仿宋_GB2312" w:cs="仿宋_GB2312"/>
                <w:color w:val="000000"/>
                <w:sz w:val="21"/>
                <w:szCs w:val="21"/>
                <w:lang w:val="en-US" w:eastAsia="zh-CN"/>
              </w:rPr>
            </w:pPr>
          </w:p>
        </w:tc>
        <w:tc>
          <w:tcPr>
            <w:tcW w:w="990"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县消防大队分管负责人</w:t>
            </w:r>
          </w:p>
        </w:tc>
        <w:tc>
          <w:tcPr>
            <w:tcW w:w="3186" w:type="pct"/>
            <w:vMerge w:val="restar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消防：（1）根据需要对事发现场进行警戒；在应急专家组的指导下处理污染源，参加现场抢险、排险、救援处置工作；</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（2）在处置火灾爆炸等事故时，防止消防水进入水源地及其连接水体，负责事故后的洗消工作。</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公安：（1）查处导致水源地突发环境事件的违法犯罪行为；</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（2）负责组织集中式饮用水水源地突发环境事件应急</w:t>
            </w:r>
            <w:r>
              <w:rPr>
                <w:rFonts w:hint="eastAsia" w:ascii="仿宋_GB2312" w:hAnsi="仿宋_GB2312" w:cs="仿宋_GB2312"/>
                <w:color w:val="000000"/>
                <w:sz w:val="21"/>
                <w:szCs w:val="21"/>
                <w:lang w:val="en-US" w:eastAsia="zh-CN"/>
              </w:rPr>
              <w:t>救援</w:t>
            </w:r>
            <w:bookmarkStart w:id="0" w:name="_GoBack"/>
            <w:bookmarkEnd w:id="0"/>
            <w:r>
              <w:rPr>
                <w:rFonts w:hint="eastAsia" w:ascii="仿宋_GB2312" w:hAnsi="仿宋_GB2312" w:eastAsia="仿宋" w:cs="仿宋_GB2312"/>
                <w:color w:val="000000"/>
                <w:sz w:val="21"/>
                <w:szCs w:val="21"/>
                <w:lang w:val="en-US" w:eastAsia="zh-CN"/>
              </w:rPr>
              <w:t>治安维护，交通管制，危险区域实施治安警戒，疏散群众，维护社会稳定。</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48" w:hRule="atLeast"/>
        </w:trPr>
        <w:tc>
          <w:tcPr>
            <w:tcW w:w="822" w:type="pct"/>
            <w:vMerge w:val="continue"/>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p>
        </w:tc>
        <w:tc>
          <w:tcPr>
            <w:tcW w:w="990"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县公安局分管负责人</w:t>
            </w:r>
          </w:p>
        </w:tc>
        <w:tc>
          <w:tcPr>
            <w:tcW w:w="3186" w:type="pct"/>
            <w:vMerge w:val="continue"/>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000000"/>
                <w:sz w:val="21"/>
                <w:szCs w:val="21"/>
                <w:lang w:val="en-US" w:eastAsia="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96" w:hRule="atLeast"/>
        </w:trPr>
        <w:tc>
          <w:tcPr>
            <w:tcW w:w="822" w:type="pct"/>
            <w:vMerge w:val="continue"/>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p>
        </w:tc>
        <w:tc>
          <w:tcPr>
            <w:tcW w:w="990"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财政局分管负责人</w:t>
            </w:r>
          </w:p>
        </w:tc>
        <w:tc>
          <w:tcPr>
            <w:tcW w:w="318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负责保障水源地突发环境事件应急处置期间的费用。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822" w:type="pct"/>
            <w:vMerge w:val="continue"/>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p>
        </w:tc>
        <w:tc>
          <w:tcPr>
            <w:tcW w:w="990"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自然资源局分管负责人</w:t>
            </w:r>
          </w:p>
        </w:tc>
        <w:tc>
          <w:tcPr>
            <w:tcW w:w="318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负责指导由突发环境事件造成国土空间生态破坏的应急处置、调查处理和生态修复。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06" w:hRule="atLeast"/>
        </w:trPr>
        <w:tc>
          <w:tcPr>
            <w:tcW w:w="822" w:type="pct"/>
            <w:vMerge w:val="continue"/>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p>
        </w:tc>
        <w:tc>
          <w:tcPr>
            <w:tcW w:w="990"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临汾市生态环境局曲沃分局分管负责人</w:t>
            </w:r>
          </w:p>
        </w:tc>
        <w:tc>
          <w:tcPr>
            <w:tcW w:w="318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（1）负责突发环境事件的应急监测及排除后的跟踪监测，提出消除污染物的处置建议；</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（2）督促、指导有关部门和单位开展水源地污染物削减处置等工作。</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34" w:hRule="atLeast"/>
        </w:trPr>
        <w:tc>
          <w:tcPr>
            <w:tcW w:w="822" w:type="pct"/>
            <w:vMerge w:val="continue"/>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p>
        </w:tc>
        <w:tc>
          <w:tcPr>
            <w:tcW w:w="990"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住建局分管负责人</w:t>
            </w:r>
          </w:p>
        </w:tc>
        <w:tc>
          <w:tcPr>
            <w:tcW w:w="318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负责开展饮用水水质监测；在应急状态下，启动饮用水应急供水方案。在县应急工作专班的统一领导下，会同各相关部门做好事故现场处置工作。</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62" w:hRule="atLeast"/>
        </w:trPr>
        <w:tc>
          <w:tcPr>
            <w:tcW w:w="822" w:type="pct"/>
            <w:vMerge w:val="continue"/>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p>
        </w:tc>
        <w:tc>
          <w:tcPr>
            <w:tcW w:w="990"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交通运输局局分管负责人</w:t>
            </w:r>
          </w:p>
        </w:tc>
        <w:tc>
          <w:tcPr>
            <w:tcW w:w="318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协助处置交通事故次生的水源地突发环境事件，事故发生后及时启用道路桥梁应急工程设施，并负责保障应急物资运输车辆快速通行。</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613" w:hRule="atLeast"/>
        </w:trPr>
        <w:tc>
          <w:tcPr>
            <w:tcW w:w="822" w:type="pct"/>
            <w:vMerge w:val="continue"/>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p>
        </w:tc>
        <w:tc>
          <w:tcPr>
            <w:tcW w:w="990"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水利局分管负责人</w:t>
            </w:r>
          </w:p>
        </w:tc>
        <w:tc>
          <w:tcPr>
            <w:tcW w:w="318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（1）按照县应急工作专班要求，利用水利工程进行污染团拦截、降污或调水稀释等工作；</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（2）负责协调提供与集中式饮用水水源地突发环境事件相关的水文监测资料；</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（3）配合有关部门开展对水源水质及其受污染原因的调查和监测；</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（4）参与分析总结饮用水水源地突发环境事件应急处置工作。</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42" w:hRule="atLeast"/>
        </w:trPr>
        <w:tc>
          <w:tcPr>
            <w:tcW w:w="822" w:type="pct"/>
            <w:vMerge w:val="continue"/>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p>
        </w:tc>
        <w:tc>
          <w:tcPr>
            <w:tcW w:w="990"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农业农村局分管负责人</w:t>
            </w:r>
          </w:p>
        </w:tc>
        <w:tc>
          <w:tcPr>
            <w:tcW w:w="318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（1）协助处置因农业面源、渔业养殖导致的水源地突发环境事件。对具有农灌功能的水源地，在应急期间暂停农灌取水。</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（2）负责协调突发环境事件应急处置现场的农业生产物质的疏散和转移工作，搞好农业善后生产。</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40" w:hRule="atLeast"/>
        </w:trPr>
        <w:tc>
          <w:tcPr>
            <w:tcW w:w="822" w:type="pct"/>
            <w:vMerge w:val="continue"/>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p>
        </w:tc>
        <w:tc>
          <w:tcPr>
            <w:tcW w:w="990"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卫生健康局分管负责人</w:t>
            </w:r>
          </w:p>
        </w:tc>
        <w:tc>
          <w:tcPr>
            <w:tcW w:w="318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（1）负责管网末梢水水质应急监测工作，确保应急期间居民饮水卫生安全；</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（2）组织、协调、指导开展突发环境事件应急医疗卫生救援、疾病预防控制工作。</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53" w:hRule="atLeast"/>
        </w:trPr>
        <w:tc>
          <w:tcPr>
            <w:tcW w:w="822" w:type="pct"/>
            <w:vMerge w:val="continue"/>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p>
        </w:tc>
        <w:tc>
          <w:tcPr>
            <w:tcW w:w="990"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应急管理局分管负责人</w:t>
            </w:r>
          </w:p>
        </w:tc>
        <w:tc>
          <w:tcPr>
            <w:tcW w:w="318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（1）协助处置因自然灾害、企业安全生产事故等导致的水源地突发环境事件，参与事件的现场处置和调查处理工作；</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（2）协调县消防大队按照事发现场的技术要求参与应急处置。</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trPr>
        <w:tc>
          <w:tcPr>
            <w:tcW w:w="822" w:type="pct"/>
            <w:vMerge w:val="continue"/>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p>
        </w:tc>
        <w:tc>
          <w:tcPr>
            <w:tcW w:w="990"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气象局分管负责人</w:t>
            </w:r>
          </w:p>
        </w:tc>
        <w:tc>
          <w:tcPr>
            <w:tcW w:w="318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负责应急期间提供水源地周边气象信息。</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822" w:type="pct"/>
            <w:vMerge w:val="continue"/>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p>
        </w:tc>
        <w:tc>
          <w:tcPr>
            <w:tcW w:w="990"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工科局分管负责人</w:t>
            </w:r>
          </w:p>
        </w:tc>
        <w:tc>
          <w:tcPr>
            <w:tcW w:w="318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负责应急状态下紧缺物资生产组织工作；做好通信保障应急工作，确保突发环境事件应急处置现场的通信网络畅通。</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822" w:type="pct"/>
            <w:vMerge w:val="continue"/>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p>
        </w:tc>
        <w:tc>
          <w:tcPr>
            <w:tcW w:w="990"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县委宣传部</w:t>
            </w:r>
          </w:p>
        </w:tc>
        <w:tc>
          <w:tcPr>
            <w:tcW w:w="318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 w:cs="仿宋_GB2312"/>
                <w:color w:val="000000"/>
                <w:sz w:val="21"/>
                <w:szCs w:val="21"/>
                <w:lang w:val="en-US" w:eastAsia="zh-CN"/>
              </w:rPr>
              <w:t>根据县应急工作专班安排，负责应急新闻报道，做好媒体、记者的组织、管理和引导工作，正确引导舆论。</w:t>
            </w:r>
          </w:p>
        </w:tc>
      </w:tr>
    </w:tbl>
    <w:p>
      <w:pPr>
        <w:bidi w:val="0"/>
        <w:rPr>
          <w:rFonts w:hint="eastAsia"/>
          <w:lang w:val="en-US" w:eastAsia="zh-CN"/>
        </w:rPr>
      </w:pPr>
    </w:p>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FD1974"/>
    <w:rsid w:val="3FFD1974"/>
    <w:rsid w:val="77FF96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uto"/>
      <w:ind w:firstLine="1032" w:firstLineChars="200"/>
      <w:jc w:val="both"/>
    </w:pPr>
    <w:rPr>
      <w:rFonts w:ascii="Times New Roman" w:hAnsi="Times New Roman" w:eastAsia="仿宋" w:cs="Times New Roman"/>
      <w:kern w:val="2"/>
      <w:sz w:val="3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2024-12-16T19:03:00Z</dcterms:created>
  <dc:creator>baixin</dc:creator>
  <cp:lastModifiedBy>baixin</cp:lastModifiedBy>
  <dcterms:modified xsi:type="dcterms:W3CDTF">2024-12-17T16:55:03Z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2052-11.8.2.1114</vt:lpwstr>
  </property>
</Properties>
</file>