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450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曲发改〔</w:t>
      </w:r>
      <w:r>
        <w:rPr>
          <w:rFonts w:hint="eastAsia" w:ascii="仿宋_GB2312" w:hAnsi="仿宋_GB2312" w:eastAsia="仿宋_GB2312" w:cs="仿宋_GB2312"/>
          <w:sz w:val="32"/>
          <w:szCs w:val="32"/>
          <w:lang w:val="en-US" w:eastAsia="zh-CN"/>
        </w:rPr>
        <w:t>2023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72</w:t>
      </w:r>
      <w:r>
        <w:rPr>
          <w:rFonts w:hint="eastAsia" w:ascii="仿宋_GB2312" w:hAnsi="仿宋_GB2312" w:eastAsia="仿宋_GB2312" w:cs="仿宋_GB2312"/>
          <w:sz w:val="32"/>
          <w:szCs w:val="32"/>
          <w:lang w:eastAsia="zh-CN"/>
        </w:rPr>
        <w:t>号</w:t>
      </w:r>
    </w:p>
    <w:p>
      <w:pPr>
        <w:jc w:val="left"/>
        <w:rPr>
          <w:rFonts w:hint="eastAsia" w:ascii="方正小标宋_GBK" w:hAnsi="方正小标宋_GBK" w:eastAsia="方正小标宋_GBK" w:cs="方正小标宋_GBK"/>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曲沃县发展和改革局</w:t>
      </w:r>
      <w:r>
        <w:rPr>
          <w:rFonts w:hint="eastAsia" w:ascii="方正小标宋简体" w:hAnsi="方正小标宋简体" w:eastAsia="方正小标宋简体" w:cs="方正小标宋简体"/>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lang w:val="en-US" w:eastAsia="zh-CN"/>
        </w:rPr>
      </w:pPr>
      <w:r>
        <w:rPr>
          <w:rFonts w:hint="eastAsia" w:ascii="方正小标宋简体" w:hAnsi="方正小标宋简体" w:eastAsia="方正小标宋简体" w:cs="方正小标宋简体"/>
          <w:sz w:val="44"/>
          <w:szCs w:val="44"/>
          <w:lang w:val="en-US" w:eastAsia="zh-CN"/>
        </w:rPr>
        <w:t>2023年</w:t>
      </w:r>
      <w:r>
        <w:rPr>
          <w:rFonts w:hint="eastAsia" w:ascii="方正小标宋简体" w:hAnsi="方正小标宋简体" w:eastAsia="方正小标宋简体" w:cs="方正小标宋简体"/>
          <w:sz w:val="44"/>
          <w:szCs w:val="44"/>
          <w:lang w:eastAsia="zh-CN"/>
        </w:rPr>
        <w:t>法治政府建设年度工作报告</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2"/>
          <w:szCs w:val="32"/>
          <w:lang w:eastAsia="zh-CN"/>
        </w:rPr>
      </w:pP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今年以来，</w:t>
      </w:r>
      <w:r>
        <w:rPr>
          <w:rFonts w:hint="eastAsia" w:ascii="仿宋_GB2312" w:hAnsi="仿宋_GB2312" w:eastAsia="仿宋_GB2312" w:cs="仿宋_GB2312"/>
          <w:sz w:val="32"/>
          <w:szCs w:val="32"/>
        </w:rPr>
        <w:t>在县委、县政府的正确领导下，在县委依法治县办的认真指导下，</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多措并举，狠抓落实，</w:t>
      </w:r>
      <w:r>
        <w:rPr>
          <w:rFonts w:hint="eastAsia" w:ascii="仿宋_GB2312" w:hAnsi="仿宋_GB2312" w:eastAsia="仿宋_GB2312" w:cs="仿宋_GB2312"/>
          <w:sz w:val="32"/>
          <w:szCs w:val="32"/>
          <w:lang w:eastAsia="zh-CN"/>
        </w:rPr>
        <w:t>扎实</w:t>
      </w:r>
      <w:r>
        <w:rPr>
          <w:rFonts w:hint="eastAsia" w:ascii="仿宋_GB2312" w:hAnsi="仿宋_GB2312" w:eastAsia="仿宋_GB2312" w:cs="仿宋_GB2312"/>
          <w:sz w:val="32"/>
          <w:szCs w:val="32"/>
        </w:rPr>
        <w:t>推进法治政府各项工作有序开展，依法行政体制机制进一步完善，各项工作法治化、规范化水平进一步提升，法治政府建设取得新进展。现将我</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年法治政府建设工作</w:t>
      </w:r>
      <w:r>
        <w:rPr>
          <w:rFonts w:hint="eastAsia" w:ascii="仿宋_GB2312" w:hAnsi="仿宋_GB2312" w:eastAsia="仿宋_GB2312" w:cs="仿宋_GB2312"/>
          <w:sz w:val="32"/>
          <w:szCs w:val="32"/>
          <w:lang w:eastAsia="zh-CN"/>
        </w:rPr>
        <w:t>开展情况汇报</w:t>
      </w:r>
      <w:r>
        <w:rPr>
          <w:rFonts w:hint="eastAsia" w:ascii="仿宋_GB2312" w:hAnsi="仿宋_GB2312" w:eastAsia="仿宋_GB2312" w:cs="仿宋_GB2312"/>
          <w:sz w:val="32"/>
          <w:szCs w:val="32"/>
        </w:rPr>
        <w:t>如下：</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一、加强组织领导，明确相关责任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为确保依法治理工作的实施，我局进一步加强法治政府建设工作领导小组</w:t>
      </w:r>
      <w:r>
        <w:rPr>
          <w:rFonts w:hint="eastAsia" w:ascii="仿宋_GB2312" w:hAnsi="仿宋_GB2312" w:eastAsia="仿宋_GB2312" w:cs="仿宋_GB2312"/>
          <w:sz w:val="32"/>
          <w:szCs w:val="32"/>
          <w:lang w:eastAsia="zh-CN"/>
        </w:rPr>
        <w:t>的建设</w:t>
      </w:r>
      <w:r>
        <w:rPr>
          <w:rFonts w:hint="eastAsia" w:ascii="仿宋_GB2312" w:hAnsi="仿宋_GB2312" w:eastAsia="仿宋_GB2312" w:cs="仿宋_GB2312"/>
          <w:sz w:val="32"/>
          <w:szCs w:val="32"/>
        </w:rPr>
        <w:t>，及时调整领导小组成员，明确</w:t>
      </w:r>
      <w:r>
        <w:rPr>
          <w:rFonts w:hint="eastAsia" w:ascii="仿宋_GB2312" w:hAnsi="仿宋_GB2312" w:eastAsia="仿宋_GB2312" w:cs="仿宋_GB2312"/>
          <w:sz w:val="32"/>
          <w:szCs w:val="32"/>
          <w:lang w:eastAsia="zh-CN"/>
        </w:rPr>
        <w:t>了工作</w:t>
      </w:r>
      <w:r>
        <w:rPr>
          <w:rFonts w:hint="eastAsia" w:ascii="仿宋_GB2312" w:hAnsi="仿宋_GB2312" w:eastAsia="仿宋_GB2312" w:cs="仿宋_GB2312"/>
          <w:sz w:val="32"/>
          <w:szCs w:val="32"/>
        </w:rPr>
        <w:t>职责，把法治政府建设工作与业务工作一起研究、一起</w:t>
      </w:r>
      <w:r>
        <w:rPr>
          <w:rFonts w:hint="eastAsia" w:ascii="仿宋_GB2312" w:hAnsi="仿宋_GB2312" w:eastAsia="仿宋_GB2312" w:cs="仿宋_GB2312"/>
          <w:sz w:val="32"/>
          <w:szCs w:val="32"/>
          <w:lang w:eastAsia="zh-CN"/>
        </w:rPr>
        <w:t>部署</w:t>
      </w:r>
      <w:r>
        <w:rPr>
          <w:rFonts w:hint="eastAsia" w:ascii="仿宋_GB2312" w:hAnsi="仿宋_GB2312" w:eastAsia="仿宋_GB2312" w:cs="仿宋_GB2312"/>
          <w:sz w:val="32"/>
          <w:szCs w:val="32"/>
        </w:rPr>
        <w:t>、一起落实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切实从思想上、组织上、具体措施上全面进行落实，形成了主要领导为第一责任人，分管领导为直接责任人，各股室负责人为具体责任人的“上下联动、全员参与”的工作格局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有力地推进了法治政府建设工作的开展。</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202</w:t>
      </w:r>
      <w:r>
        <w:rPr>
          <w:rFonts w:hint="eastAsia" w:ascii="黑体" w:hAnsi="黑体" w:eastAsia="黑体" w:cs="黑体"/>
          <w:sz w:val="32"/>
          <w:szCs w:val="32"/>
          <w:lang w:val="en-US" w:eastAsia="zh-CN"/>
        </w:rPr>
        <w:t>3</w:t>
      </w:r>
      <w:r>
        <w:rPr>
          <w:rFonts w:hint="eastAsia" w:ascii="黑体" w:hAnsi="黑体" w:eastAsia="黑体" w:cs="黑体"/>
          <w:sz w:val="32"/>
          <w:szCs w:val="32"/>
        </w:rPr>
        <w:t>年法治政府建设工作开展情况</w:t>
      </w:r>
    </w:p>
    <w:p>
      <w:pPr>
        <w:keepNext w:val="0"/>
        <w:keepLines w:val="0"/>
        <w:pageBreakBefore w:val="0"/>
        <w:kinsoku/>
        <w:wordWrap/>
        <w:overflowPunct/>
        <w:topLinePunct w:val="0"/>
        <w:autoSpaceDE/>
        <w:autoSpaceDN/>
        <w:bidi w:val="0"/>
        <w:adjustRightInd/>
        <w:snapToGrid/>
        <w:spacing w:line="58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一是扎实推进信用体系建设，做好</w:t>
      </w:r>
      <w:r>
        <w:rPr>
          <w:rFonts w:hint="eastAsia" w:ascii="仿宋_GB2312" w:hAnsi="仿宋_GB2312" w:eastAsia="仿宋_GB2312" w:cs="仿宋_GB2312"/>
          <w:b/>
          <w:bCs/>
          <w:sz w:val="32"/>
          <w:szCs w:val="32"/>
        </w:rPr>
        <w:t>“双公示”</w:t>
      </w:r>
      <w:r>
        <w:rPr>
          <w:rFonts w:hint="eastAsia" w:ascii="仿宋_GB2312" w:hAnsi="仿宋_GB2312" w:eastAsia="仿宋_GB2312" w:cs="仿宋_GB2312"/>
          <w:b/>
          <w:bCs/>
          <w:sz w:val="32"/>
          <w:szCs w:val="32"/>
          <w:lang w:eastAsia="zh-CN"/>
        </w:rPr>
        <w:t>信用信息归集工作</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全力做好行政许可和行政处罚等信用信息“双公示”，</w:t>
      </w:r>
      <w:r>
        <w:rPr>
          <w:rFonts w:hint="eastAsia" w:ascii="仿宋_GB2312" w:hAnsi="仿宋_GB2312" w:eastAsia="仿宋_GB2312" w:cs="仿宋_GB2312"/>
          <w:sz w:val="32"/>
          <w:szCs w:val="32"/>
          <w:lang w:val="en-US" w:eastAsia="zh-CN"/>
        </w:rPr>
        <w:t>2023年“双公示”及其他信用信息归集、上报7097条，</w:t>
      </w:r>
      <w:r>
        <w:rPr>
          <w:rFonts w:hint="eastAsia" w:ascii="仿宋_GB2312" w:hAnsi="仿宋_GB2312" w:eastAsia="仿宋_GB2312" w:cs="仿宋_GB2312"/>
          <w:sz w:val="32"/>
          <w:szCs w:val="32"/>
        </w:rPr>
        <w:t>进一步规范数据标准，提升数据质量，做到“应报尽报、应归尽归”，高质量审核录入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迟报率达到省市要求</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8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是做好价格认证工作。</w:t>
      </w:r>
      <w:r>
        <w:rPr>
          <w:rFonts w:hint="eastAsia" w:ascii="仿宋_GB2312" w:hAnsi="仿宋_GB2312" w:eastAsia="仿宋_GB2312" w:cs="仿宋_GB2312"/>
          <w:sz w:val="32"/>
          <w:szCs w:val="32"/>
        </w:rPr>
        <w:t>进一步强化价格认定工作“服务政府、服务司法、服务社会”的职能定位，重点做好涉案、涉纪财物的价格认定。</w:t>
      </w:r>
      <w:r>
        <w:rPr>
          <w:rFonts w:hint="eastAsia" w:ascii="仿宋_GB2312" w:hAnsi="仿宋_GB2312" w:eastAsia="仿宋_GB2312" w:cs="仿宋_GB2312"/>
          <w:sz w:val="32"/>
          <w:szCs w:val="32"/>
          <w:lang w:eastAsia="zh-CN"/>
        </w:rPr>
        <w:t>今年以来</w:t>
      </w:r>
      <w:r>
        <w:rPr>
          <w:rFonts w:hint="eastAsia" w:ascii="仿宋_GB2312" w:hAnsi="仿宋_GB2312" w:eastAsia="仿宋_GB2312" w:cs="仿宋_GB2312"/>
          <w:b w:val="0"/>
          <w:i w:val="0"/>
          <w:caps w:val="0"/>
          <w:spacing w:val="0"/>
          <w:w w:val="100"/>
          <w:sz w:val="32"/>
          <w:szCs w:val="32"/>
          <w:lang w:val="en-US" w:eastAsia="zh-CN"/>
        </w:rPr>
        <w:t>完成涉嫌刑事、违纪检案件、行政处罚案件共21件，涉案总金额150506元。</w:t>
      </w:r>
    </w:p>
    <w:p>
      <w:pPr>
        <w:keepNext w:val="0"/>
        <w:keepLines w:val="0"/>
        <w:pageBreakBefore w:val="0"/>
        <w:kinsoku/>
        <w:wordWrap/>
        <w:overflowPunct/>
        <w:topLinePunct w:val="0"/>
        <w:autoSpaceDE/>
        <w:autoSpaceDN/>
        <w:bidi w:val="0"/>
        <w:adjustRightInd/>
        <w:snapToGrid/>
        <w:spacing w:line="58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是加强市场价格监管。</w:t>
      </w:r>
      <w:r>
        <w:rPr>
          <w:rFonts w:hint="eastAsia" w:ascii="仿宋_GB2312" w:hAnsi="仿宋_GB2312" w:eastAsia="仿宋_GB2312" w:cs="仿宋_GB2312"/>
          <w:sz w:val="32"/>
          <w:szCs w:val="32"/>
        </w:rPr>
        <w:t>配合市场监管等部门加强重要生活物资市场监管，严厉打击哄抬价格等扰乱市场秩序行为，重点做好肉类、蔬菜、粮油等农副食品和相关产品的价格跟踪，科学分析价格走势，做好市场价格预警预报工作。</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2" w:firstLineChars="200"/>
        <w:jc w:val="both"/>
        <w:textAlignment w:val="auto"/>
        <w:rPr>
          <w:rFonts w:hint="default"/>
          <w:lang w:val="en-US" w:eastAsia="zh-CN"/>
        </w:rPr>
      </w:pPr>
      <w:r>
        <w:rPr>
          <w:rFonts w:hint="eastAsia" w:ascii="仿宋_GB2312" w:hAnsi="仿宋_GB2312" w:eastAsia="仿宋_GB2312" w:cs="仿宋_GB2312"/>
          <w:b/>
          <w:bCs/>
          <w:sz w:val="32"/>
          <w:szCs w:val="32"/>
          <w:lang w:eastAsia="zh-CN"/>
        </w:rPr>
        <w:t>四是</w:t>
      </w:r>
      <w:r>
        <w:rPr>
          <w:rFonts w:hint="eastAsia" w:ascii="仿宋_GB2312" w:hAnsi="仿宋_GB2312" w:eastAsia="仿宋_GB2312" w:cs="仿宋_GB2312"/>
          <w:b/>
          <w:bCs/>
          <w:sz w:val="32"/>
          <w:szCs w:val="32"/>
        </w:rPr>
        <w:t>推进</w:t>
      </w:r>
      <w:r>
        <w:rPr>
          <w:rFonts w:hint="eastAsia" w:ascii="仿宋_GB2312" w:hAnsi="仿宋_GB2312" w:eastAsia="仿宋_GB2312" w:cs="仿宋_GB2312"/>
          <w:b/>
          <w:bCs/>
          <w:sz w:val="32"/>
          <w:szCs w:val="32"/>
          <w:lang w:eastAsia="zh-CN"/>
        </w:rPr>
        <w:t>规范行政</w:t>
      </w:r>
      <w:r>
        <w:rPr>
          <w:rFonts w:hint="eastAsia" w:ascii="仿宋_GB2312" w:hAnsi="仿宋_GB2312" w:eastAsia="仿宋_GB2312" w:cs="仿宋_GB2312"/>
          <w:b/>
          <w:bCs/>
          <w:sz w:val="32"/>
          <w:szCs w:val="32"/>
        </w:rPr>
        <w:t>执法工作，全面提升执法能力和水平。</w:t>
      </w:r>
      <w:r>
        <w:rPr>
          <w:rFonts w:hint="eastAsia" w:ascii="仿宋_GB2312" w:hAnsi="仿宋_GB2312" w:eastAsia="仿宋_GB2312" w:cs="仿宋_GB2312"/>
          <w:sz w:val="32"/>
          <w:szCs w:val="32"/>
        </w:rPr>
        <w:t>坚持严格规范公正文明执法情况</w:t>
      </w:r>
      <w:r>
        <w:rPr>
          <w:rFonts w:hint="eastAsia" w:ascii="仿宋_GB2312" w:hAnsi="仿宋_GB2312" w:eastAsia="仿宋_GB2312" w:cs="仿宋_GB2312"/>
          <w:sz w:val="32"/>
          <w:szCs w:val="32"/>
          <w:lang w:eastAsia="zh-CN"/>
        </w:rPr>
        <w:t>，扎实开展</w:t>
      </w:r>
      <w:r>
        <w:rPr>
          <w:rFonts w:hint="eastAsia" w:ascii="仿宋" w:hAnsi="仿宋" w:eastAsia="仿宋" w:cs="仿宋"/>
          <w:sz w:val="32"/>
          <w:szCs w:val="32"/>
          <w:lang w:val="en-US" w:eastAsia="zh-CN"/>
        </w:rPr>
        <w:t>“双随机、一公开”监管工作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一是</w:t>
      </w:r>
      <w:r>
        <w:rPr>
          <w:rFonts w:hint="eastAsia" w:ascii="仿宋" w:hAnsi="仿宋" w:eastAsia="仿宋" w:cs="仿宋"/>
          <w:sz w:val="32"/>
          <w:szCs w:val="32"/>
          <w:lang w:val="en-US" w:eastAsia="zh-CN"/>
        </w:rPr>
        <w:t>根据曲沃县市场监管领域“双随机、一公开”监管工作领导小组办公室《关于印发曲沃县2023年度部门联合双随机抽查工作计划 (“一业一查”计划)的通知》(曲双随机办〔2023〕2号)要求，我局按照要求及时制定《2023年“双随机、一公开”抽查工作计划》，明确抽查任务名称、抽查事项、抽查对象范围、抽查比例及频次，抽查事项清单在人民政府网及时公示，并根据联合抽查计划，联合县市场监督管理局对我县粮食收购企业进行了联合检查。二是</w:t>
      </w:r>
      <w:r>
        <w:rPr>
          <w:rFonts w:hint="eastAsia" w:ascii="仿宋_GB2312" w:hAnsi="仿宋_GB2312" w:eastAsia="仿宋_GB2312" w:cs="仿宋_GB2312"/>
          <w:sz w:val="32"/>
          <w:szCs w:val="32"/>
          <w:lang w:val="en-US" w:eastAsia="zh-CN"/>
        </w:rPr>
        <w:t>联合县消防救援大队进行了2023年度部门联合“双随机、一公开”抽查检查，对碧桂园和建邦佳苑人防工程进行了检查，现场指出问题并下达整改通知书。</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五是加强法治知识宣传，提升依法执政的意识。</w:t>
      </w:r>
      <w:r>
        <w:rPr>
          <w:rFonts w:hint="eastAsia" w:ascii="仿宋_GB2312" w:hAnsi="仿宋_GB2312" w:eastAsia="仿宋_GB2312" w:cs="仿宋_GB2312"/>
          <w:sz w:val="32"/>
          <w:szCs w:val="32"/>
          <w:lang w:val="en-US" w:eastAsia="zh-CN"/>
        </w:rPr>
        <w:t>开展形式多样的法治宣传活动。一是认真学习宣传促进投资和对外开放方面的法律法规和规章，主要学习了《外商投资法》及其实施条例、《政府投资条例》《企业投资项目核准和备案管理条例》《机关团体建设楼堂馆所管理条例》《山西省企业投资项目核准和备案管理办法》《山西省政府投资管理办法》《山西省企业投资项目承诺制规定》等。二是认真学习宣传构建公平竞争的市场制度和激发市场活力方面的法律法规，主要学习了《招标投标法》及其实施条例、《价格法》《优化营商环境条例》《山西省工程建设项目招标投标条例》《山西省优化营商环境条例》，学习掌握好完善基本经济制度、规范各类市场主体行为、市场交易、市场监管等方面的法律法规。三是认真学习宣传推进绿色低碳发展方面的法律，主要学习了《煤炭法》《电力法》《节约能源法》《循环经济促进法》《清洁生产促进法》《山西省循环经济条例》等。</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三、下一步法治建设工作计划</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下一步，我单位将继续深入学习贯彻党的二十大精神</w:t>
      </w:r>
      <w:bookmarkStart w:id="0" w:name="_GoBack"/>
      <w:bookmarkEnd w:id="0"/>
      <w:r>
        <w:rPr>
          <w:rFonts w:hint="eastAsia" w:ascii="仿宋_GB2312" w:hAnsi="仿宋_GB2312" w:eastAsia="仿宋_GB2312" w:cs="仿宋_GB2312"/>
          <w:sz w:val="32"/>
          <w:szCs w:val="32"/>
        </w:rPr>
        <w:t>，全面贯彻</w:t>
      </w:r>
      <w:r>
        <w:rPr>
          <w:rFonts w:hint="eastAsia" w:ascii="仿宋_GB2312" w:hAnsi="仿宋_GB2312" w:eastAsia="仿宋_GB2312" w:cs="仿宋_GB2312"/>
          <w:sz w:val="32"/>
          <w:szCs w:val="32"/>
          <w:lang w:eastAsia="zh-CN"/>
        </w:rPr>
        <w:t>落实</w:t>
      </w:r>
      <w:r>
        <w:rPr>
          <w:rFonts w:hint="eastAsia" w:ascii="仿宋_GB2312" w:hAnsi="仿宋_GB2312" w:eastAsia="仿宋_GB2312" w:cs="仿宋_GB2312"/>
          <w:sz w:val="32"/>
          <w:szCs w:val="32"/>
        </w:rPr>
        <w:t>《山西省贯彻落实法治政府建设年度报告制度的规定》，加快推进依法行政，建设法治政府的进程，重点抓好以下几项工作：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（一）加强法治理论学习</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一是抓龙头，重点是各级领导干部、公务员，</w:t>
      </w:r>
      <w:r>
        <w:rPr>
          <w:rFonts w:hint="eastAsia" w:ascii="仿宋_GB2312" w:hAnsi="仿宋_GB2312" w:eastAsia="仿宋_GB2312" w:cs="仿宋_GB2312"/>
          <w:i w:val="0"/>
          <w:iCs w:val="0"/>
          <w:caps w:val="0"/>
          <w:color w:val="333333"/>
          <w:spacing w:val="0"/>
          <w:sz w:val="32"/>
          <w:szCs w:val="32"/>
        </w:rPr>
        <w:t>将学习贯彻习近平法治思想作为党组理论学习中心组年度学习的重要内容，</w:t>
      </w:r>
      <w:r>
        <w:rPr>
          <w:rFonts w:hint="eastAsia" w:ascii="仿宋_GB2312" w:hAnsi="仿宋_GB2312" w:eastAsia="仿宋_GB2312" w:cs="仿宋_GB2312"/>
          <w:sz w:val="32"/>
          <w:szCs w:val="32"/>
        </w:rPr>
        <w:t>真正树立良好的依法行政意识，促进和带动我局普法工作的深入开展。二是</w:t>
      </w:r>
      <w:r>
        <w:rPr>
          <w:rFonts w:hint="eastAsia" w:ascii="仿宋_GB2312" w:hAnsi="仿宋_GB2312" w:eastAsia="仿宋_GB2312" w:cs="仿宋_GB2312"/>
          <w:sz w:val="32"/>
          <w:szCs w:val="32"/>
          <w:lang w:eastAsia="zh-CN"/>
        </w:rPr>
        <w:t>抓好机关</w:t>
      </w:r>
      <w:r>
        <w:rPr>
          <w:rFonts w:hint="eastAsia" w:ascii="仿宋_GB2312" w:hAnsi="仿宋_GB2312" w:eastAsia="仿宋_GB2312" w:cs="仿宋_GB2312"/>
          <w:i w:val="0"/>
          <w:iCs w:val="0"/>
          <w:caps w:val="0"/>
          <w:color w:val="333333"/>
          <w:spacing w:val="0"/>
          <w:sz w:val="32"/>
          <w:szCs w:val="32"/>
          <w:lang w:eastAsia="zh-CN"/>
        </w:rPr>
        <w:t>党员</w:t>
      </w:r>
      <w:r>
        <w:rPr>
          <w:rFonts w:hint="eastAsia" w:ascii="仿宋_GB2312" w:hAnsi="仿宋_GB2312" w:eastAsia="仿宋_GB2312" w:cs="仿宋_GB2312"/>
          <w:i w:val="0"/>
          <w:iCs w:val="0"/>
          <w:caps w:val="0"/>
          <w:color w:val="333333"/>
          <w:spacing w:val="0"/>
          <w:sz w:val="32"/>
          <w:szCs w:val="32"/>
        </w:rPr>
        <w:t>日常学法。健全党员干部日常学法用法制度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i w:val="0"/>
          <w:iCs w:val="0"/>
          <w:caps w:val="0"/>
          <w:color w:val="333333"/>
          <w:spacing w:val="0"/>
          <w:sz w:val="32"/>
          <w:szCs w:val="32"/>
        </w:rPr>
        <w:t>建立党员干部应知应会法律法规清单，充分利用“三会一课”等学习机制开展法治学习交流。 </w:t>
      </w:r>
      <w:r>
        <w:rPr>
          <w:rFonts w:hint="eastAsia" w:ascii="仿宋_GB2312" w:hAnsi="仿宋_GB2312" w:eastAsia="仿宋_GB2312" w:cs="仿宋_GB2312"/>
          <w:sz w:val="32"/>
          <w:szCs w:val="32"/>
        </w:rPr>
        <w:t>把干部学法用法情况，是否具备法治观念、掌握与工作职责有关的法律知识、依法办事的能力，作为干部职工考核、任用的重要依据。</w:t>
      </w:r>
    </w:p>
    <w:p>
      <w:pPr>
        <w:keepNext w:val="0"/>
        <w:keepLines w:val="0"/>
        <w:pageBreakBefore w:val="0"/>
        <w:kinsoku/>
        <w:wordWrap/>
        <w:overflowPunct/>
        <w:topLinePunct w:val="0"/>
        <w:autoSpaceDE/>
        <w:autoSpaceDN/>
        <w:bidi w:val="0"/>
        <w:adjustRightInd/>
        <w:snapToGrid/>
        <w:spacing w:line="58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（二）规范行政执法行为</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加强行政执法队伍建设。进一步加强规范行政执法行为，以制度规范行为，以考评落实制度。进一步加强执法队伍培训，加强行政执法队伍建设，全面提升行政执法人员依法行政能力和水平。</w:t>
      </w:r>
    </w:p>
    <w:p>
      <w:pPr>
        <w:keepNext w:val="0"/>
        <w:keepLines w:val="0"/>
        <w:pageBreakBefore w:val="0"/>
        <w:kinsoku/>
        <w:wordWrap/>
        <w:overflowPunct/>
        <w:topLinePunct w:val="0"/>
        <w:autoSpaceDE/>
        <w:autoSpaceDN/>
        <w:bidi w:val="0"/>
        <w:adjustRightInd/>
        <w:snapToGrid/>
        <w:spacing w:line="58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（三）加强法治教育宣传</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营造浓厚法治氛围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充分利用各种形式、各种渠道广泛宣传国家法律法规，大力宣传投资管理、价格管理、信用管理等与</w:t>
      </w:r>
      <w:r>
        <w:rPr>
          <w:rFonts w:hint="eastAsia" w:ascii="仿宋_GB2312" w:hAnsi="仿宋_GB2312" w:eastAsia="仿宋_GB2312" w:cs="仿宋_GB2312"/>
          <w:sz w:val="32"/>
          <w:szCs w:val="32"/>
          <w:lang w:eastAsia="zh-CN"/>
        </w:rPr>
        <w:t>发改实际工作相关</w:t>
      </w:r>
      <w:r>
        <w:rPr>
          <w:rFonts w:hint="eastAsia" w:ascii="仿宋_GB2312" w:hAnsi="仿宋_GB2312" w:eastAsia="仿宋_GB2312" w:cs="仿宋_GB2312"/>
          <w:sz w:val="32"/>
          <w:szCs w:val="32"/>
        </w:rPr>
        <w:t>的法律法规，增强干部职工法律观念和意识，为推进依法行政，建设法治政府营造良好的氛围。</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曲沃县发展和改革局</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2023年12月29日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8"/>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Bitstream Charter">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6D6152F9"/>
    <w:rsid w:val="01AB7094"/>
    <w:rsid w:val="0494236D"/>
    <w:rsid w:val="04A60640"/>
    <w:rsid w:val="0E092EFC"/>
    <w:rsid w:val="161F618A"/>
    <w:rsid w:val="18852DE3"/>
    <w:rsid w:val="1C56042C"/>
    <w:rsid w:val="2DEB19B8"/>
    <w:rsid w:val="30DB6B3F"/>
    <w:rsid w:val="401A339B"/>
    <w:rsid w:val="446A2417"/>
    <w:rsid w:val="48663309"/>
    <w:rsid w:val="48BF42F8"/>
    <w:rsid w:val="4980347D"/>
    <w:rsid w:val="60735D8E"/>
    <w:rsid w:val="62AC3ECF"/>
    <w:rsid w:val="69FC2BDD"/>
    <w:rsid w:val="6D6152F9"/>
    <w:rsid w:val="7098398D"/>
    <w:rsid w:val="713877B2"/>
    <w:rsid w:val="72541E8D"/>
    <w:rsid w:val="77E31CE9"/>
    <w:rsid w:val="7C1F52BA"/>
    <w:rsid w:val="7C9C690A"/>
    <w:rsid w:val="7D1563A7"/>
    <w:rsid w:val="FFF67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rPr>
      <w:rFonts w:ascii="宋体" w:hAnsi="宋体" w:cs="宋体"/>
      <w:sz w:val="28"/>
      <w:szCs w:val="28"/>
      <w:lang w:val="zh-CN" w:bidi="zh-CN"/>
    </w:rPr>
  </w:style>
  <w:style w:type="paragraph" w:styleId="3">
    <w:name w:val="Plain Text"/>
    <w:basedOn w:val="1"/>
    <w:qFormat/>
    <w:uiPriority w:val="0"/>
    <w:rPr>
      <w:rFonts w:ascii="宋体" w:hAnsi="Courier New" w:cs="Courier New"/>
      <w:szCs w:val="21"/>
    </w:rPr>
  </w:style>
  <w:style w:type="paragraph" w:styleId="4">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customStyle="1" w:styleId="7">
    <w:name w:val="正文首行缩进 21"/>
    <w:basedOn w:val="8"/>
    <w:next w:val="4"/>
    <w:qFormat/>
    <w:uiPriority w:val="0"/>
    <w:pPr>
      <w:ind w:firstLine="200" w:firstLineChars="200"/>
    </w:pPr>
  </w:style>
  <w:style w:type="paragraph" w:customStyle="1" w:styleId="8">
    <w:name w:val="正文文本缩进1"/>
    <w:basedOn w:val="1"/>
    <w:qFormat/>
    <w:uiPriority w:val="0"/>
    <w:pPr>
      <w:ind w:left="200" w:leftChars="200"/>
    </w:pPr>
  </w:style>
  <w:style w:type="paragraph" w:customStyle="1" w:styleId="9">
    <w:name w:val="TableOfAuthoring"/>
    <w:basedOn w:val="1"/>
    <w:next w:val="1"/>
    <w:semiHidden/>
    <w:qFormat/>
    <w:uiPriority w:val="0"/>
    <w:pPr>
      <w:ind w:left="420" w:leftChars="200"/>
      <w:jc w:val="both"/>
      <w:textAlignment w:val="baseline"/>
    </w:pPr>
    <w:rPr>
      <w:rFonts w:ascii="Calibri" w:hAnsi="Calibri"/>
      <w:kern w:val="2"/>
      <w:sz w:val="32"/>
      <w:szCs w:val="32"/>
    </w:rPr>
  </w:style>
  <w:style w:type="paragraph" w:customStyle="1" w:styleId="10">
    <w:name w:val="3.二级标题"/>
    <w:next w:val="11"/>
    <w:qFormat/>
    <w:uiPriority w:val="0"/>
    <w:pPr>
      <w:spacing w:line="580" w:lineRule="exact"/>
      <w:ind w:firstLine="883" w:firstLineChars="200"/>
      <w:outlineLvl w:val="1"/>
    </w:pPr>
    <w:rPr>
      <w:rFonts w:ascii="楷体_GB2312" w:hAnsi="楷体_GB2312" w:eastAsia="楷体_GB2312" w:cs="Times New Roman"/>
      <w:b/>
      <w:kern w:val="44"/>
      <w:sz w:val="32"/>
      <w:lang w:val="en-US" w:eastAsia="zh-CN" w:bidi="ar-SA"/>
    </w:rPr>
  </w:style>
  <w:style w:type="paragraph" w:customStyle="1" w:styleId="11">
    <w:name w:val="4.正文"/>
    <w:basedOn w:val="3"/>
    <w:qFormat/>
    <w:uiPriority w:val="0"/>
    <w:pPr>
      <w:keepNext w:val="0"/>
      <w:keepLines w:val="0"/>
      <w:spacing w:beforeLines="0" w:afterLines="0" w:line="580" w:lineRule="exact"/>
      <w:ind w:firstLine="883" w:firstLineChars="200"/>
      <w:outlineLvl w:val="9"/>
    </w:pPr>
    <w:rPr>
      <w:rFonts w:ascii="仿宋_GB2312" w:hAnsi="仿宋_GB2312" w:eastAsia="仿宋_GB2312" w:cs="Times New Roman"/>
      <w:kern w:val="44"/>
      <w:sz w:val="32"/>
    </w:rPr>
  </w:style>
  <w:style w:type="paragraph" w:customStyle="1" w:styleId="12">
    <w:name w:val="2.一级标题"/>
    <w:basedOn w:val="11"/>
    <w:next w:val="11"/>
    <w:qFormat/>
    <w:uiPriority w:val="0"/>
    <w:pPr>
      <w:spacing w:line="580" w:lineRule="exact"/>
      <w:ind w:firstLine="883" w:firstLineChars="200"/>
      <w:outlineLvl w:val="1"/>
    </w:pPr>
    <w:rPr>
      <w:rFonts w:ascii="Times New Roman" w:hAnsi="Times New Roman" w:eastAsia="黑体"/>
      <w:kern w:val="44"/>
      <w:sz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166</Words>
  <Characters>196</Characters>
  <Lines>0</Lines>
  <Paragraphs>0</Paragraphs>
  <TotalTime>3</TotalTime>
  <ScaleCrop>false</ScaleCrop>
  <LinksUpToDate>false</LinksUpToDate>
  <CharactersWithSpaces>197</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2022-10-27T09:28:00Z</dcterms:created>
  <dc:creator>Administrator</dc:creator>
  <cp:lastModifiedBy>baixin</cp:lastModifiedBy>
  <cp:lastPrinted>2023-12-29T11:43:00Z</cp:lastPrinted>
  <dcterms:modified xsi:type="dcterms:W3CDTF">2024-03-08T09:12:41Z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9C28C366D35749019BC1D4AF83FB470F_13</vt:lpwstr>
  </property>
</Properties>
</file>