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b w:val="0"/>
          <w:bCs/>
          <w:sz w:val="32"/>
          <w:szCs w:val="32"/>
        </w:rPr>
      </w:pPr>
      <w:r>
        <w:rPr>
          <w:rFonts w:hint="eastAsia" w:ascii="黑体" w:hAnsi="黑体" w:eastAsia="黑体" w:cs="黑体"/>
          <w:b w:val="0"/>
          <w:bCs/>
          <w:sz w:val="32"/>
          <w:szCs w:val="32"/>
        </w:rPr>
        <w:t>附件</w:t>
      </w:r>
      <w:r>
        <w:rPr>
          <w:rFonts w:hint="eastAsia" w:ascii="黑体" w:hAnsi="黑体" w:eastAsia="黑体" w:cs="黑体"/>
          <w:b w:val="0"/>
          <w:bCs/>
          <w:sz w:val="32"/>
          <w:szCs w:val="32"/>
          <w:lang w:val="en-US" w:eastAsia="zh-CN"/>
        </w:rPr>
        <w:t>1</w:t>
      </w: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本次检验项目</w:t>
      </w:r>
    </w:p>
    <w:p>
      <w:pPr>
        <w:spacing w:line="560" w:lineRule="exact"/>
        <w:ind w:firstLine="627" w:firstLineChars="196"/>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一</w:t>
      </w:r>
      <w:r>
        <w:rPr>
          <w:rFonts w:hint="eastAsia" w:ascii="黑体" w:hAnsi="黑体" w:eastAsia="黑体" w:cs="黑体"/>
          <w:sz w:val="32"/>
          <w:szCs w:val="32"/>
          <w:lang w:val="zh-CN"/>
        </w:rPr>
        <w:t>、</w:t>
      </w:r>
      <w:r>
        <w:rPr>
          <w:rFonts w:hint="eastAsia" w:ascii="黑体" w:hAnsi="黑体" w:eastAsia="黑体" w:cs="黑体"/>
          <w:bCs/>
          <w:color w:val="auto"/>
          <w:sz w:val="32"/>
          <w:szCs w:val="32"/>
        </w:rPr>
        <w:t>食用农产品</w:t>
      </w:r>
    </w:p>
    <w:p>
      <w:pPr>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 31650-2019《食品安全国家标准 食品中兽药最大残留限量》</w:t>
      </w:r>
      <w:r>
        <w:rPr>
          <w:rFonts w:hint="eastAsia" w:ascii="仿宋" w:hAnsi="仿宋" w:eastAsia="仿宋"/>
          <w:sz w:val="32"/>
          <w:lang w:eastAsia="zh-CN"/>
        </w:rPr>
        <w:t>、</w:t>
      </w:r>
      <w:r>
        <w:rPr>
          <w:rFonts w:hint="eastAsia" w:ascii="仿宋" w:hAnsi="仿宋" w:eastAsia="仿宋"/>
          <w:sz w:val="32"/>
        </w:rPr>
        <w:t>GB 31650.1-2022《食品安全国家标准 食品中41种兽药最大残留限量》</w:t>
      </w:r>
      <w:r>
        <w:rPr>
          <w:rFonts w:hint="eastAsia" w:ascii="仿宋" w:hAnsi="仿宋" w:eastAsia="仿宋"/>
          <w:sz w:val="32"/>
          <w:lang w:eastAsia="zh-CN"/>
        </w:rPr>
        <w:t>、 GB 19300-2014《食品安全国家标准 坚果与籽类食品》、GB 2762-2022《食品安全国家标准 食品中污染物限量》、GB 2761-2017《食品安全国家标准 食品中真菌毒素限量》、GB 2763-2021《食品安全国家标准 食品中农药最大残留限量》、GB 2763.1-2022《食品安全国家标准 食品中2,4-滴丁酸钠盐等112种农药最大残留限量》、农业农村部公告 第250号《食品动物中禁止使用的药品及其他化合物清单》,GB 31650-2019《食品安全国家标准 食品中兽药最大残留限量》。</w:t>
      </w:r>
    </w:p>
    <w:p>
      <w:pPr>
        <w:keepNext w:val="0"/>
        <w:keepLines w:val="0"/>
        <w:widowControl/>
        <w:numPr>
          <w:ilvl w:val="0"/>
          <w:numId w:val="1"/>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numPr>
          <w:ilvl w:val="0"/>
          <w:numId w:val="0"/>
        </w:numPr>
        <w:autoSpaceDE w:val="0"/>
        <w:autoSpaceDN w:val="0"/>
        <w:adjustRightIn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rPr>
        <w:t>食用农产品115</w:t>
      </w:r>
      <w:r>
        <w:rPr>
          <w:rFonts w:hint="eastAsia" w:ascii="仿宋_GB2312" w:hAnsi="仿宋_GB2312" w:eastAsia="仿宋_GB2312" w:cs="仿宋_GB2312"/>
          <w:sz w:val="32"/>
          <w:szCs w:val="32"/>
          <w:lang w:val="en-US" w:eastAsia="zh-CN"/>
        </w:rPr>
        <w:t>批次，检验项目为甲硝唑、地美硝唑、氟虫腈、氟苯尼考、恩诺沙星、氧氟沙星、沙拉沙星、甲氧苄啶、磺胺类(总量)、多西环素、酸价(以脂肪计)(KOH)、过氧化值(以脂肪计)、铅(以Pb计)、镉(以Cd计)、黄曲霉毒素B₁、噻虫嗪、苯醚甲环唑、毒死蜱、甲拌磷、甲基异柳磷、克百威、氯氟氰菊酯和高效氯氟氰菊酯、噻虫胺、氧乐果、铬(以Cr计)、腐霉利、氯霉素、五氯酚酸钠(以五氯酚计)、替米考星、地塞米松、吡虫啉、敌敌畏、毒死蜱、甲胺磷、水胺硫磷、丙溴磷、联苯菊酯、三唑磷、苯醚甲环唑、己唑醇、克百威、霜霉威和霜霉威盐酸盐、氯氟氰菊酯和高效氯氟氰菊酯、氯吡脲、杀扑磷、氧乐果、2,4-滴和2,4-滴钠盐、狄氏剂、氯唑磷、4-氯苯氧乙酸钠(以4-氯苯氧乙酸计)、6-苄基腺嘌呤(6-BA)、亚硫酸盐(以SO2计)、总汞(以Hg计)、阿维菌素、啶虫脒、乙酰甲胺磷、咪鲜胺和咪鲜胺锰盐、甲氨基阿维菌素苯甲酸盐、多菌灵、百菌清、倍硫磷等指标。</w:t>
      </w:r>
    </w:p>
    <w:p>
      <w:pPr>
        <w:keepNext w:val="0"/>
        <w:keepLines w:val="0"/>
        <w:widowControl/>
        <w:numPr>
          <w:ilvl w:val="0"/>
          <w:numId w:val="0"/>
        </w:numPr>
        <w:suppressLineNumbers w:val="0"/>
        <w:ind w:firstLine="640" w:firstLineChars="200"/>
        <w:jc w:val="left"/>
        <w:textAlignment w:val="top"/>
        <w:rPr>
          <w:rFonts w:hint="eastAsia" w:ascii="黑体" w:hAnsi="黑体" w:eastAsia="黑体" w:cs="黑体"/>
          <w:color w:val="auto"/>
          <w:sz w:val="32"/>
          <w:szCs w:val="32"/>
          <w:lang w:val="en-US" w:eastAsia="zh-CN"/>
        </w:rPr>
      </w:pPr>
      <w:r>
        <w:rPr>
          <w:rFonts w:hint="eastAsia" w:ascii="黑体" w:hAnsi="黑体" w:eastAsia="黑体" w:cs="黑体"/>
          <w:sz w:val="32"/>
          <w:szCs w:val="32"/>
          <w:lang w:eastAsia="zh-CN"/>
        </w:rPr>
        <w:t>二、</w:t>
      </w:r>
      <w:r>
        <w:rPr>
          <w:rFonts w:hint="eastAsia" w:ascii="黑体" w:hAnsi="黑体" w:eastAsia="黑体" w:cs="黑体"/>
          <w:color w:val="auto"/>
          <w:sz w:val="32"/>
          <w:szCs w:val="32"/>
          <w:lang w:val="en-US" w:eastAsia="zh-CN"/>
        </w:rPr>
        <w:t>肉</w:t>
      </w:r>
      <w:r>
        <w:rPr>
          <w:rFonts w:hint="eastAsia" w:ascii="黑体" w:hAnsi="黑体" w:eastAsia="黑体" w:cs="黑体"/>
          <w:color w:val="auto"/>
          <w:sz w:val="32"/>
          <w:szCs w:val="32"/>
          <w:lang w:eastAsia="zh-CN"/>
        </w:rPr>
        <w:t>制品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 </w:t>
      </w:r>
      <w:r>
        <w:rPr>
          <w:rFonts w:hint="eastAsia" w:ascii="仿宋" w:hAnsi="仿宋" w:eastAsia="仿宋"/>
          <w:sz w:val="32"/>
          <w:lang w:eastAsia="zh-CN"/>
        </w:rPr>
        <w:t>。</w:t>
      </w:r>
    </w:p>
    <w:p>
      <w:pPr>
        <w:keepNext w:val="0"/>
        <w:keepLines w:val="0"/>
        <w:widowControl/>
        <w:numPr>
          <w:ilvl w:val="0"/>
          <w:numId w:val="2"/>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keepNext w:val="0"/>
        <w:keepLines w:val="0"/>
        <w:widowControl/>
        <w:suppressLineNumbers w:val="0"/>
        <w:ind w:firstLine="640" w:firstLineChars="200"/>
        <w:jc w:val="left"/>
        <w:textAlignment w:val="bottom"/>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肉制品检验项目为铅（以Pb计）、N-二甲基亚硝胺、亚硝酸盐（以亚硝酸钠计）、苯甲酸及其钠盐（以苯甲酸计）、山梨酸及其钾盐（以山梨酸计）、脱氢乙酸及其钠盐（以脱氢乙酸计）、防腐剂混合使用时各自用量占其最大使用量的比例之和、糖精钠（以糖精计）等指标。</w:t>
      </w:r>
    </w:p>
    <w:p>
      <w:pPr>
        <w:keepNext w:val="0"/>
        <w:keepLines w:val="0"/>
        <w:widowControl/>
        <w:numPr>
          <w:ilvl w:val="0"/>
          <w:numId w:val="0"/>
        </w:numPr>
        <w:suppressLineNumbers w:val="0"/>
        <w:ind w:firstLine="640" w:firstLineChars="200"/>
        <w:jc w:val="left"/>
        <w:textAlignment w:val="top"/>
        <w:rPr>
          <w:rFonts w:hint="eastAsia" w:ascii="黑体" w:hAnsi="黑体" w:eastAsia="黑体" w:cs="黑体"/>
          <w:color w:val="auto"/>
          <w:sz w:val="32"/>
          <w:szCs w:val="32"/>
          <w:lang w:val="en-US" w:eastAsia="zh-CN"/>
        </w:rPr>
      </w:pPr>
      <w:r>
        <w:rPr>
          <w:rFonts w:hint="eastAsia" w:ascii="黑体" w:hAnsi="黑体" w:eastAsia="黑体" w:cs="黑体"/>
          <w:sz w:val="32"/>
          <w:szCs w:val="32"/>
          <w:lang w:eastAsia="zh-CN"/>
        </w:rPr>
        <w:t>三、</w:t>
      </w:r>
      <w:r>
        <w:rPr>
          <w:rFonts w:hint="eastAsia" w:ascii="黑体" w:hAnsi="黑体" w:eastAsia="黑体" w:cs="黑体"/>
          <w:color w:val="auto"/>
          <w:sz w:val="32"/>
          <w:szCs w:val="32"/>
          <w:lang w:val="en-US" w:eastAsia="zh-CN"/>
        </w:rPr>
        <w:t>糕点</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keepNext w:val="0"/>
        <w:keepLines w:val="0"/>
        <w:widowControl/>
        <w:numPr>
          <w:ilvl w:val="0"/>
          <w:numId w:val="0"/>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 w:hAnsi="仿宋" w:eastAsia="仿宋"/>
          <w:sz w:val="32"/>
        </w:rPr>
        <w:t>抽检依据是 GB 7099-2015《食品安全国家标准 糕点、面包》</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p>
    <w:p>
      <w:pPr>
        <w:keepNext w:val="0"/>
        <w:keepLines w:val="0"/>
        <w:widowControl/>
        <w:numPr>
          <w:ilvl w:val="0"/>
          <w:numId w:val="3"/>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keepNext w:val="0"/>
        <w:keepLines w:val="0"/>
        <w:widowControl/>
        <w:suppressLineNumbers w:val="0"/>
        <w:ind w:firstLine="640" w:firstLineChars="200"/>
        <w:jc w:val="left"/>
        <w:textAlignment w:val="bottom"/>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糕点检验项目为酸价（以脂肪计）（KOH）、过氧化值（以脂肪计）、苯甲酸及其钠盐（以苯甲酸计）、山梨酸及其钾盐（以山梨酸计）、糖精钠（以糖精计）、脱氢乙酸及其钠盐（以脱氢乙酸计）、柠檬黄、日落黄、防腐剂混合使用时各自用量占其最大使用量的比例之和等指标。</w:t>
      </w:r>
    </w:p>
    <w:p>
      <w:pPr>
        <w:keepNext w:val="0"/>
        <w:keepLines w:val="0"/>
        <w:widowControl/>
        <w:suppressLineNumbers w:val="0"/>
        <w:ind w:firstLine="640" w:firstLineChars="200"/>
        <w:jc w:val="left"/>
        <w:textAlignment w:val="bottom"/>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w:t>
      </w:r>
      <w:r>
        <w:rPr>
          <w:rFonts w:hint="eastAsia" w:ascii="黑体" w:hAnsi="黑体" w:eastAsia="黑体" w:cs="黑体"/>
          <w:color w:val="auto"/>
          <w:sz w:val="32"/>
          <w:szCs w:val="32"/>
          <w:lang w:val="en-US" w:eastAsia="zh-CN"/>
        </w:rPr>
        <w:t>淀粉及淀粉制品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 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r>
        <w:rPr>
          <w:rFonts w:hint="eastAsia" w:ascii="仿宋" w:hAnsi="仿宋" w:eastAsia="仿宋"/>
          <w:sz w:val="32"/>
        </w:rPr>
        <w:t>GB 31637-2016《食品安全国家标准 食用淀粉》</w:t>
      </w:r>
      <w:r>
        <w:rPr>
          <w:rFonts w:hint="eastAsia" w:ascii="仿宋" w:hAnsi="仿宋" w:eastAsia="仿宋"/>
          <w:sz w:val="32"/>
          <w:lang w:eastAsia="zh-CN"/>
        </w:rPr>
        <w:t>。</w:t>
      </w:r>
    </w:p>
    <w:p>
      <w:pPr>
        <w:keepNext w:val="0"/>
        <w:keepLines w:val="0"/>
        <w:widowControl/>
        <w:numPr>
          <w:ilvl w:val="0"/>
          <w:numId w:val="4"/>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keepNext w:val="0"/>
        <w:keepLines w:val="0"/>
        <w:widowControl/>
        <w:suppressLineNumbers w:val="0"/>
        <w:ind w:firstLine="640" w:firstLineChars="200"/>
        <w:jc w:val="left"/>
        <w:textAlignment w:val="bottom"/>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淀粉及淀粉制品检验项目为铅（以Pb计）、苯甲酸及其钠盐（以苯甲酸计）、山梨酸及其钾盐（以山梨酸计）、铝的残留量（干样品，以Al计）、二氧化硫残留量、、菌落总数、大肠菌群、霉菌和酵母、脱氢乙酸及其钠盐（以脱氢乙酸计）等指标。</w:t>
      </w:r>
    </w:p>
    <w:p>
      <w:pPr>
        <w:numPr>
          <w:ilvl w:val="0"/>
          <w:numId w:val="0"/>
        </w:numPr>
        <w:autoSpaceDE w:val="0"/>
        <w:autoSpaceDN w:val="0"/>
        <w:adjustRightInd w:val="0"/>
        <w:spacing w:line="560" w:lineRule="exact"/>
        <w:ind w:firstLine="640" w:firstLineChars="200"/>
        <w:rPr>
          <w:rFonts w:hint="eastAsia" w:ascii="黑体" w:hAnsi="黑体" w:eastAsia="黑体" w:cs="黑体"/>
          <w:bCs/>
          <w:sz w:val="32"/>
          <w:szCs w:val="32"/>
        </w:rPr>
      </w:pPr>
      <w:r>
        <w:rPr>
          <w:rFonts w:hint="eastAsia" w:ascii="黑体" w:hAnsi="黑体" w:eastAsia="黑体" w:cs="黑体"/>
          <w:sz w:val="32"/>
          <w:szCs w:val="32"/>
          <w:lang w:val="en-US" w:eastAsia="zh-CN"/>
        </w:rPr>
        <w:t>五、</w:t>
      </w:r>
      <w:r>
        <w:rPr>
          <w:rFonts w:hint="eastAsia" w:ascii="黑体" w:hAnsi="黑体" w:eastAsia="黑体" w:cs="黑体"/>
          <w:bCs/>
          <w:color w:val="auto"/>
          <w:sz w:val="32"/>
          <w:szCs w:val="32"/>
        </w:rPr>
        <w:t>调味品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 GB 2719-2018《食品安全国家标准 食醋》</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、GB 2721-2015《食品安全国家标准 食用盐》、GB 26878-2011《食品安全国家标准 食用盐碘含量》、GB 2762-2022《食品安全国家标准 食品中污染物限量》、 GB/T 18186-2000《酿造酱油》、GB 2718-2014《食品安全国家标准 酿造酱》、SB/T 10416-2007《调味料酒》。</w:t>
      </w:r>
    </w:p>
    <w:p>
      <w:pPr>
        <w:keepNext w:val="0"/>
        <w:keepLines w:val="0"/>
        <w:widowControl/>
        <w:numPr>
          <w:ilvl w:val="0"/>
          <w:numId w:val="5"/>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keepNext w:val="0"/>
        <w:keepLines w:val="0"/>
        <w:widowControl/>
        <w:numPr>
          <w:ilvl w:val="0"/>
          <w:numId w:val="0"/>
        </w:numPr>
        <w:suppressLineNumbers w:val="0"/>
        <w:ind w:firstLine="640" w:firstLineChars="200"/>
        <w:jc w:val="left"/>
        <w:textAlignment w:val="bottom"/>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Cs/>
          <w:sz w:val="32"/>
          <w:szCs w:val="32"/>
        </w:rPr>
        <w:t>调味品</w:t>
      </w:r>
      <w:r>
        <w:rPr>
          <w:rFonts w:hint="eastAsia" w:ascii="仿宋_GB2312" w:hAnsi="仿宋_GB2312" w:eastAsia="仿宋_GB2312" w:cs="仿宋_GB2312"/>
          <w:sz w:val="32"/>
          <w:szCs w:val="32"/>
          <w:lang w:val="en-US" w:eastAsia="zh-CN"/>
        </w:rPr>
        <w:t>检验项目为总酸（以乙酸计）、不挥发酸（以乳酸计）、苯甲酸及其钠盐（以苯甲酸计）、山梨酸及其钾盐（以山梨酸计）、脱氢乙酸及其钠盐（以脱氢乙酸计）、防腐剂混合使用时各自用量占其最大使用量的比例之和、糖精钠（以糖精计）、氯化钠、钡（以Ba计）、碘（以I计）、铅（以Pb计）、总砷（以As计）、镉（以Cd计）、总汞（以Hg计）、亚铁氰化钾/亚铁氰化钠（以亚铁氰根计）、谷氨酸钠、氨基酸态氮、全氮（以氮计）、铵盐（以占氨基酸态氮的百分比计）、苯甲酸及其钠盐（以苯甲酸计）、山梨酸及其钾盐（以山梨酸计）、脱氢乙酸及其钠盐（以脱氢乙酸计、防腐剂混合使用时各自用量占其最大使用量的比例之和、糖精钠（以糖精计）、三氯蔗糖、甜蜜素（以环己基氨基磺酸计）等指标。</w:t>
      </w:r>
    </w:p>
    <w:p>
      <w:pPr>
        <w:keepNext w:val="0"/>
        <w:keepLines w:val="0"/>
        <w:widowControl/>
        <w:numPr>
          <w:ilvl w:val="0"/>
          <w:numId w:val="0"/>
        </w:numPr>
        <w:suppressLineNumbers w:val="0"/>
        <w:ind w:firstLine="640" w:firstLineChars="200"/>
        <w:jc w:val="left"/>
        <w:textAlignment w:val="bottom"/>
        <w:rPr>
          <w:rFonts w:hint="eastAsia" w:ascii="黑体" w:hAnsi="黑体" w:eastAsia="黑体" w:cs="黑体"/>
          <w:color w:val="auto"/>
          <w:sz w:val="32"/>
          <w:szCs w:val="32"/>
          <w:lang w:val="en-US" w:eastAsia="zh-CN"/>
        </w:rPr>
      </w:pPr>
      <w:r>
        <w:rPr>
          <w:rFonts w:hint="eastAsia" w:ascii="黑体" w:hAnsi="黑体" w:eastAsia="黑体" w:cs="黑体"/>
          <w:color w:val="000000"/>
          <w:sz w:val="32"/>
          <w:szCs w:val="32"/>
          <w:lang w:val="en-US" w:eastAsia="zh-CN"/>
        </w:rPr>
        <w:t>六、</w:t>
      </w:r>
      <w:r>
        <w:rPr>
          <w:rFonts w:hint="eastAsia" w:ascii="黑体" w:hAnsi="黑体" w:eastAsia="黑体" w:cs="黑体"/>
          <w:color w:val="auto"/>
          <w:sz w:val="32"/>
          <w:szCs w:val="32"/>
          <w:lang w:val="en-US" w:eastAsia="zh-CN"/>
        </w:rPr>
        <w:t>餐饮食品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 2760-2014《食品安全国家标准 食品添加剂使用标准》</w:t>
      </w:r>
      <w:r>
        <w:rPr>
          <w:rFonts w:hint="eastAsia" w:ascii="仿宋" w:hAnsi="仿宋" w:eastAsia="仿宋"/>
          <w:sz w:val="32"/>
          <w:lang w:eastAsia="zh-CN"/>
        </w:rPr>
        <w:t>、GB 7099-2015《食品安全国家标准 糕点、面包》、整顿办函[2011]1号《食品中可能违法添加的非食用物质和易滥用的食品添加剂品种名单(第五批)》。</w:t>
      </w:r>
    </w:p>
    <w:p>
      <w:pPr>
        <w:keepNext w:val="0"/>
        <w:keepLines w:val="0"/>
        <w:widowControl/>
        <w:numPr>
          <w:ilvl w:val="0"/>
          <w:numId w:val="6"/>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keepNext w:val="0"/>
        <w:keepLines w:val="0"/>
        <w:widowControl/>
        <w:numPr>
          <w:ilvl w:val="0"/>
          <w:numId w:val="0"/>
        </w:numPr>
        <w:suppressLineNumbers w:val="0"/>
        <w:ind w:firstLine="640" w:firstLineChars="200"/>
        <w:jc w:val="left"/>
        <w:textAlignment w:val="bottom"/>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餐饮食品检验项目为酸价（以脂肪计）（KOH）、过氧化值（以脂肪计）、山梨酸及其钾盐（以山梨酸计）、脱氢乙酸及其钠盐（以脱氢乙酸计）、防腐剂混合使用时各自用量占其最大使用量的比例之和、铝的残留量（干样品，以Al计）、苯甲酸及其钠盐（以苯甲酸计）、山梨酸及其钾盐（以山梨酸计）、罂粟碱、吗啡、可待因、那可丁等指标。</w:t>
      </w:r>
    </w:p>
    <w:p>
      <w:pPr>
        <w:keepNext w:val="0"/>
        <w:keepLines w:val="0"/>
        <w:widowControl/>
        <w:numPr>
          <w:ilvl w:val="0"/>
          <w:numId w:val="0"/>
        </w:numPr>
        <w:suppressLineNumbers w:val="0"/>
        <w:ind w:firstLine="640" w:firstLineChars="200"/>
        <w:jc w:val="left"/>
        <w:textAlignment w:val="bottom"/>
        <w:rPr>
          <w:rFonts w:hint="eastAsia" w:ascii="仿宋_GB2312" w:hAnsi="仿宋_GB2312" w:eastAsia="仿宋_GB2312" w:cs="仿宋_GB2312"/>
          <w:color w:val="000000"/>
          <w:sz w:val="32"/>
          <w:szCs w:val="32"/>
          <w:lang w:val="en-US" w:eastAsia="zh-CN"/>
        </w:rPr>
      </w:pPr>
      <w:r>
        <w:rPr>
          <w:rFonts w:hint="eastAsia" w:ascii="黑体" w:hAnsi="黑体" w:eastAsia="黑体" w:cs="黑体"/>
          <w:color w:val="auto"/>
          <w:sz w:val="32"/>
          <w:szCs w:val="32"/>
          <w:lang w:val="en-US" w:eastAsia="zh-CN"/>
        </w:rPr>
        <w:t>七、粮食加工品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 2762-2022《食品安全国家标准 食品中污染物限量》</w:t>
      </w:r>
      <w:r>
        <w:rPr>
          <w:rFonts w:hint="eastAsia" w:ascii="仿宋" w:hAnsi="仿宋" w:eastAsia="仿宋"/>
          <w:sz w:val="32"/>
          <w:lang w:eastAsia="zh-CN"/>
        </w:rPr>
        <w:t>、</w:t>
      </w:r>
      <w:r>
        <w:rPr>
          <w:rFonts w:hint="eastAsia" w:ascii="仿宋" w:hAnsi="仿宋" w:eastAsia="仿宋"/>
          <w:sz w:val="32"/>
        </w:rPr>
        <w:t>GB 2761-2017《食品安全国家标准 食品中真菌毒素限量》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p>
    <w:p>
      <w:pPr>
        <w:keepNext w:val="0"/>
        <w:keepLines w:val="0"/>
        <w:widowControl/>
        <w:numPr>
          <w:ilvl w:val="0"/>
          <w:numId w:val="7"/>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keepNext w:val="0"/>
        <w:keepLines w:val="0"/>
        <w:widowControl/>
        <w:numPr>
          <w:ilvl w:val="0"/>
          <w:numId w:val="0"/>
        </w:numPr>
        <w:suppressLineNumbers w:val="0"/>
        <w:ind w:firstLine="640" w:firstLineChars="200"/>
        <w:jc w:val="left"/>
        <w:textAlignment w:val="bottom"/>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粮食加工品检验项目为苯甲酸及其钠盐（以苯甲酸计）、山梨酸及其钾盐（以山梨酸计）、脱氢乙酸及其钠盐（以脱氢乙酸计）、糖精钠（以糖精计）、甜蜜素（以环己基氨基磺酸计）、安赛蜜、柠檬黄、铅（以Pb计）、日落黄、苯并[a]芘、黄曲霉毒素B1、赭曲霉毒素A、玉米赤霉烯酮、脱氧雪腐镰刀菌烯醇等指标。</w:t>
      </w:r>
    </w:p>
    <w:p>
      <w:pPr>
        <w:keepNext w:val="0"/>
        <w:keepLines w:val="0"/>
        <w:widowControl/>
        <w:numPr>
          <w:ilvl w:val="0"/>
          <w:numId w:val="0"/>
        </w:numPr>
        <w:suppressLineNumbers w:val="0"/>
        <w:ind w:firstLine="640" w:firstLineChars="200"/>
        <w:jc w:val="left"/>
        <w:textAlignment w:val="bottom"/>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八、</w:t>
      </w:r>
      <w:r>
        <w:rPr>
          <w:rFonts w:hint="eastAsia" w:ascii="黑体" w:hAnsi="黑体" w:eastAsia="黑体" w:cs="黑体"/>
          <w:bCs/>
          <w:color w:val="auto"/>
          <w:sz w:val="32"/>
          <w:szCs w:val="32"/>
        </w:rPr>
        <w:t>豆制品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 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p>
    <w:p>
      <w:pPr>
        <w:keepNext w:val="0"/>
        <w:keepLines w:val="0"/>
        <w:widowControl/>
        <w:numPr>
          <w:ilvl w:val="0"/>
          <w:numId w:val="8"/>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numPr>
          <w:ilvl w:val="0"/>
          <w:numId w:val="0"/>
        </w:numPr>
        <w:autoSpaceDE w:val="0"/>
        <w:autoSpaceDN w:val="0"/>
        <w:adjustRightInd w:val="0"/>
        <w:spacing w:line="56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Cs/>
          <w:sz w:val="32"/>
          <w:szCs w:val="32"/>
        </w:rPr>
        <w:t>豆制品</w:t>
      </w:r>
      <w:r>
        <w:rPr>
          <w:rFonts w:hint="eastAsia" w:ascii="仿宋_GB2312" w:hAnsi="仿宋_GB2312" w:eastAsia="仿宋_GB2312" w:cs="仿宋_GB2312"/>
          <w:color w:val="000000"/>
          <w:sz w:val="32"/>
          <w:szCs w:val="32"/>
          <w:lang w:val="en-US" w:eastAsia="zh-CN"/>
        </w:rPr>
        <w:t>检验项目为铅（以Pb计）、苯甲酸及其钠盐（以苯甲酸计）、山梨酸及其钾盐（以山梨酸计）、脱氢乙酸及其钠盐（以脱氢乙酸计）、防腐剂混合使用时各自用量占其最大使用量的比例之和、糖精钠（以糖精计）、蛋白质、碱性嫩黄等指标。</w:t>
      </w:r>
    </w:p>
    <w:p>
      <w:pPr>
        <w:keepNext w:val="0"/>
        <w:keepLines w:val="0"/>
        <w:widowControl/>
        <w:numPr>
          <w:ilvl w:val="0"/>
          <w:numId w:val="0"/>
        </w:numPr>
        <w:suppressLineNumbers w:val="0"/>
        <w:ind w:firstLine="640" w:firstLineChars="200"/>
        <w:jc w:val="left"/>
        <w:textAlignment w:val="bottom"/>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九、</w:t>
      </w:r>
      <w:r>
        <w:rPr>
          <w:rFonts w:hint="eastAsia" w:ascii="黑体" w:hAnsi="黑体" w:eastAsia="黑体" w:cs="黑体"/>
          <w:color w:val="auto"/>
          <w:sz w:val="32"/>
          <w:szCs w:val="32"/>
          <w:lang w:val="en-US" w:eastAsia="zh-CN"/>
        </w:rPr>
        <w:t>乳制品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抽检依据是GB/T 21732-2008 《含乳饮料》</w:t>
      </w:r>
      <w:r>
        <w:rPr>
          <w:rFonts w:hint="eastAsia" w:ascii="仿宋" w:hAnsi="仿宋" w:eastAsia="仿宋"/>
          <w:sz w:val="32"/>
          <w:lang w:eastAsia="zh-CN"/>
        </w:rPr>
        <w:t>、</w:t>
      </w:r>
      <w:r>
        <w:rPr>
          <w:rFonts w:hint="eastAsia" w:ascii="仿宋" w:hAnsi="仿宋" w:eastAsia="仿宋"/>
          <w:sz w:val="32"/>
        </w:rPr>
        <w:t>卫生部、工业和信息化部、农业部、工商总局、质检总局公告2011年第10号《关于三聚氰胺在食品中的限量值的公告》</w:t>
      </w:r>
      <w:r>
        <w:rPr>
          <w:rFonts w:hint="eastAsia" w:ascii="仿宋" w:hAnsi="仿宋" w:eastAsia="仿宋"/>
          <w:sz w:val="32"/>
          <w:lang w:eastAsia="zh-CN"/>
        </w:rPr>
        <w:t>、</w:t>
      </w:r>
      <w:r>
        <w:rPr>
          <w:rFonts w:hint="eastAsia" w:ascii="仿宋" w:hAnsi="仿宋" w:eastAsia="仿宋"/>
          <w:sz w:val="32"/>
        </w:rPr>
        <w:t>GB 7101-2022《食品安全国家标准 饮料》</w:t>
      </w:r>
      <w:r>
        <w:rPr>
          <w:rFonts w:hint="eastAsia" w:ascii="仿宋" w:hAnsi="仿宋" w:eastAsia="仿宋"/>
          <w:sz w:val="32"/>
          <w:lang w:eastAsia="zh-CN"/>
        </w:rPr>
        <w:t>、GB 19302-2010《食品安全国家标准 发酵乳》、GB 2760-2014《食品安全国家标准 食品添加剂使用标准》、卫生部、工业和信息化部、农业部、工商总局、质检总局公告2011年第10号《关于三聚氰胺在食品中的限量值的公告》。</w:t>
      </w:r>
    </w:p>
    <w:p>
      <w:pPr>
        <w:keepNext w:val="0"/>
        <w:keepLines w:val="0"/>
        <w:widowControl/>
        <w:numPr>
          <w:ilvl w:val="0"/>
          <w:numId w:val="9"/>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乳制品检验项目为蛋白质、三聚氰胺、铅（以Pb计）、商业无菌、菌落总数、大肠菌群、脂肪、酸度、乳酸菌数、山梨酸及其钾盐（以山梨酸计）、等指标。</w:t>
      </w:r>
    </w:p>
    <w:p>
      <w:pPr>
        <w:numPr>
          <w:ilvl w:val="0"/>
          <w:numId w:val="0"/>
        </w:numPr>
        <w:autoSpaceDE w:val="0"/>
        <w:autoSpaceDN w:val="0"/>
        <w:adjustRightInd w:val="0"/>
        <w:spacing w:line="560" w:lineRule="exact"/>
        <w:ind w:left="-10" w:leftChars="0" w:firstLine="640" w:firstLineChars="0"/>
        <w:rPr>
          <w:rFonts w:hint="eastAsia" w:ascii="黑体" w:hAnsi="黑体" w:eastAsia="黑体" w:cs="黑体"/>
          <w:bCs/>
          <w:sz w:val="32"/>
          <w:szCs w:val="32"/>
        </w:rPr>
      </w:pPr>
      <w:r>
        <w:rPr>
          <w:rFonts w:hint="eastAsia" w:ascii="黑体" w:hAnsi="黑体" w:eastAsia="黑体" w:cs="黑体"/>
          <w:bCs/>
          <w:kern w:val="2"/>
          <w:sz w:val="32"/>
          <w:szCs w:val="32"/>
          <w:lang w:val="en-US" w:eastAsia="zh-CN" w:bidi="ar-SA"/>
        </w:rPr>
        <w:t>十、</w:t>
      </w:r>
      <w:r>
        <w:rPr>
          <w:rFonts w:hint="eastAsia" w:ascii="黑体" w:hAnsi="黑体" w:eastAsia="黑体" w:cs="黑体"/>
          <w:bCs/>
          <w:color w:val="auto"/>
          <w:sz w:val="32"/>
          <w:szCs w:val="32"/>
        </w:rPr>
        <w:t>方便食品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 17400-2015《食品安全国家标准 方便面》</w:t>
      </w:r>
      <w:r>
        <w:rPr>
          <w:rFonts w:hint="eastAsia" w:ascii="仿宋" w:hAnsi="仿宋" w:eastAsia="仿宋"/>
          <w:sz w:val="32"/>
          <w:lang w:eastAsia="zh-CN"/>
        </w:rPr>
        <w:t>、GB 2760-2014《食品安全国家标准 食品添加剂使用标准》。</w:t>
      </w:r>
    </w:p>
    <w:p>
      <w:pPr>
        <w:keepNext w:val="0"/>
        <w:keepLines w:val="0"/>
        <w:widowControl/>
        <w:numPr>
          <w:ilvl w:val="0"/>
          <w:numId w:val="10"/>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pStyle w:val="2"/>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方便食品检验项目为水分、酸价（以脂肪计）（KOH）、过氧化值（以脂肪计）、菌落总数、大肠菌群、霉菌、苯甲酸及其钠盐（以苯甲酸计）、山梨酸及其钾盐（以山梨酸计）、脱氢乙酸及其钠盐（以脱氢乙酸计）、糖精钠（以糖精计）等指标。</w:t>
      </w:r>
    </w:p>
    <w:p>
      <w:pPr>
        <w:numPr>
          <w:ilvl w:val="0"/>
          <w:numId w:val="0"/>
        </w:numPr>
        <w:autoSpaceDE w:val="0"/>
        <w:autoSpaceDN w:val="0"/>
        <w:adjustRightInd w:val="0"/>
        <w:spacing w:line="560" w:lineRule="exact"/>
        <w:ind w:left="-10" w:leftChars="0" w:firstLine="640" w:firstLineChars="0"/>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十一、</w:t>
      </w:r>
      <w:r>
        <w:rPr>
          <w:rFonts w:hint="eastAsia" w:ascii="黑体" w:hAnsi="黑体" w:eastAsia="黑体" w:cs="黑体"/>
          <w:color w:val="auto"/>
          <w:kern w:val="2"/>
          <w:sz w:val="32"/>
          <w:szCs w:val="32"/>
          <w:lang w:val="en-US" w:eastAsia="zh-CN" w:bidi="ar-SA"/>
        </w:rPr>
        <w:t>食用油</w:t>
      </w:r>
      <w:r>
        <w:rPr>
          <w:rFonts w:hint="eastAsia" w:ascii="黑体" w:hAnsi="黑体" w:eastAsia="黑体" w:cs="黑体"/>
          <w:color w:val="000000"/>
          <w:kern w:val="2"/>
          <w:sz w:val="32"/>
          <w:szCs w:val="32"/>
          <w:lang w:val="en-US" w:eastAsia="zh-CN" w:bidi="ar-SA"/>
        </w:rPr>
        <w:t>、油脂及其制品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抽检依据是GB/T 1535-2017 《大豆油（含第1号修改单）》</w:t>
      </w:r>
      <w:r>
        <w:rPr>
          <w:rFonts w:hint="eastAsia" w:ascii="仿宋" w:hAnsi="仿宋" w:eastAsia="仿宋"/>
          <w:sz w:val="32"/>
          <w:lang w:eastAsia="zh-CN"/>
        </w:rPr>
        <w:t>、</w:t>
      </w:r>
      <w:r>
        <w:rPr>
          <w:rFonts w:hint="eastAsia" w:ascii="仿宋" w:hAnsi="仿宋" w:eastAsia="仿宋"/>
          <w:sz w:val="32"/>
        </w:rPr>
        <w:t>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r>
        <w:rPr>
          <w:rFonts w:hint="eastAsia" w:ascii="仿宋" w:hAnsi="仿宋" w:eastAsia="仿宋"/>
          <w:sz w:val="32"/>
        </w:rPr>
        <w:t> GB/T 40851-2021《食用调和油》</w:t>
      </w:r>
      <w:r>
        <w:rPr>
          <w:rFonts w:hint="eastAsia" w:ascii="仿宋" w:hAnsi="仿宋" w:eastAsia="仿宋"/>
          <w:sz w:val="32"/>
          <w:lang w:eastAsia="zh-CN"/>
        </w:rPr>
        <w:t>。</w:t>
      </w:r>
    </w:p>
    <w:p>
      <w:pPr>
        <w:keepNext w:val="0"/>
        <w:keepLines w:val="0"/>
        <w:widowControl/>
        <w:numPr>
          <w:ilvl w:val="0"/>
          <w:numId w:val="11"/>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numPr>
          <w:ilvl w:val="0"/>
          <w:numId w:val="0"/>
        </w:numPr>
        <w:autoSpaceDE w:val="0"/>
        <w:autoSpaceDN w:val="0"/>
        <w:adjustRightInd w:val="0"/>
        <w:spacing w:line="560" w:lineRule="exact"/>
        <w:ind w:firstLine="640" w:firstLineChars="200"/>
        <w:rPr>
          <w:rFonts w:hint="eastAsia"/>
          <w:lang w:val="en-US" w:eastAsia="zh-CN"/>
        </w:rPr>
      </w:pPr>
      <w:r>
        <w:rPr>
          <w:rFonts w:hint="default" w:ascii="仿宋_GB2312" w:hAnsi="仿宋_GB2312" w:eastAsia="仿宋_GB2312" w:cs="仿宋_GB2312"/>
          <w:color w:val="000000"/>
          <w:kern w:val="2"/>
          <w:sz w:val="32"/>
          <w:szCs w:val="32"/>
          <w:lang w:val="en-US" w:eastAsia="zh-CN" w:bidi="ar-SA"/>
        </w:rPr>
        <w:t>食用油、油脂及其制品</w:t>
      </w:r>
      <w:r>
        <w:rPr>
          <w:rFonts w:hint="eastAsia" w:ascii="仿宋_GB2312" w:hAnsi="仿宋_GB2312" w:eastAsia="仿宋_GB2312" w:cs="仿宋_GB2312"/>
          <w:color w:val="000000"/>
          <w:sz w:val="32"/>
          <w:szCs w:val="32"/>
          <w:lang w:val="en-US" w:eastAsia="zh-CN"/>
        </w:rPr>
        <w:t>检验项目为酸值/酸价、过氧化值、铅（以Pb计）、苯并[a]芘、溶剂残留量、特丁基对苯二酚（TBHQ）、乙基麦芽酚等指标。</w:t>
      </w:r>
    </w:p>
    <w:p>
      <w:pPr>
        <w:numPr>
          <w:ilvl w:val="0"/>
          <w:numId w:val="0"/>
        </w:numPr>
        <w:autoSpaceDE w:val="0"/>
        <w:autoSpaceDN w:val="0"/>
        <w:adjustRightInd w:val="0"/>
        <w:spacing w:line="560" w:lineRule="exact"/>
        <w:ind w:left="-10" w:leftChars="0" w:firstLine="640" w:firstLineChars="0"/>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十二、</w:t>
      </w:r>
      <w:r>
        <w:rPr>
          <w:rFonts w:hint="eastAsia" w:ascii="黑体" w:hAnsi="黑体" w:eastAsia="黑体" w:cs="黑体"/>
          <w:color w:val="auto"/>
          <w:kern w:val="2"/>
          <w:sz w:val="32"/>
          <w:szCs w:val="32"/>
          <w:lang w:val="en-US" w:eastAsia="zh-CN" w:bidi="ar-SA"/>
        </w:rPr>
        <w:t>水果制品</w:t>
      </w:r>
      <w:r>
        <w:rPr>
          <w:rFonts w:hint="eastAsia" w:ascii="黑体" w:hAnsi="黑体" w:eastAsia="黑体" w:cs="黑体"/>
          <w:color w:val="000000"/>
          <w:kern w:val="2"/>
          <w:sz w:val="32"/>
          <w:szCs w:val="32"/>
          <w:lang w:val="en-US" w:eastAsia="zh-CN" w:bidi="ar-SA"/>
        </w:rPr>
        <w:tab/>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 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p>
    <w:p>
      <w:pPr>
        <w:keepNext w:val="0"/>
        <w:keepLines w:val="0"/>
        <w:widowControl/>
        <w:numPr>
          <w:ilvl w:val="0"/>
          <w:numId w:val="12"/>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numPr>
          <w:ilvl w:val="0"/>
          <w:numId w:val="0"/>
        </w:numPr>
        <w:autoSpaceDE w:val="0"/>
        <w:autoSpaceDN w:val="0"/>
        <w:adjustRightInd w:val="0"/>
        <w:spacing w:line="560" w:lineRule="exact"/>
        <w:ind w:firstLine="640" w:firstLineChars="200"/>
        <w:rPr>
          <w:rFonts w:hint="eastAsia"/>
          <w:lang w:val="en-US" w:eastAsia="zh-CN"/>
        </w:rPr>
      </w:pPr>
      <w:r>
        <w:rPr>
          <w:rFonts w:hint="eastAsia" w:ascii="仿宋_GB2312" w:hAnsi="仿宋_GB2312" w:eastAsia="仿宋_GB2312" w:cs="仿宋_GB2312"/>
          <w:color w:val="000000"/>
          <w:kern w:val="2"/>
          <w:sz w:val="32"/>
          <w:szCs w:val="32"/>
          <w:lang w:val="en-US" w:eastAsia="zh-CN" w:bidi="ar-SA"/>
        </w:rPr>
        <w:t>水果制品</w:t>
      </w:r>
      <w:r>
        <w:rPr>
          <w:rFonts w:hint="eastAsia" w:ascii="仿宋_GB2312" w:hAnsi="仿宋_GB2312" w:eastAsia="仿宋_GB2312" w:cs="仿宋_GB2312"/>
          <w:color w:val="000000"/>
          <w:sz w:val="32"/>
          <w:szCs w:val="32"/>
          <w:lang w:val="en-US" w:eastAsia="zh-CN"/>
        </w:rPr>
        <w:t>检验项目为铅（以Pb计）、苯甲酸及其钠盐（以苯甲酸计）、山梨酸及其钾盐（以山梨酸计）、脱氢乙酸及其钠盐（以脱氢乙酸计）、防腐剂混合使用时各自用量占其最大使用量的比例之和、糖精钠（以糖精计）、二氧化硫残留量、亮蓝、柠檬黄、日落黄、苋菜红、胭脂红、相同色泽着色剂混合使用时各自用量占其最大使用量的比例之和等指标。</w:t>
      </w:r>
    </w:p>
    <w:p>
      <w:pPr>
        <w:numPr>
          <w:ilvl w:val="0"/>
          <w:numId w:val="0"/>
        </w:numPr>
        <w:autoSpaceDE w:val="0"/>
        <w:autoSpaceDN w:val="0"/>
        <w:adjustRightInd w:val="0"/>
        <w:spacing w:line="560" w:lineRule="exact"/>
        <w:ind w:left="-10" w:leftChars="0" w:firstLine="640" w:firstLineChars="0"/>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十三、</w:t>
      </w:r>
      <w:r>
        <w:rPr>
          <w:rFonts w:hint="eastAsia" w:ascii="黑体" w:hAnsi="黑体" w:eastAsia="黑体" w:cs="黑体"/>
          <w:color w:val="auto"/>
          <w:kern w:val="2"/>
          <w:sz w:val="32"/>
          <w:szCs w:val="32"/>
          <w:lang w:val="en-US" w:eastAsia="zh-CN" w:bidi="ar-SA"/>
        </w:rPr>
        <w:t>罐头</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sz w:val="32"/>
        </w:rPr>
        <w:t>抽检依据是 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r>
        <w:rPr>
          <w:rFonts w:hint="eastAsia" w:ascii="仿宋" w:hAnsi="仿宋" w:eastAsia="仿宋"/>
          <w:sz w:val="32"/>
        </w:rPr>
        <w:t>GB 7098-2015《食品安全国家标准 罐头食品》</w:t>
      </w:r>
      <w:r>
        <w:rPr>
          <w:rFonts w:hint="eastAsia" w:ascii="仿宋" w:hAnsi="仿宋" w:eastAsia="仿宋"/>
          <w:sz w:val="32"/>
          <w:lang w:eastAsia="zh-CN"/>
        </w:rPr>
        <w:t>。</w:t>
      </w:r>
      <w:r>
        <w:rPr>
          <w:rFonts w:hint="eastAsia" w:ascii="仿宋" w:hAnsi="仿宋" w:eastAsia="仿宋"/>
          <w:sz w:val="32"/>
        </w:rPr>
        <w:t> </w:t>
      </w:r>
    </w:p>
    <w:p>
      <w:pPr>
        <w:keepNext w:val="0"/>
        <w:keepLines w:val="0"/>
        <w:widowControl/>
        <w:numPr>
          <w:ilvl w:val="0"/>
          <w:numId w:val="13"/>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numPr>
          <w:ilvl w:val="0"/>
          <w:numId w:val="0"/>
        </w:numPr>
        <w:autoSpaceDE w:val="0"/>
        <w:autoSpaceDN w:val="0"/>
        <w:adjustRightInd w:val="0"/>
        <w:spacing w:line="560" w:lineRule="exact"/>
        <w:ind w:firstLine="640" w:firstLineChars="200"/>
        <w:rPr>
          <w:rFonts w:hint="eastAsia"/>
          <w:lang w:val="en-US" w:eastAsia="zh-CN"/>
        </w:rPr>
      </w:pPr>
      <w:r>
        <w:rPr>
          <w:rFonts w:hint="eastAsia" w:ascii="仿宋_GB2312" w:hAnsi="仿宋_GB2312" w:eastAsia="仿宋_GB2312" w:cs="仿宋_GB2312"/>
          <w:color w:val="000000"/>
          <w:kern w:val="2"/>
          <w:sz w:val="32"/>
          <w:szCs w:val="32"/>
          <w:lang w:val="en-US" w:eastAsia="zh-CN" w:bidi="ar-SA"/>
        </w:rPr>
        <w:t>罐头</w:t>
      </w:r>
      <w:r>
        <w:rPr>
          <w:rFonts w:hint="eastAsia" w:ascii="仿宋_GB2312" w:hAnsi="仿宋_GB2312" w:eastAsia="仿宋_GB2312" w:cs="仿宋_GB2312"/>
          <w:color w:val="000000"/>
          <w:sz w:val="32"/>
          <w:szCs w:val="32"/>
          <w:lang w:val="en-US" w:eastAsia="zh-CN"/>
        </w:rPr>
        <w:t>检验项目为铅（以Pb计）、柠檬黄、日落黄、脱氢乙酸及其钠盐（以脱氢乙酸计）、苯甲酸及其钠盐（以苯甲酸计）、山梨酸及其钾盐（以山梨酸计）、糖精钠（以糖精计）、二氧化硫残留量、商业无菌等指标。</w:t>
      </w:r>
    </w:p>
    <w:p>
      <w:pPr>
        <w:numPr>
          <w:ilvl w:val="0"/>
          <w:numId w:val="0"/>
        </w:numPr>
        <w:autoSpaceDE w:val="0"/>
        <w:autoSpaceDN w:val="0"/>
        <w:adjustRightInd w:val="0"/>
        <w:spacing w:line="560" w:lineRule="exact"/>
        <w:ind w:left="-10" w:leftChars="0" w:firstLine="640" w:firstLineChars="0"/>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十四、</w:t>
      </w:r>
      <w:r>
        <w:rPr>
          <w:rFonts w:hint="eastAsia" w:ascii="黑体" w:hAnsi="黑体" w:eastAsia="黑体" w:cs="黑体"/>
          <w:color w:val="auto"/>
          <w:kern w:val="2"/>
          <w:sz w:val="32"/>
          <w:szCs w:val="32"/>
          <w:lang w:val="en-US" w:eastAsia="zh-CN" w:bidi="ar-SA"/>
        </w:rPr>
        <w:t>速冻食品</w:t>
      </w:r>
    </w:p>
    <w:p>
      <w:pPr>
        <w:spacing w:line="560" w:lineRule="exact"/>
        <w:ind w:firstLine="420" w:firstLineChars="200"/>
        <w:rPr>
          <w:rFonts w:hint="eastAsia" w:ascii="仿宋_GB2312" w:hAnsi="仿宋_GB2312" w:eastAsia="仿宋_GB2312" w:cs="仿宋_GB2312"/>
          <w:sz w:val="32"/>
          <w:szCs w:val="32"/>
          <w:lang w:val="zh-CN"/>
        </w:rPr>
      </w:pPr>
      <w:r>
        <w:rPr>
          <w:rFonts w:hint="eastAsia"/>
          <w:lang w:val="en-US" w:eastAsia="zh-CN"/>
        </w:rPr>
        <w:t xml:space="preserve">  </w:t>
      </w:r>
      <w:r>
        <w:rPr>
          <w:rFonts w:hint="eastAsia" w:ascii="仿宋_GB2312" w:hAnsi="仿宋_GB2312" w:eastAsia="仿宋_GB2312" w:cs="仿宋_GB2312"/>
          <w:sz w:val="32"/>
          <w:szCs w:val="32"/>
          <w:lang w:val="zh-CN"/>
        </w:rPr>
        <w:t>（一）抽检依据</w:t>
      </w:r>
    </w:p>
    <w:p>
      <w:pPr>
        <w:spacing w:line="560" w:lineRule="exact"/>
        <w:ind w:firstLine="640" w:firstLineChars="200"/>
        <w:rPr>
          <w:rFonts w:hint="eastAsia" w:ascii="仿宋_GB2312" w:hAnsi="仿宋_GB2312" w:eastAsia="仿宋" w:cs="仿宋_GB2312"/>
          <w:sz w:val="32"/>
          <w:szCs w:val="32"/>
          <w:lang w:val="en-US" w:eastAsia="zh-CN"/>
        </w:rPr>
      </w:pPr>
      <w:r>
        <w:rPr>
          <w:rFonts w:hint="eastAsia" w:ascii="仿宋" w:hAnsi="仿宋" w:eastAsia="仿宋"/>
          <w:sz w:val="32"/>
        </w:rPr>
        <w:t>抽检依据是 GB 19295-2021《食品安全国家标准 速冻面米与调制食品》</w:t>
      </w:r>
      <w:r>
        <w:rPr>
          <w:rFonts w:hint="eastAsia" w:ascii="仿宋" w:hAnsi="仿宋" w:eastAsia="仿宋"/>
          <w:sz w:val="32"/>
          <w:lang w:eastAsia="zh-CN"/>
        </w:rPr>
        <w:t>、</w:t>
      </w:r>
      <w:r>
        <w:rPr>
          <w:rFonts w:hint="eastAsia" w:ascii="仿宋" w:hAnsi="仿宋" w:eastAsia="仿宋"/>
          <w:sz w:val="32"/>
        </w:rPr>
        <w:t>GB 2762-2022《食品安全国家标准 食品中污染物限量》</w:t>
      </w:r>
      <w:r>
        <w:rPr>
          <w:rFonts w:hint="eastAsia" w:ascii="仿宋" w:hAnsi="仿宋" w:eastAsia="仿宋"/>
          <w:sz w:val="32"/>
          <w:lang w:eastAsia="zh-CN"/>
        </w:rPr>
        <w:t>、</w:t>
      </w:r>
      <w:r>
        <w:rPr>
          <w:rFonts w:hint="eastAsia" w:ascii="仿宋" w:hAnsi="仿宋" w:eastAsia="仿宋"/>
          <w:sz w:val="32"/>
        </w:rPr>
        <w:t>GB 2760-2014《食品安全国家标准 食品添加剂使用标准》</w:t>
      </w:r>
      <w:r>
        <w:rPr>
          <w:rFonts w:hint="eastAsia" w:ascii="仿宋" w:hAnsi="仿宋" w:eastAsia="仿宋"/>
          <w:sz w:val="32"/>
          <w:lang w:eastAsia="zh-CN"/>
        </w:rPr>
        <w:t>。</w:t>
      </w:r>
    </w:p>
    <w:p>
      <w:pPr>
        <w:keepNext w:val="0"/>
        <w:keepLines w:val="0"/>
        <w:widowControl/>
        <w:numPr>
          <w:ilvl w:val="0"/>
          <w:numId w:val="14"/>
        </w:numPr>
        <w:suppressLineNumbers w:val="0"/>
        <w:ind w:firstLine="640" w:firstLineChars="200"/>
        <w:jc w:val="left"/>
        <w:textAlignment w:val="bottom"/>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检验项目</w:t>
      </w:r>
    </w:p>
    <w:p>
      <w:pPr>
        <w:numPr>
          <w:ilvl w:val="0"/>
          <w:numId w:val="0"/>
        </w:numPr>
        <w:autoSpaceDE w:val="0"/>
        <w:autoSpaceDN w:val="0"/>
        <w:adjustRightInd w:val="0"/>
        <w:spacing w:line="560" w:lineRule="exact"/>
        <w:ind w:firstLine="640" w:firstLineChars="200"/>
        <w:rPr>
          <w:rFonts w:hint="eastAsia"/>
          <w:lang w:val="en-US" w:eastAsia="zh-CN"/>
        </w:rPr>
      </w:pPr>
      <w:r>
        <w:rPr>
          <w:rFonts w:hint="eastAsia" w:ascii="仿宋_GB2312" w:hAnsi="仿宋_GB2312" w:eastAsia="仿宋_GB2312" w:cs="仿宋_GB2312"/>
          <w:color w:val="000000"/>
          <w:kern w:val="2"/>
          <w:sz w:val="32"/>
          <w:szCs w:val="32"/>
          <w:lang w:val="en-US" w:eastAsia="zh-CN" w:bidi="ar-SA"/>
        </w:rPr>
        <w:t>速冻食品</w:t>
      </w:r>
      <w:r>
        <w:rPr>
          <w:rFonts w:hint="eastAsia" w:ascii="仿宋_GB2312" w:hAnsi="仿宋_GB2312" w:eastAsia="仿宋_GB2312" w:cs="仿宋_GB2312"/>
          <w:color w:val="000000"/>
          <w:sz w:val="32"/>
          <w:szCs w:val="32"/>
          <w:lang w:val="en-US" w:eastAsia="zh-CN"/>
        </w:rPr>
        <w:t>检验项目为过氧化值（以脂肪计）、铅（以Pb计）、糖精钠（以糖精计）、甜蜜素（以环己基氨基磺酸计）、柠檬黄、日落黄、苋菜红、亮蓝等指标。</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bottom"/>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十五、茶叶及相关制品</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bottom"/>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（一）抽检依据</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bottom"/>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抽检依据是GB 2762-2022《食品安全国家标准 食品中污染物限量》、GB 2760-2014《食品安全国家标准 食品添加剂使用标准》</w:t>
      </w:r>
      <w:r>
        <w:rPr>
          <w:rFonts w:hint="eastAsia" w:ascii="仿宋_GB2312" w:hAnsi="仿宋_GB2312" w:eastAsia="仿宋_GB2312" w:cs="仿宋_GB2312"/>
          <w:sz w:val="32"/>
          <w:szCs w:val="32"/>
          <w:lang w:val="en-US" w:eastAsia="zh-CN"/>
        </w:rPr>
        <w:t>、GB 2763-2021《食品安全国家标准 食品中农药最大残留限量》、GB 2763.1-2022《食品安全国家标准 食品中2,4-滴丁酸钠盐等112种农药最大残留限量》</w:t>
      </w:r>
      <w:r>
        <w:rPr>
          <w:rFonts w:hint="default" w:ascii="仿宋_GB2312" w:hAnsi="仿宋_GB2312" w:eastAsia="仿宋_GB2312" w:cs="仿宋_GB2312"/>
          <w:sz w:val="32"/>
          <w:szCs w:val="32"/>
          <w:lang w:val="en-US"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960" w:firstLineChars="300"/>
        <w:jc w:val="left"/>
        <w:textAlignment w:val="bottom"/>
        <w:rPr>
          <w:rFonts w:hint="default"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检验项目</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bottom"/>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茶叶及相关制品检验项目为铅（以Pb计）、草甘膦、吡虫啉、乙酰甲胺磷、氰戊菊酯和S-氰戊菊酯、甲拌磷、克百威、水胺硫磷、氧乐果、毒死蜱、柠檬黄、日落黄。</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bottom"/>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华文新魏">
    <w:panose1 w:val="02010800040101010101"/>
    <w:charset w:val="86"/>
    <w:family w:val="auto"/>
    <w:pitch w:val="default"/>
    <w:sig w:usb0="00000001" w:usb1="080F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dPhfpLEBAABOAwAADgAAAAAAAAABACAAAAA0AQAAZHJzL2Uyb0RvYy54&#10;bWxQSwUGAAAAAAYABgBZAQAAVw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B8879E"/>
    <w:multiLevelType w:val="singleLevel"/>
    <w:tmpl w:val="97B8879E"/>
    <w:lvl w:ilvl="0" w:tentative="0">
      <w:start w:val="2"/>
      <w:numFmt w:val="chineseCounting"/>
      <w:suff w:val="nothing"/>
      <w:lvlText w:val="（%1）"/>
      <w:lvlJc w:val="left"/>
      <w:rPr>
        <w:rFonts w:hint="eastAsia"/>
      </w:rPr>
    </w:lvl>
  </w:abstractNum>
  <w:abstractNum w:abstractNumId="1">
    <w:nsid w:val="AC2F68A6"/>
    <w:multiLevelType w:val="singleLevel"/>
    <w:tmpl w:val="AC2F68A6"/>
    <w:lvl w:ilvl="0" w:tentative="0">
      <w:start w:val="2"/>
      <w:numFmt w:val="chineseCounting"/>
      <w:suff w:val="nothing"/>
      <w:lvlText w:val="（%1）"/>
      <w:lvlJc w:val="left"/>
      <w:rPr>
        <w:rFonts w:hint="eastAsia"/>
      </w:rPr>
    </w:lvl>
  </w:abstractNum>
  <w:abstractNum w:abstractNumId="2">
    <w:nsid w:val="BD86156F"/>
    <w:multiLevelType w:val="singleLevel"/>
    <w:tmpl w:val="BD86156F"/>
    <w:lvl w:ilvl="0" w:tentative="0">
      <w:start w:val="2"/>
      <w:numFmt w:val="chineseCounting"/>
      <w:suff w:val="nothing"/>
      <w:lvlText w:val="（%1）"/>
      <w:lvlJc w:val="left"/>
      <w:rPr>
        <w:rFonts w:hint="eastAsia"/>
      </w:rPr>
    </w:lvl>
  </w:abstractNum>
  <w:abstractNum w:abstractNumId="3">
    <w:nsid w:val="C2BE08F5"/>
    <w:multiLevelType w:val="singleLevel"/>
    <w:tmpl w:val="C2BE08F5"/>
    <w:lvl w:ilvl="0" w:tentative="0">
      <w:start w:val="2"/>
      <w:numFmt w:val="chineseCounting"/>
      <w:suff w:val="nothing"/>
      <w:lvlText w:val="（%1）"/>
      <w:lvlJc w:val="left"/>
      <w:rPr>
        <w:rFonts w:hint="eastAsia"/>
      </w:rPr>
    </w:lvl>
  </w:abstractNum>
  <w:abstractNum w:abstractNumId="4">
    <w:nsid w:val="DE62E590"/>
    <w:multiLevelType w:val="singleLevel"/>
    <w:tmpl w:val="DE62E590"/>
    <w:lvl w:ilvl="0" w:tentative="0">
      <w:start w:val="2"/>
      <w:numFmt w:val="chineseCounting"/>
      <w:suff w:val="nothing"/>
      <w:lvlText w:val="（%1）"/>
      <w:lvlJc w:val="left"/>
      <w:rPr>
        <w:rFonts w:hint="eastAsia"/>
      </w:rPr>
    </w:lvl>
  </w:abstractNum>
  <w:abstractNum w:abstractNumId="5">
    <w:nsid w:val="0349D8FC"/>
    <w:multiLevelType w:val="singleLevel"/>
    <w:tmpl w:val="0349D8FC"/>
    <w:lvl w:ilvl="0" w:tentative="0">
      <w:start w:val="2"/>
      <w:numFmt w:val="chineseCounting"/>
      <w:suff w:val="nothing"/>
      <w:lvlText w:val="（%1）"/>
      <w:lvlJc w:val="left"/>
      <w:rPr>
        <w:rFonts w:hint="eastAsia"/>
      </w:rPr>
    </w:lvl>
  </w:abstractNum>
  <w:abstractNum w:abstractNumId="6">
    <w:nsid w:val="078E73CD"/>
    <w:multiLevelType w:val="singleLevel"/>
    <w:tmpl w:val="078E73CD"/>
    <w:lvl w:ilvl="0" w:tentative="0">
      <w:start w:val="2"/>
      <w:numFmt w:val="chineseCounting"/>
      <w:suff w:val="nothing"/>
      <w:lvlText w:val="（%1）"/>
      <w:lvlJc w:val="left"/>
      <w:rPr>
        <w:rFonts w:hint="eastAsia"/>
      </w:rPr>
    </w:lvl>
  </w:abstractNum>
  <w:abstractNum w:abstractNumId="7">
    <w:nsid w:val="11F3A989"/>
    <w:multiLevelType w:val="singleLevel"/>
    <w:tmpl w:val="11F3A989"/>
    <w:lvl w:ilvl="0" w:tentative="0">
      <w:start w:val="2"/>
      <w:numFmt w:val="chineseCounting"/>
      <w:suff w:val="nothing"/>
      <w:lvlText w:val="（%1）"/>
      <w:lvlJc w:val="left"/>
      <w:rPr>
        <w:rFonts w:hint="eastAsia"/>
      </w:rPr>
    </w:lvl>
  </w:abstractNum>
  <w:abstractNum w:abstractNumId="8">
    <w:nsid w:val="2BB6E654"/>
    <w:multiLevelType w:val="singleLevel"/>
    <w:tmpl w:val="2BB6E654"/>
    <w:lvl w:ilvl="0" w:tentative="0">
      <w:start w:val="2"/>
      <w:numFmt w:val="chineseCounting"/>
      <w:suff w:val="nothing"/>
      <w:lvlText w:val="（%1）"/>
      <w:lvlJc w:val="left"/>
      <w:rPr>
        <w:rFonts w:hint="eastAsia"/>
      </w:rPr>
    </w:lvl>
  </w:abstractNum>
  <w:abstractNum w:abstractNumId="9">
    <w:nsid w:val="3CC9119A"/>
    <w:multiLevelType w:val="singleLevel"/>
    <w:tmpl w:val="3CC9119A"/>
    <w:lvl w:ilvl="0" w:tentative="0">
      <w:start w:val="2"/>
      <w:numFmt w:val="chineseCounting"/>
      <w:suff w:val="nothing"/>
      <w:lvlText w:val="（%1）"/>
      <w:lvlJc w:val="left"/>
      <w:rPr>
        <w:rFonts w:hint="eastAsia"/>
      </w:rPr>
    </w:lvl>
  </w:abstractNum>
  <w:abstractNum w:abstractNumId="10">
    <w:nsid w:val="3E9D072C"/>
    <w:multiLevelType w:val="singleLevel"/>
    <w:tmpl w:val="3E9D072C"/>
    <w:lvl w:ilvl="0" w:tentative="0">
      <w:start w:val="2"/>
      <w:numFmt w:val="chineseCounting"/>
      <w:suff w:val="nothing"/>
      <w:lvlText w:val="（%1）"/>
      <w:lvlJc w:val="left"/>
      <w:rPr>
        <w:rFonts w:hint="eastAsia"/>
      </w:rPr>
    </w:lvl>
  </w:abstractNum>
  <w:abstractNum w:abstractNumId="11">
    <w:nsid w:val="406270E9"/>
    <w:multiLevelType w:val="singleLevel"/>
    <w:tmpl w:val="406270E9"/>
    <w:lvl w:ilvl="0" w:tentative="0">
      <w:start w:val="2"/>
      <w:numFmt w:val="chineseCounting"/>
      <w:suff w:val="nothing"/>
      <w:lvlText w:val="（%1）"/>
      <w:lvlJc w:val="left"/>
      <w:rPr>
        <w:rFonts w:hint="eastAsia"/>
      </w:rPr>
    </w:lvl>
  </w:abstractNum>
  <w:abstractNum w:abstractNumId="12">
    <w:nsid w:val="679553DC"/>
    <w:multiLevelType w:val="singleLevel"/>
    <w:tmpl w:val="679553DC"/>
    <w:lvl w:ilvl="0" w:tentative="0">
      <w:start w:val="2"/>
      <w:numFmt w:val="chineseCounting"/>
      <w:suff w:val="nothing"/>
      <w:lvlText w:val="（%1）"/>
      <w:lvlJc w:val="left"/>
      <w:rPr>
        <w:rFonts w:hint="eastAsia"/>
      </w:rPr>
    </w:lvl>
  </w:abstractNum>
  <w:abstractNum w:abstractNumId="13">
    <w:nsid w:val="72DAF59C"/>
    <w:multiLevelType w:val="singleLevel"/>
    <w:tmpl w:val="72DAF59C"/>
    <w:lvl w:ilvl="0" w:tentative="0">
      <w:start w:val="2"/>
      <w:numFmt w:val="chineseCounting"/>
      <w:suff w:val="nothing"/>
      <w:lvlText w:val="（%1）"/>
      <w:lvlJc w:val="left"/>
      <w:rPr>
        <w:rFonts w:hint="eastAsia"/>
      </w:rPr>
    </w:lvl>
  </w:abstractNum>
  <w:num w:numId="1">
    <w:abstractNumId w:val="10"/>
  </w:num>
  <w:num w:numId="2">
    <w:abstractNumId w:val="8"/>
  </w:num>
  <w:num w:numId="3">
    <w:abstractNumId w:val="13"/>
  </w:num>
  <w:num w:numId="4">
    <w:abstractNumId w:val="12"/>
  </w:num>
  <w:num w:numId="5">
    <w:abstractNumId w:val="5"/>
  </w:num>
  <w:num w:numId="6">
    <w:abstractNumId w:val="6"/>
  </w:num>
  <w:num w:numId="7">
    <w:abstractNumId w:val="9"/>
  </w:num>
  <w:num w:numId="8">
    <w:abstractNumId w:val="7"/>
  </w:num>
  <w:num w:numId="9">
    <w:abstractNumId w:val="0"/>
  </w:num>
  <w:num w:numId="10">
    <w:abstractNumId w:val="11"/>
  </w:num>
  <w:num w:numId="11">
    <w:abstractNumId w:val="4"/>
  </w:num>
  <w:num w:numId="12">
    <w:abstractNumId w:val="1"/>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NTU1M2FjY2E5OWZkMDkzMDNmY2Y2M2Y4ODU3MjAifQ=="/>
  </w:docVars>
  <w:rsids>
    <w:rsidRoot w:val="4DA031AE"/>
    <w:rsid w:val="0002117A"/>
    <w:rsid w:val="00097B71"/>
    <w:rsid w:val="005D6F77"/>
    <w:rsid w:val="00676078"/>
    <w:rsid w:val="006D441C"/>
    <w:rsid w:val="00950783"/>
    <w:rsid w:val="00962097"/>
    <w:rsid w:val="00A06660"/>
    <w:rsid w:val="00AC7C00"/>
    <w:rsid w:val="00B77A02"/>
    <w:rsid w:val="00BB34F9"/>
    <w:rsid w:val="00C10A0C"/>
    <w:rsid w:val="00D324C2"/>
    <w:rsid w:val="00DA7C4D"/>
    <w:rsid w:val="00DF7079"/>
    <w:rsid w:val="00EC62BA"/>
    <w:rsid w:val="00FB4547"/>
    <w:rsid w:val="00FD76F1"/>
    <w:rsid w:val="019362A4"/>
    <w:rsid w:val="027E70E7"/>
    <w:rsid w:val="02886DC8"/>
    <w:rsid w:val="029977BD"/>
    <w:rsid w:val="02D21D84"/>
    <w:rsid w:val="02F72AEC"/>
    <w:rsid w:val="038C586B"/>
    <w:rsid w:val="03CF75C5"/>
    <w:rsid w:val="03DD0400"/>
    <w:rsid w:val="044E0704"/>
    <w:rsid w:val="05082AAB"/>
    <w:rsid w:val="05746676"/>
    <w:rsid w:val="05ED58BE"/>
    <w:rsid w:val="07017BB4"/>
    <w:rsid w:val="074C22BB"/>
    <w:rsid w:val="08646CDA"/>
    <w:rsid w:val="08EC4089"/>
    <w:rsid w:val="08EE7D90"/>
    <w:rsid w:val="08F330C9"/>
    <w:rsid w:val="094C32C4"/>
    <w:rsid w:val="09A87CBD"/>
    <w:rsid w:val="09BC676A"/>
    <w:rsid w:val="0A132C02"/>
    <w:rsid w:val="0A1F7DCE"/>
    <w:rsid w:val="0A317C4A"/>
    <w:rsid w:val="0A713B09"/>
    <w:rsid w:val="0A7433AB"/>
    <w:rsid w:val="0C37346C"/>
    <w:rsid w:val="0D7D68C4"/>
    <w:rsid w:val="0DC14423"/>
    <w:rsid w:val="0ECD5FBD"/>
    <w:rsid w:val="0F256C33"/>
    <w:rsid w:val="0F7F00F1"/>
    <w:rsid w:val="0FA933C0"/>
    <w:rsid w:val="0FFF7484"/>
    <w:rsid w:val="107C28B1"/>
    <w:rsid w:val="114B2D60"/>
    <w:rsid w:val="129F1B30"/>
    <w:rsid w:val="12D06EB6"/>
    <w:rsid w:val="134E49AB"/>
    <w:rsid w:val="14263231"/>
    <w:rsid w:val="14A359F5"/>
    <w:rsid w:val="14AF3ABC"/>
    <w:rsid w:val="14F275B8"/>
    <w:rsid w:val="15FE04ED"/>
    <w:rsid w:val="168F66FB"/>
    <w:rsid w:val="16F21AF1"/>
    <w:rsid w:val="17367C2F"/>
    <w:rsid w:val="17CF4183"/>
    <w:rsid w:val="185D11EC"/>
    <w:rsid w:val="1931657F"/>
    <w:rsid w:val="19A60971"/>
    <w:rsid w:val="19DD0836"/>
    <w:rsid w:val="1A0D716D"/>
    <w:rsid w:val="1A7A6085"/>
    <w:rsid w:val="1AD51525"/>
    <w:rsid w:val="1BC31979"/>
    <w:rsid w:val="1BF60DA7"/>
    <w:rsid w:val="1C6109C0"/>
    <w:rsid w:val="1CD43262"/>
    <w:rsid w:val="1D2422D8"/>
    <w:rsid w:val="1DD71A40"/>
    <w:rsid w:val="1F182311"/>
    <w:rsid w:val="1F2448BB"/>
    <w:rsid w:val="21CA2485"/>
    <w:rsid w:val="21F82E97"/>
    <w:rsid w:val="228B7A37"/>
    <w:rsid w:val="22C32593"/>
    <w:rsid w:val="22C8411F"/>
    <w:rsid w:val="23036CE8"/>
    <w:rsid w:val="233061FD"/>
    <w:rsid w:val="23847980"/>
    <w:rsid w:val="239C7C56"/>
    <w:rsid w:val="23C03826"/>
    <w:rsid w:val="24506E1F"/>
    <w:rsid w:val="24547947"/>
    <w:rsid w:val="25BE5764"/>
    <w:rsid w:val="25D616BE"/>
    <w:rsid w:val="273E55C5"/>
    <w:rsid w:val="283967BF"/>
    <w:rsid w:val="284E28FF"/>
    <w:rsid w:val="28652BC3"/>
    <w:rsid w:val="293609AC"/>
    <w:rsid w:val="298505A2"/>
    <w:rsid w:val="2A7D0899"/>
    <w:rsid w:val="2A7D127A"/>
    <w:rsid w:val="2B0A0D5F"/>
    <w:rsid w:val="2C4B77E4"/>
    <w:rsid w:val="2CEF46B1"/>
    <w:rsid w:val="2D6329A9"/>
    <w:rsid w:val="2DA23D5C"/>
    <w:rsid w:val="2DFD2263"/>
    <w:rsid w:val="2E142FBB"/>
    <w:rsid w:val="2E324646"/>
    <w:rsid w:val="2E5A5DFA"/>
    <w:rsid w:val="2E5C12B2"/>
    <w:rsid w:val="2E5C5169"/>
    <w:rsid w:val="2EC47163"/>
    <w:rsid w:val="2ED72E6F"/>
    <w:rsid w:val="2EDC5C10"/>
    <w:rsid w:val="2F1845F3"/>
    <w:rsid w:val="2F543934"/>
    <w:rsid w:val="2F5E167A"/>
    <w:rsid w:val="2F5E4339"/>
    <w:rsid w:val="30112B90"/>
    <w:rsid w:val="31B41DD4"/>
    <w:rsid w:val="31BC4D7D"/>
    <w:rsid w:val="31C26FA9"/>
    <w:rsid w:val="32673D19"/>
    <w:rsid w:val="32C85D07"/>
    <w:rsid w:val="32DA12DB"/>
    <w:rsid w:val="359E5901"/>
    <w:rsid w:val="373E7EAF"/>
    <w:rsid w:val="38012A70"/>
    <w:rsid w:val="384829D0"/>
    <w:rsid w:val="38A02D03"/>
    <w:rsid w:val="38C46EC6"/>
    <w:rsid w:val="397D4DF2"/>
    <w:rsid w:val="39A61DCE"/>
    <w:rsid w:val="39D3683F"/>
    <w:rsid w:val="39F05B79"/>
    <w:rsid w:val="3A550212"/>
    <w:rsid w:val="3AAA60BB"/>
    <w:rsid w:val="3AD9561C"/>
    <w:rsid w:val="3C1C4D96"/>
    <w:rsid w:val="3C8B5A78"/>
    <w:rsid w:val="3D0E4CF3"/>
    <w:rsid w:val="3D1837B0"/>
    <w:rsid w:val="3D532A3A"/>
    <w:rsid w:val="3D744703"/>
    <w:rsid w:val="3D7C6E63"/>
    <w:rsid w:val="3DE6740A"/>
    <w:rsid w:val="3E4B1963"/>
    <w:rsid w:val="40436D96"/>
    <w:rsid w:val="4052779B"/>
    <w:rsid w:val="415B15A7"/>
    <w:rsid w:val="416922FA"/>
    <w:rsid w:val="420B3E55"/>
    <w:rsid w:val="4348092F"/>
    <w:rsid w:val="43C81360"/>
    <w:rsid w:val="441B3FAA"/>
    <w:rsid w:val="448D7F02"/>
    <w:rsid w:val="450E0C06"/>
    <w:rsid w:val="457C60B9"/>
    <w:rsid w:val="459E4818"/>
    <w:rsid w:val="47044DA5"/>
    <w:rsid w:val="47CD302F"/>
    <w:rsid w:val="48D37826"/>
    <w:rsid w:val="49F566E4"/>
    <w:rsid w:val="4A6B78A3"/>
    <w:rsid w:val="4A944897"/>
    <w:rsid w:val="4ACC3D93"/>
    <w:rsid w:val="4BA803F5"/>
    <w:rsid w:val="4BAF528E"/>
    <w:rsid w:val="4BD9235C"/>
    <w:rsid w:val="4CE951AF"/>
    <w:rsid w:val="4D055090"/>
    <w:rsid w:val="4D5718E5"/>
    <w:rsid w:val="4DA031AE"/>
    <w:rsid w:val="4F231B40"/>
    <w:rsid w:val="4F530A3F"/>
    <w:rsid w:val="4F8B6063"/>
    <w:rsid w:val="4FE70DC0"/>
    <w:rsid w:val="501716A5"/>
    <w:rsid w:val="504306EC"/>
    <w:rsid w:val="504E5063"/>
    <w:rsid w:val="51960CEF"/>
    <w:rsid w:val="523302EC"/>
    <w:rsid w:val="52C75604"/>
    <w:rsid w:val="52D94528"/>
    <w:rsid w:val="53652785"/>
    <w:rsid w:val="54A036FE"/>
    <w:rsid w:val="54BD7E38"/>
    <w:rsid w:val="561C5C67"/>
    <w:rsid w:val="562C5988"/>
    <w:rsid w:val="56852A2A"/>
    <w:rsid w:val="572F14E2"/>
    <w:rsid w:val="57650260"/>
    <w:rsid w:val="58737694"/>
    <w:rsid w:val="59612BE8"/>
    <w:rsid w:val="5A1C23C4"/>
    <w:rsid w:val="5A270918"/>
    <w:rsid w:val="5AB71852"/>
    <w:rsid w:val="5B83468C"/>
    <w:rsid w:val="5D626998"/>
    <w:rsid w:val="5D8365CC"/>
    <w:rsid w:val="5E9F0E4C"/>
    <w:rsid w:val="5EF17565"/>
    <w:rsid w:val="5F126E38"/>
    <w:rsid w:val="6067193E"/>
    <w:rsid w:val="62882E90"/>
    <w:rsid w:val="64204A24"/>
    <w:rsid w:val="646D1DA4"/>
    <w:rsid w:val="64E262CE"/>
    <w:rsid w:val="650B76C6"/>
    <w:rsid w:val="653A158F"/>
    <w:rsid w:val="659C75FC"/>
    <w:rsid w:val="65DC2D1D"/>
    <w:rsid w:val="660E6C4E"/>
    <w:rsid w:val="662841B4"/>
    <w:rsid w:val="67C0789D"/>
    <w:rsid w:val="687A05CB"/>
    <w:rsid w:val="687F0240"/>
    <w:rsid w:val="69BB70A1"/>
    <w:rsid w:val="69BD2834"/>
    <w:rsid w:val="6AB46016"/>
    <w:rsid w:val="6B2036AC"/>
    <w:rsid w:val="6B857887"/>
    <w:rsid w:val="6B8E4AFD"/>
    <w:rsid w:val="6C2B507B"/>
    <w:rsid w:val="6C53360D"/>
    <w:rsid w:val="6CE9291E"/>
    <w:rsid w:val="6EAB5982"/>
    <w:rsid w:val="6F204EB7"/>
    <w:rsid w:val="6FDD7DBD"/>
    <w:rsid w:val="6FFC1059"/>
    <w:rsid w:val="70B700AB"/>
    <w:rsid w:val="71B42DA0"/>
    <w:rsid w:val="73596161"/>
    <w:rsid w:val="73804B68"/>
    <w:rsid w:val="73AF7CC3"/>
    <w:rsid w:val="74707EB5"/>
    <w:rsid w:val="74CD688F"/>
    <w:rsid w:val="76142A12"/>
    <w:rsid w:val="77060618"/>
    <w:rsid w:val="77343B4B"/>
    <w:rsid w:val="774150D6"/>
    <w:rsid w:val="7860099D"/>
    <w:rsid w:val="787C3EEC"/>
    <w:rsid w:val="78D350D9"/>
    <w:rsid w:val="791F131F"/>
    <w:rsid w:val="79202AC9"/>
    <w:rsid w:val="7954015E"/>
    <w:rsid w:val="79E4380C"/>
    <w:rsid w:val="7A8041EE"/>
    <w:rsid w:val="7B3C10F5"/>
    <w:rsid w:val="7C120D88"/>
    <w:rsid w:val="7CFE0D05"/>
    <w:rsid w:val="7DE927A5"/>
    <w:rsid w:val="7EF10D53"/>
    <w:rsid w:val="7EFC5D86"/>
    <w:rsid w:val="7F104C8C"/>
    <w:rsid w:val="7F2A4266"/>
    <w:rsid w:val="7F376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color w:val="993300"/>
      <w:sz w:val="24"/>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baixin/C:\Users\Administrator\Desktop\&#21476;&#21439;&#20844;&#21578;-&#20004;&#33410;&#19987;&#39033;20&#25209;&#27425;\&#38468;&#20214;1&#65306;&#26412;&#27425;&#26816;&#39564;&#39033;&#30446;.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附件1：本次检验项目.docx</Template>
  <Pages>9</Pages>
  <Words>5374</Words>
  <Characters>6258</Characters>
  <Lines>25</Lines>
  <Paragraphs>7</Paragraphs>
  <TotalTime>2</TotalTime>
  <ScaleCrop>false</ScaleCrop>
  <LinksUpToDate>false</LinksUpToDate>
  <CharactersWithSpaces>6486</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2024-08-12T09:49:00Z</dcterms:created>
  <dc:creator>张张吖</dc:creator>
  <cp:lastModifiedBy>baixin</cp:lastModifiedBy>
  <dcterms:modified xsi:type="dcterms:W3CDTF">2024-10-30T09:17:47Z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381A72F0AEFF4386B8388C241198FB8A_11</vt:lpwstr>
  </property>
</Properties>
</file>