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r>
        <w:rPr>
          <w:rFonts w:hint="eastAsia" w:ascii="黑体" w:hAnsi="黑体" w:eastAsia="黑体" w:cs="黑体"/>
          <w:sz w:val="32"/>
          <w:szCs w:val="32"/>
        </w:rPr>
        <w:t xml:space="preserve">               </w:t>
      </w:r>
    </w:p>
    <w:p>
      <w:pPr>
        <w:spacing w:line="276" w:lineRule="auto"/>
        <w:ind w:firstLine="1980" w:firstLineChars="450"/>
        <w:rPr>
          <w:rFonts w:hint="eastAsia" w:ascii="方正小标宋_GBK" w:hAnsi="方正小标宋_GBK" w:eastAsia="方正小标宋_GBK" w:cs="方正小标宋_GBK"/>
          <w:bCs/>
          <w:color w:val="000000"/>
          <w:kern w:val="0"/>
          <w:sz w:val="44"/>
          <w:szCs w:val="44"/>
        </w:rPr>
      </w:pPr>
      <w:r>
        <w:rPr>
          <w:rFonts w:hint="eastAsia" w:ascii="方正小标宋_GBK" w:hAnsi="方正小标宋_GBK" w:eastAsia="方正小标宋_GBK" w:cs="方正小标宋_GBK"/>
          <w:bCs/>
          <w:color w:val="000000"/>
          <w:kern w:val="0"/>
          <w:sz w:val="44"/>
          <w:szCs w:val="44"/>
        </w:rPr>
        <w:t>曲沃县校园安全事故应急指挥部及其成员单位职责</w:t>
      </w:r>
    </w:p>
    <w:tbl>
      <w:tblPr>
        <w:tblStyle w:val="5"/>
        <w:tblW w:w="13941" w:type="dxa"/>
        <w:jc w:val="center"/>
        <w:tblLayout w:type="fixed"/>
        <w:tblCellMar>
          <w:top w:w="0" w:type="dxa"/>
          <w:left w:w="108" w:type="dxa"/>
          <w:bottom w:w="0" w:type="dxa"/>
          <w:right w:w="108" w:type="dxa"/>
        </w:tblCellMar>
      </w:tblPr>
      <w:tblGrid>
        <w:gridCol w:w="1908"/>
        <w:gridCol w:w="12033"/>
      </w:tblGrid>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kern w:val="0"/>
                <w:sz w:val="28"/>
                <w:szCs w:val="28"/>
              </w:rPr>
            </w:pPr>
            <w:r>
              <w:rPr>
                <w:rFonts w:hint="eastAsia" w:ascii="黑体" w:hAnsi="黑体" w:eastAsia="黑体" w:cs="黑体"/>
                <w:kern w:val="0"/>
                <w:sz w:val="28"/>
                <w:szCs w:val="28"/>
              </w:rPr>
              <w:t>单位名称</w:t>
            </w:r>
          </w:p>
        </w:tc>
        <w:tc>
          <w:tcPr>
            <w:tcW w:w="1203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8"/>
                <w:szCs w:val="28"/>
              </w:rPr>
            </w:pPr>
            <w:r>
              <w:rPr>
                <w:rFonts w:hint="eastAsia" w:ascii="黑体" w:hAnsi="黑体" w:eastAsia="黑体" w:cs="黑体"/>
                <w:kern w:val="0"/>
                <w:sz w:val="28"/>
                <w:szCs w:val="28"/>
              </w:rPr>
              <w:t>主要职责</w:t>
            </w:r>
          </w:p>
        </w:tc>
      </w:tr>
      <w:tr>
        <w:tblPrEx>
          <w:tblCellMar>
            <w:top w:w="0" w:type="dxa"/>
            <w:left w:w="108" w:type="dxa"/>
            <w:bottom w:w="0" w:type="dxa"/>
            <w:right w:w="108" w:type="dxa"/>
          </w:tblCellMar>
        </w:tblPrEx>
        <w:trPr>
          <w:trHeight w:val="1031" w:hRule="atLeast"/>
          <w:jc w:val="center"/>
        </w:trPr>
        <w:tc>
          <w:tcPr>
            <w:tcW w:w="1908" w:type="dxa"/>
            <w:tcBorders>
              <w:top w:val="nil"/>
              <w:left w:val="single" w:color="auto" w:sz="4" w:space="0"/>
              <w:bottom w:val="single" w:color="auto" w:sz="4" w:space="0"/>
              <w:right w:val="single" w:color="auto" w:sz="4" w:space="0"/>
            </w:tcBorders>
            <w:vAlign w:val="center"/>
          </w:tcPr>
          <w:p>
            <w:pPr>
              <w:spacing w:line="276" w:lineRule="auto"/>
              <w:jc w:val="center"/>
              <w:rPr>
                <w:rFonts w:hint="eastAsia" w:ascii="仿宋_GB2312" w:eastAsia="仿宋_GB2312"/>
                <w:kern w:val="0"/>
              </w:rPr>
            </w:pPr>
            <w:r>
              <w:rPr>
                <w:rFonts w:hint="eastAsia" w:ascii="仿宋_GB2312" w:hAnsi="宋体" w:eastAsia="仿宋_GB2312" w:cs="宋体"/>
                <w:kern w:val="0"/>
              </w:rPr>
              <w:t>指挥部</w:t>
            </w:r>
          </w:p>
        </w:tc>
        <w:tc>
          <w:tcPr>
            <w:tcW w:w="12033" w:type="dxa"/>
            <w:tcBorders>
              <w:top w:val="nil"/>
              <w:left w:val="single" w:color="auto" w:sz="4" w:space="0"/>
              <w:bottom w:val="single" w:color="auto" w:sz="4" w:space="0"/>
              <w:right w:val="single" w:color="auto" w:sz="4" w:space="0"/>
            </w:tcBorders>
            <w:vAlign w:val="center"/>
          </w:tcPr>
          <w:p>
            <w:pPr>
              <w:spacing w:line="276" w:lineRule="auto"/>
              <w:rPr>
                <w:rFonts w:hint="eastAsia" w:ascii="仿宋_GB2312" w:hAnsi="宋体" w:eastAsia="仿宋_GB2312" w:cs="宋体"/>
                <w:kern w:val="0"/>
              </w:rPr>
            </w:pPr>
            <w:r>
              <w:rPr>
                <w:rFonts w:hint="eastAsia" w:ascii="仿宋_GB2312" w:hAnsi="宋体" w:eastAsia="仿宋_GB2312" w:cs="宋体"/>
                <w:kern w:val="0"/>
              </w:rPr>
              <w:t>贯彻落实党中央、国务院、省委、省政府及市委、市政府、县委县政府关于校园安全工作的决策部署，统筹协调全县校园安全事故防范和隐患排查治理工作，制定校园安全总体规划、重要措施，组织指挥校园安全事故应急处置工作，指导协调校园安全事故调查评估和善后处置工作，落实县委、县政府及县应急救援总指挥部交办的校园安全事故应急处置的其他重大事项。</w:t>
            </w:r>
          </w:p>
        </w:tc>
      </w:tr>
      <w:tr>
        <w:tblPrEx>
          <w:tblCellMar>
            <w:top w:w="0" w:type="dxa"/>
            <w:left w:w="108" w:type="dxa"/>
            <w:bottom w:w="0" w:type="dxa"/>
            <w:right w:w="108" w:type="dxa"/>
          </w:tblCellMar>
        </w:tblPrEx>
        <w:trPr>
          <w:trHeight w:val="1402" w:hRule="atLeast"/>
          <w:jc w:val="center"/>
        </w:trPr>
        <w:tc>
          <w:tcPr>
            <w:tcW w:w="1908" w:type="dxa"/>
            <w:tcBorders>
              <w:top w:val="single" w:color="auto" w:sz="4" w:space="0"/>
              <w:left w:val="single" w:color="auto" w:sz="4" w:space="0"/>
              <w:right w:val="single" w:color="auto" w:sz="4" w:space="0"/>
            </w:tcBorders>
            <w:vAlign w:val="center"/>
          </w:tcPr>
          <w:p>
            <w:pPr>
              <w:spacing w:line="276" w:lineRule="auto"/>
              <w:ind w:right="-36" w:rightChars="-17" w:hanging="94"/>
              <w:jc w:val="center"/>
              <w:rPr>
                <w:rFonts w:hint="eastAsia" w:ascii="仿宋_GB2312" w:eastAsia="仿宋_GB2312"/>
                <w:kern w:val="0"/>
              </w:rPr>
            </w:pPr>
            <w:r>
              <w:rPr>
                <w:rFonts w:hint="eastAsia" w:ascii="仿宋_GB2312" w:hAnsi="宋体" w:eastAsia="仿宋_GB2312" w:cs="宋体"/>
                <w:kern w:val="0"/>
              </w:rPr>
              <w:t>指挥部办公室</w:t>
            </w:r>
          </w:p>
          <w:p>
            <w:pPr>
              <w:spacing w:line="276" w:lineRule="auto"/>
              <w:ind w:right="-36" w:rightChars="-17" w:hanging="94"/>
              <w:jc w:val="center"/>
              <w:rPr>
                <w:rFonts w:hint="eastAsia" w:ascii="仿宋_GB2312" w:eastAsia="仿宋_GB2312"/>
                <w:kern w:val="0"/>
              </w:rPr>
            </w:pPr>
            <w:r>
              <w:rPr>
                <w:rFonts w:hint="eastAsia" w:ascii="仿宋_GB2312" w:hAnsi="宋体" w:eastAsia="仿宋_GB2312" w:cs="宋体"/>
                <w:kern w:val="0"/>
              </w:rPr>
              <w:t>（县教科局）</w:t>
            </w:r>
          </w:p>
        </w:tc>
        <w:tc>
          <w:tcPr>
            <w:tcW w:w="12033" w:type="dxa"/>
            <w:tcBorders>
              <w:top w:val="single" w:color="auto" w:sz="4" w:space="0"/>
              <w:left w:val="single" w:color="auto" w:sz="4" w:space="0"/>
              <w:right w:val="single" w:color="auto" w:sz="4" w:space="0"/>
            </w:tcBorders>
            <w:vAlign w:val="center"/>
          </w:tcPr>
          <w:p>
            <w:pPr>
              <w:spacing w:line="276" w:lineRule="auto"/>
              <w:rPr>
                <w:rFonts w:hint="eastAsia" w:ascii="仿宋_GB2312" w:hAnsi="宋体" w:eastAsia="仿宋_GB2312" w:cs="宋体"/>
                <w:kern w:val="0"/>
              </w:rPr>
            </w:pPr>
            <w:r>
              <w:rPr>
                <w:rFonts w:hint="eastAsia" w:ascii="仿宋_GB2312" w:hAnsi="宋体" w:eastAsia="仿宋_GB2312" w:cs="宋体"/>
                <w:kern w:val="0"/>
              </w:rPr>
              <w:t>承担校园安全事故应急指挥部日常工作，制定、修订校园安全事故专项应急预案，组织校园安全事故防范和隐患排查治理工作，开展桌面推演、实兵演练等应对校园安全事故专项训练，协调各方面力量参加校园安全事故救援行动，协助县委、县政府指定的负责同志组织校园安全事故应急处置工作，配合做好校园安全事故调查评估和善后处置工作，报告和发布校园安全事故信息，指导各级各类学校做好校园安全事故应对等工作。</w:t>
            </w:r>
          </w:p>
        </w:tc>
      </w:tr>
      <w:tr>
        <w:tblPrEx>
          <w:tblCellMar>
            <w:top w:w="0" w:type="dxa"/>
            <w:left w:w="108" w:type="dxa"/>
            <w:bottom w:w="0" w:type="dxa"/>
            <w:right w:w="108" w:type="dxa"/>
          </w:tblCellMar>
        </w:tblPrEx>
        <w:trPr>
          <w:trHeight w:val="840"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县委宣传部</w:t>
            </w:r>
          </w:p>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（县委网信办）</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hAnsi="宋体" w:eastAsia="仿宋_GB2312" w:cs="宋体"/>
                <w:kern w:val="0"/>
              </w:rPr>
              <w:t>根据现场指挥部提供的权威信息，组织协调新闻媒体做好重大教育安全事故新闻报道工作，及时发布事故信息，积极引导舆论。加强网上信息监管，做好网上舆论引导相关工作。</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县委统战部</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b/>
                <w:bCs/>
                <w:kern w:val="0"/>
              </w:rPr>
            </w:pPr>
            <w:r>
              <w:rPr>
                <w:rFonts w:hint="eastAsia" w:ascii="仿宋_GB2312" w:hAnsi="宋体" w:eastAsia="仿宋_GB2312" w:cs="宋体"/>
                <w:kern w:val="0"/>
              </w:rPr>
              <w:t>组织协调应急处置中涉及宗教、民族事务的工作，提供宗教、民族政策指导。</w:t>
            </w:r>
          </w:p>
        </w:tc>
      </w:tr>
      <w:tr>
        <w:tblPrEx>
          <w:tblCellMar>
            <w:top w:w="0" w:type="dxa"/>
            <w:left w:w="108" w:type="dxa"/>
            <w:bottom w:w="0" w:type="dxa"/>
            <w:right w:w="108" w:type="dxa"/>
          </w:tblCellMar>
        </w:tblPrEx>
        <w:trPr>
          <w:trHeight w:val="475"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县发改局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hAnsi="宋体" w:eastAsia="仿宋_GB2312" w:cs="宋体"/>
                <w:kern w:val="0"/>
              </w:rPr>
              <w:t>负责落实县级重要物资和应急储备物资动用计划和指令。</w:t>
            </w:r>
          </w:p>
        </w:tc>
      </w:tr>
      <w:tr>
        <w:tblPrEx>
          <w:tblCellMar>
            <w:top w:w="0" w:type="dxa"/>
            <w:left w:w="108" w:type="dxa"/>
            <w:bottom w:w="0" w:type="dxa"/>
            <w:right w:w="108" w:type="dxa"/>
          </w:tblCellMar>
        </w:tblPrEx>
        <w:trPr>
          <w:trHeight w:val="411" w:hRule="atLeast"/>
          <w:jc w:val="center"/>
        </w:trPr>
        <w:tc>
          <w:tcPr>
            <w:tcW w:w="1908" w:type="dxa"/>
            <w:tcBorders>
              <w:top w:val="nil"/>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县工信局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eastAsia="仿宋_GB2312" w:cs="宋体"/>
                <w:kern w:val="0"/>
              </w:rPr>
              <w:t>负责紧急状态下重要物资生产组织工作，按照现行医药储备体系负责县级相关医药物资储备调拨工作。</w:t>
            </w:r>
          </w:p>
        </w:tc>
      </w:tr>
      <w:tr>
        <w:tblPrEx>
          <w:tblCellMar>
            <w:top w:w="0" w:type="dxa"/>
            <w:left w:w="108" w:type="dxa"/>
            <w:bottom w:w="0" w:type="dxa"/>
            <w:right w:w="108" w:type="dxa"/>
          </w:tblCellMar>
        </w:tblPrEx>
        <w:trPr>
          <w:trHeight w:val="760"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县公安局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eastAsia="仿宋_GB2312" w:cs="宋体"/>
                <w:kern w:val="0"/>
              </w:rPr>
              <w:t>对事发场所及周边道路实施交通管制，维护交通秩序；设置现场警戒，预防和依法打击事发区域各种违法犯罪活动，维护现场及周边治安秩序。</w:t>
            </w:r>
          </w:p>
        </w:tc>
      </w:tr>
      <w:tr>
        <w:tblPrEx>
          <w:tblCellMar>
            <w:top w:w="0" w:type="dxa"/>
            <w:left w:w="108" w:type="dxa"/>
            <w:bottom w:w="0" w:type="dxa"/>
            <w:right w:w="108" w:type="dxa"/>
          </w:tblCellMar>
        </w:tblPrEx>
        <w:trPr>
          <w:trHeight w:val="455" w:hRule="atLeast"/>
          <w:jc w:val="center"/>
        </w:trPr>
        <w:tc>
          <w:tcPr>
            <w:tcW w:w="1908" w:type="dxa"/>
            <w:tcBorders>
              <w:top w:val="nil"/>
              <w:left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县民政局</w:t>
            </w:r>
          </w:p>
        </w:tc>
        <w:tc>
          <w:tcPr>
            <w:tcW w:w="12033" w:type="dxa"/>
            <w:tcBorders>
              <w:top w:val="single" w:color="auto" w:sz="4" w:space="0"/>
              <w:left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hAnsi="宋体" w:eastAsia="仿宋_GB2312" w:cs="宋体"/>
                <w:kern w:val="0"/>
              </w:rPr>
              <w:t>按照规定做好受伤人员及遇难者家属的救助工作，</w:t>
            </w:r>
            <w:r>
              <w:rPr>
                <w:rFonts w:hint="eastAsia" w:ascii="仿宋_GB2312" w:eastAsia="仿宋_GB2312" w:cs="宋体"/>
                <w:kern w:val="0"/>
              </w:rPr>
              <w:t>组织安排遇难人员的遗体火化工作。</w:t>
            </w:r>
          </w:p>
        </w:tc>
      </w:tr>
      <w:tr>
        <w:tblPrEx>
          <w:tblCellMar>
            <w:top w:w="0" w:type="dxa"/>
            <w:left w:w="108" w:type="dxa"/>
            <w:bottom w:w="0" w:type="dxa"/>
            <w:right w:w="108" w:type="dxa"/>
          </w:tblCellMar>
        </w:tblPrEx>
        <w:trPr>
          <w:trHeight w:val="432"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县财政局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eastAsia="仿宋_GB2312"/>
                <w:kern w:val="0"/>
              </w:rPr>
            </w:pPr>
            <w:r>
              <w:rPr>
                <w:rFonts w:hint="eastAsia" w:ascii="仿宋_GB2312" w:hAnsi="宋体" w:eastAsia="仿宋_GB2312" w:cs="宋体"/>
                <w:kern w:val="0"/>
              </w:rPr>
              <w:t>负责处置专项资金及设施建设、应急培训、演练所需经费的安排、拨付和监督检查。</w:t>
            </w:r>
          </w:p>
        </w:tc>
      </w:tr>
      <w:tr>
        <w:tblPrEx>
          <w:tblCellMar>
            <w:top w:w="0" w:type="dxa"/>
            <w:left w:w="108" w:type="dxa"/>
            <w:bottom w:w="0" w:type="dxa"/>
            <w:right w:w="108" w:type="dxa"/>
          </w:tblCellMar>
        </w:tblPrEx>
        <w:trPr>
          <w:trHeight w:val="680"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县自然资源局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仿宋_GB2312" w:hAnsi="黑体" w:eastAsia="仿宋_GB2312"/>
                <w:b/>
                <w:bCs/>
                <w:kern w:val="0"/>
                <w:sz w:val="22"/>
                <w:szCs w:val="22"/>
              </w:rPr>
            </w:pPr>
            <w:r>
              <w:rPr>
                <w:rFonts w:hint="eastAsia" w:ascii="仿宋_GB2312" w:hAnsi="宋体" w:eastAsia="仿宋_GB2312" w:cs="宋体"/>
                <w:kern w:val="0"/>
              </w:rPr>
              <w:t>负责事发地学校崩塌、滑坡、泥石流等自然地质灾害的应急调查、灾情分析，会同县气象部门联合发布地质灾害气象风险预警，对灾害应急处置提供技术支撑。</w:t>
            </w:r>
          </w:p>
        </w:tc>
      </w:tr>
      <w:tr>
        <w:tblPrEx>
          <w:tblCellMar>
            <w:top w:w="0" w:type="dxa"/>
            <w:left w:w="108" w:type="dxa"/>
            <w:bottom w:w="0" w:type="dxa"/>
            <w:right w:w="108" w:type="dxa"/>
          </w:tblCellMar>
        </w:tblPrEx>
        <w:trPr>
          <w:trHeight w:val="562" w:hRule="atLeast"/>
          <w:jc w:val="center"/>
        </w:trPr>
        <w:tc>
          <w:tcPr>
            <w:tcW w:w="1908" w:type="dxa"/>
            <w:tcBorders>
              <w:top w:val="nil"/>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cs="宋体"/>
                <w:kern w:val="0"/>
              </w:rPr>
            </w:pPr>
            <w:r>
              <w:rPr>
                <w:rFonts w:hint="eastAsia" w:ascii="仿宋_GB2312" w:hAnsi="宋体" w:eastAsia="仿宋_GB2312" w:cs="宋体"/>
                <w:kern w:val="0"/>
              </w:rPr>
              <w:t>县住建局</w:t>
            </w:r>
          </w:p>
        </w:tc>
        <w:tc>
          <w:tcPr>
            <w:tcW w:w="12033" w:type="dxa"/>
            <w:tcBorders>
              <w:top w:val="single" w:color="auto" w:sz="4" w:space="0"/>
              <w:left w:val="single" w:color="auto" w:sz="4" w:space="0"/>
              <w:bottom w:val="single" w:color="auto" w:sz="4" w:space="0"/>
              <w:right w:val="single" w:color="auto" w:sz="4" w:space="0"/>
            </w:tcBorders>
            <w:vAlign w:val="center"/>
          </w:tcPr>
          <w:p>
            <w:pPr>
              <w:tabs>
                <w:tab w:val="left" w:pos="1429"/>
              </w:tabs>
              <w:spacing w:line="276" w:lineRule="auto"/>
              <w:rPr>
                <w:rFonts w:hint="eastAsia" w:ascii="仿宋_GB2312" w:hAnsi="宋体" w:eastAsia="仿宋_GB2312" w:cs="宋体"/>
                <w:kern w:val="0"/>
                <w:sz w:val="10"/>
                <w:szCs w:val="10"/>
              </w:rPr>
            </w:pPr>
            <w:r>
              <w:rPr>
                <w:rFonts w:hint="eastAsia" w:ascii="仿宋_GB2312" w:hAnsi="宋体" w:eastAsia="仿宋_GB2312" w:cs="宋体"/>
                <w:kern w:val="0"/>
              </w:rPr>
              <w:t>负责配合教育主管部门做好学校建筑物安全鉴定的技术服务工作。指导事发学校城市供水、燃气等市政设施的抢、排险。</w:t>
            </w:r>
          </w:p>
        </w:tc>
      </w:tr>
    </w:tbl>
    <w:p>
      <w:pPr>
        <w:jc w:val="both"/>
        <w:rPr>
          <w:rFonts w:hint="eastAsia" w:ascii="黑体" w:hAnsi="黑体" w:eastAsia="黑体" w:cs="黑体"/>
          <w:b w:val="0"/>
          <w:bCs w:val="0"/>
          <w:kern w:val="0"/>
          <w:sz w:val="28"/>
          <w:szCs w:val="28"/>
        </w:rPr>
        <w:sectPr>
          <w:headerReference r:id="rId3" w:type="default"/>
          <w:footerReference r:id="rId4" w:type="default"/>
          <w:pgSz w:w="16838" w:h="11906" w:orient="landscape"/>
          <w:pgMar w:top="1021" w:right="1588" w:bottom="964" w:left="1701" w:header="851" w:footer="992" w:gutter="0"/>
          <w:pgNumType w:fmt="numberInDash" w:start="14"/>
          <w:cols w:space="720" w:num="1"/>
          <w:docGrid w:linePitch="312" w:charSpace="0"/>
        </w:sectPr>
      </w:pPr>
    </w:p>
    <w:tbl>
      <w:tblPr>
        <w:tblStyle w:val="5"/>
        <w:tblW w:w="13941" w:type="dxa"/>
        <w:jc w:val="center"/>
        <w:tblLayout w:type="fixed"/>
        <w:tblCellMar>
          <w:top w:w="0" w:type="dxa"/>
          <w:left w:w="108" w:type="dxa"/>
          <w:bottom w:w="0" w:type="dxa"/>
          <w:right w:w="108" w:type="dxa"/>
        </w:tblCellMar>
      </w:tblPr>
      <w:tblGrid>
        <w:gridCol w:w="1908"/>
        <w:gridCol w:w="12033"/>
      </w:tblGrid>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单位名称</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主要职责</w:t>
            </w:r>
          </w:p>
        </w:tc>
      </w:tr>
      <w:tr>
        <w:tblPrEx>
          <w:tblCellMar>
            <w:top w:w="0" w:type="dxa"/>
            <w:left w:w="108" w:type="dxa"/>
            <w:bottom w:w="0" w:type="dxa"/>
            <w:right w:w="108" w:type="dxa"/>
          </w:tblCellMar>
        </w:tblPrEx>
        <w:trPr>
          <w:trHeight w:val="935"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县交通局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仿宋_GB2312" w:hAnsi="宋体" w:eastAsia="仿宋_GB2312" w:cs="宋体"/>
                <w:kern w:val="0"/>
              </w:rPr>
            </w:pPr>
            <w:r>
              <w:rPr>
                <w:rFonts w:hint="eastAsia" w:ascii="仿宋_GB2312" w:hAnsi="宋体" w:eastAsia="仿宋_GB2312" w:cs="宋体"/>
                <w:kern w:val="0"/>
              </w:rPr>
              <w:t>协同组织应急救援所需客货运输车辆的征用，保障应急救援人员、物资和必要生活资料的运输；为应急救援车辆提供绿色通道；当事故发生在山区、河边等交通不便地区时，协助有关部门铺设通往事故现场的临时公路。</w:t>
            </w:r>
          </w:p>
        </w:tc>
      </w:tr>
      <w:tr>
        <w:tblPrEx>
          <w:tblCellMar>
            <w:top w:w="0" w:type="dxa"/>
            <w:left w:w="108" w:type="dxa"/>
            <w:bottom w:w="0" w:type="dxa"/>
            <w:right w:w="108" w:type="dxa"/>
          </w:tblCellMar>
        </w:tblPrEx>
        <w:trPr>
          <w:trHeight w:val="1245"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县卫体局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仿宋_GB2312" w:hAnsi="黑体" w:eastAsia="仿宋_GB2312"/>
                <w:b/>
                <w:bCs/>
                <w:kern w:val="0"/>
                <w:sz w:val="22"/>
                <w:szCs w:val="22"/>
              </w:rPr>
            </w:pPr>
            <w:r>
              <w:rPr>
                <w:rFonts w:hint="eastAsia" w:ascii="仿宋_GB2312" w:eastAsia="仿宋_GB2312" w:cs="宋体"/>
                <w:kern w:val="0"/>
              </w:rPr>
              <w:t>向教育行政部门通报突发公共卫生事件预警信息；组织协调事发地卫生健康部门及专业技术机构，指导教育系统开展突发公共卫生事件应对工作，开展其他突发事件紧急医学救援；根据需要，协调调度县级及事发地周边区域医疗卫生资源给予指导和援助。</w:t>
            </w:r>
            <w:r>
              <w:rPr>
                <w:rFonts w:hint="eastAsia" w:ascii="仿宋_GB2312" w:hAnsi="宋体" w:eastAsia="仿宋_GB2312" w:cs="宋体"/>
                <w:kern w:val="0"/>
              </w:rPr>
              <w:t>配合教育部门协调、指导大型学生体育活动突发事故的应急处置与事故调查工作。</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eastAsia="仿宋_GB2312"/>
                <w:color w:val="000000"/>
                <w:kern w:val="0"/>
                <w:sz w:val="22"/>
                <w:szCs w:val="22"/>
              </w:rPr>
            </w:pPr>
            <w:r>
              <w:rPr>
                <w:rFonts w:hint="eastAsia" w:ascii="仿宋_GB2312" w:hAnsi="宋体" w:eastAsia="仿宋_GB2312" w:cs="宋体"/>
                <w:kern w:val="0"/>
              </w:rPr>
              <w:t>县应急局</w:t>
            </w:r>
          </w:p>
        </w:tc>
        <w:tc>
          <w:tcPr>
            <w:tcW w:w="1203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黑体" w:eastAsia="仿宋_GB2312"/>
                <w:b/>
                <w:bCs/>
                <w:kern w:val="0"/>
                <w:sz w:val="22"/>
                <w:szCs w:val="22"/>
              </w:rPr>
            </w:pPr>
            <w:r>
              <w:rPr>
                <w:rFonts w:hint="eastAsia" w:ascii="仿宋_GB2312" w:hAnsi="宋体" w:eastAsia="仿宋_GB2312" w:cs="宋体"/>
                <w:kern w:val="0"/>
              </w:rPr>
              <w:t>协调调动有关应急力量和资源，参与应急抢险救援。</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县统计局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hAnsi="黑体" w:eastAsia="仿宋_GB2312"/>
                <w:b/>
                <w:bCs/>
                <w:kern w:val="0"/>
                <w:sz w:val="22"/>
                <w:szCs w:val="22"/>
              </w:rPr>
            </w:pPr>
            <w:r>
              <w:rPr>
                <w:rFonts w:hint="eastAsia" w:ascii="仿宋_GB2312" w:hAnsi="宋体" w:eastAsia="仿宋_GB2312" w:cs="宋体"/>
                <w:kern w:val="0"/>
              </w:rPr>
              <w:t>负责事发地事故中受损人、财、物的收集、汇总、整理和提供有关调查的统计数据，加强对受损人、财、物情况的监测与分析。</w:t>
            </w:r>
          </w:p>
        </w:tc>
      </w:tr>
      <w:tr>
        <w:tblPrEx>
          <w:tblCellMar>
            <w:top w:w="0" w:type="dxa"/>
            <w:left w:w="108" w:type="dxa"/>
            <w:bottom w:w="0" w:type="dxa"/>
            <w:right w:w="108" w:type="dxa"/>
          </w:tblCellMar>
        </w:tblPrEx>
        <w:trPr>
          <w:trHeight w:val="567" w:hRule="atLeast"/>
          <w:jc w:val="center"/>
        </w:trPr>
        <w:tc>
          <w:tcPr>
            <w:tcW w:w="1908" w:type="dxa"/>
            <w:tcBorders>
              <w:top w:val="nil"/>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县能源局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hAnsi="宋体" w:eastAsia="仿宋_GB2312" w:cs="宋体"/>
                <w:kern w:val="0"/>
              </w:rPr>
            </w:pPr>
            <w:r>
              <w:rPr>
                <w:rFonts w:hint="eastAsia" w:ascii="仿宋_GB2312" w:hAnsi="宋体" w:eastAsia="仿宋_GB2312" w:cs="宋体"/>
                <w:kern w:val="0"/>
              </w:rPr>
              <w:t>协调组织应急救援电力供应。</w:t>
            </w:r>
          </w:p>
        </w:tc>
      </w:tr>
      <w:tr>
        <w:tblPrEx>
          <w:tblCellMar>
            <w:top w:w="0" w:type="dxa"/>
            <w:left w:w="108" w:type="dxa"/>
            <w:bottom w:w="0" w:type="dxa"/>
            <w:right w:w="108" w:type="dxa"/>
          </w:tblCellMar>
        </w:tblPrEx>
        <w:trPr>
          <w:trHeight w:val="567" w:hRule="atLeast"/>
          <w:jc w:val="center"/>
        </w:trPr>
        <w:tc>
          <w:tcPr>
            <w:tcW w:w="1908" w:type="dxa"/>
            <w:tcBorders>
              <w:top w:val="nil"/>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县文旅局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负责应急处置中涉及文物与文化遗产工作的指导协调与事故调查工作。</w:t>
            </w:r>
          </w:p>
        </w:tc>
      </w:tr>
      <w:tr>
        <w:tblPrEx>
          <w:tblCellMar>
            <w:top w:w="0" w:type="dxa"/>
            <w:left w:w="108" w:type="dxa"/>
            <w:bottom w:w="0" w:type="dxa"/>
            <w:right w:w="108" w:type="dxa"/>
          </w:tblCellMar>
        </w:tblPrEx>
        <w:trPr>
          <w:trHeight w:val="567" w:hRule="atLeast"/>
          <w:jc w:val="center"/>
        </w:trPr>
        <w:tc>
          <w:tcPr>
            <w:tcW w:w="1908" w:type="dxa"/>
            <w:tcBorders>
              <w:top w:val="nil"/>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县残联</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配合教育行政部门做好特殊教育学校突发事故的处置。</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县气象局</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及时向教育部门通报气象趋势预测、重要天气预报等相关信息，必要时发出预警；根据需要开展现场应急气象观测和服务保障。</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曲沃银保监组</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组织、协调、督促、指导承保保险公司及时对投保的教育系统受损财产和伤亡人员开展查勘和理赔。</w:t>
            </w:r>
          </w:p>
        </w:tc>
      </w:tr>
      <w:tr>
        <w:tblPrEx>
          <w:tblCellMar>
            <w:top w:w="0" w:type="dxa"/>
            <w:left w:w="108" w:type="dxa"/>
            <w:bottom w:w="0" w:type="dxa"/>
            <w:right w:w="108" w:type="dxa"/>
          </w:tblCellMar>
        </w:tblPrEx>
        <w:trPr>
          <w:trHeight w:val="782" w:hRule="atLeast"/>
          <w:jc w:val="center"/>
        </w:trPr>
        <w:tc>
          <w:tcPr>
            <w:tcW w:w="1908" w:type="dxa"/>
            <w:tcBorders>
              <w:top w:val="nil"/>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县融媒体中心</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第一时间从指挥部获取权威信息，协调媒体记者做好对外媒体相关报道工作。在所属新闻平台及时、准确、客观、全面地进行报道。</w:t>
            </w:r>
          </w:p>
        </w:tc>
      </w:tr>
      <w:tr>
        <w:tblPrEx>
          <w:tblCellMar>
            <w:top w:w="0" w:type="dxa"/>
            <w:left w:w="108" w:type="dxa"/>
            <w:bottom w:w="0" w:type="dxa"/>
            <w:right w:w="108" w:type="dxa"/>
          </w:tblCellMar>
        </w:tblPrEx>
        <w:trPr>
          <w:trHeight w:val="567"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武警曲沃中队</w:t>
            </w:r>
          </w:p>
        </w:tc>
        <w:tc>
          <w:tcPr>
            <w:tcW w:w="12033"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仿宋_GB2312" w:eastAsia="仿宋_GB2312"/>
                <w:kern w:val="0"/>
              </w:rPr>
            </w:pPr>
            <w:r>
              <w:rPr>
                <w:rFonts w:hint="eastAsia" w:ascii="仿宋_GB2312" w:hAnsi="宋体" w:eastAsia="仿宋_GB2312" w:cs="宋体"/>
                <w:kern w:val="0"/>
              </w:rPr>
              <w:t>根据规定，组织所属部队参与校园安全事故处置、救援以及现场安全保卫、秩序维护工作。</w:t>
            </w:r>
          </w:p>
        </w:tc>
      </w:tr>
      <w:tr>
        <w:tblPrEx>
          <w:tblCellMar>
            <w:top w:w="0" w:type="dxa"/>
            <w:left w:w="108" w:type="dxa"/>
            <w:bottom w:w="0" w:type="dxa"/>
            <w:right w:w="108" w:type="dxa"/>
          </w:tblCellMar>
        </w:tblPrEx>
        <w:trPr>
          <w:trHeight w:val="688"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kern w:val="0"/>
              </w:rPr>
            </w:pPr>
            <w:r>
              <w:rPr>
                <w:rFonts w:hint="eastAsia" w:ascii="仿宋_GB2312" w:hAnsi="宋体" w:eastAsia="仿宋_GB2312" w:cs="宋体"/>
                <w:kern w:val="0"/>
              </w:rPr>
              <w:t>县消防救援大队</w:t>
            </w:r>
          </w:p>
        </w:tc>
        <w:tc>
          <w:tcPr>
            <w:tcW w:w="12033"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仿宋_GB2312" w:eastAsia="仿宋_GB2312"/>
                <w:kern w:val="0"/>
              </w:rPr>
            </w:pPr>
            <w:r>
              <w:rPr>
                <w:rFonts w:hint="eastAsia" w:ascii="仿宋_GB2312" w:hAnsi="宋体" w:eastAsia="仿宋_GB2312" w:cs="宋体"/>
                <w:kern w:val="0"/>
              </w:rPr>
              <w:t>及时组织事发场所的灭火抢险和应急救援等工作。</w:t>
            </w:r>
          </w:p>
        </w:tc>
      </w:tr>
    </w:tbl>
    <w:p>
      <w:pPr>
        <w:rPr>
          <w:rFonts w:hint="eastAsia" w:ascii="黑体" w:hAnsi="黑体" w:eastAsia="黑体" w:cs="黑体"/>
          <w:sz w:val="32"/>
          <w:szCs w:val="32"/>
        </w:rPr>
        <w:sectPr>
          <w:footerReference r:id="rId5" w:type="default"/>
          <w:pgSz w:w="16838" w:h="11906" w:orient="landscape"/>
          <w:pgMar w:top="1021" w:right="1588" w:bottom="964" w:left="1701" w:header="851" w:footer="992" w:gutter="0"/>
          <w:pgNumType w:fmt="numberInDash"/>
          <w:cols w:space="720" w:num="1"/>
          <w:docGrid w:linePitch="312" w:charSpace="0"/>
        </w:sectPr>
      </w:pPr>
      <w:bookmarkStart w:id="0" w:name="_GoBack"/>
      <w:bookmarkEnd w:id="0"/>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243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2432"/>
        <w:tab w:val="clear" w:pos="4153"/>
      </w:tabs>
    </w:pP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8C2A"/>
    <w:rsid w:val="68EF3B76"/>
    <w:rsid w:val="76FE8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2023-04-29T00:26:00Z</dcterms:created>
  <dc:creator>baixin</dc:creator>
  <cp:lastModifiedBy>baixin</cp:lastModifiedBy>
  <dcterms:modified xsi:type="dcterms:W3CDTF">2023-04-28T16:36:57Z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