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4"/>
        <w:widowControl/>
        <w:shd w:val="clear" w:color="auto" w:fill="FFFFFF"/>
        <w:spacing w:before="0" w:beforeAutospacing="0" w:after="0" w:afterAutospacing="0" w:line="540" w:lineRule="exact"/>
        <w:jc w:val="center"/>
        <w:rPr>
          <w:rFonts w:hint="eastAsia" w:ascii="方正小标宋_GBK" w:hAnsi="方正小标宋_GBK" w:eastAsia="方正小标宋_GBK" w:cs="方正小标宋_GBK"/>
          <w:b/>
          <w:color w:val="333333"/>
          <w:sz w:val="44"/>
          <w:szCs w:val="44"/>
          <w:shd w:val="clear" w:color="auto" w:fill="FFFFFF"/>
        </w:rPr>
      </w:pPr>
      <w:r>
        <w:rPr>
          <w:rFonts w:hint="eastAsia" w:ascii="方正小标宋_GBK" w:hAnsi="方正小标宋_GBK" w:eastAsia="方正小标宋_GBK" w:cs="方正小标宋_GBK"/>
          <w:b/>
          <w:color w:val="333333"/>
          <w:sz w:val="44"/>
          <w:szCs w:val="44"/>
          <w:shd w:val="clear" w:color="auto" w:fill="FFFFFF"/>
        </w:rPr>
        <w:t>曲沃县统计局</w:t>
      </w:r>
      <w:r>
        <w:rPr>
          <w:rFonts w:hint="eastAsia" w:ascii="方正小标宋_GBK" w:hAnsi="方正小标宋_GBK" w:eastAsia="方正小标宋_GBK" w:cs="方正小标宋_GBK"/>
          <w:b/>
          <w:color w:val="333333"/>
          <w:sz w:val="44"/>
          <w:szCs w:val="44"/>
          <w:shd w:val="clear" w:color="auto" w:fill="FFFFFF"/>
          <w:lang w:val="en-US" w:eastAsia="zh-CN"/>
        </w:rPr>
        <w:t>2025年</w:t>
      </w:r>
      <w:r>
        <w:rPr>
          <w:rFonts w:hint="eastAsia" w:ascii="方正小标宋_GBK" w:hAnsi="方正小标宋_GBK" w:eastAsia="方正小标宋_GBK" w:cs="方正小标宋_GBK"/>
          <w:b/>
          <w:color w:val="333333"/>
          <w:sz w:val="44"/>
          <w:szCs w:val="44"/>
          <w:shd w:val="clear" w:color="auto" w:fill="FFFFFF"/>
        </w:rPr>
        <w:t>政府信息公开</w:t>
      </w:r>
    </w:p>
    <w:p>
      <w:pPr>
        <w:pStyle w:val="4"/>
        <w:widowControl/>
        <w:shd w:val="clear" w:color="auto" w:fill="FFFFFF"/>
        <w:spacing w:before="0" w:beforeAutospacing="0" w:after="0" w:afterAutospacing="0" w:line="540" w:lineRule="exact"/>
        <w:jc w:val="center"/>
        <w:rPr>
          <w:rFonts w:hint="eastAsia" w:ascii="方正小标宋_GBK" w:hAnsi="方正小标宋_GBK" w:eastAsia="方正小标宋_GBK" w:cs="方正小标宋_GBK"/>
          <w:b/>
          <w:color w:val="333333"/>
          <w:sz w:val="36"/>
          <w:szCs w:val="36"/>
          <w:shd w:val="clear" w:color="auto" w:fill="FFFFFF"/>
        </w:rPr>
      </w:pPr>
      <w:r>
        <w:rPr>
          <w:rFonts w:hint="eastAsia" w:ascii="方正小标宋_GBK" w:hAnsi="方正小标宋_GBK" w:eastAsia="方正小标宋_GBK" w:cs="方正小标宋_GBK"/>
          <w:b/>
          <w:color w:val="333333"/>
          <w:sz w:val="44"/>
          <w:szCs w:val="44"/>
          <w:shd w:val="clear" w:color="auto" w:fill="FFFFFF"/>
          <w:lang w:eastAsia="zh-CN"/>
        </w:rPr>
        <w:t>工作</w:t>
      </w:r>
      <w:r>
        <w:rPr>
          <w:rFonts w:hint="eastAsia" w:ascii="方正小标宋_GBK" w:hAnsi="方正小标宋_GBK" w:eastAsia="方正小标宋_GBK" w:cs="方正小标宋_GBK"/>
          <w:b/>
          <w:color w:val="333333"/>
          <w:sz w:val="44"/>
          <w:szCs w:val="44"/>
          <w:shd w:val="clear" w:color="auto" w:fill="FFFFFF"/>
        </w:rPr>
        <w:t>年度报告</w:t>
      </w:r>
    </w:p>
    <w:p>
      <w:pPr>
        <w:pStyle w:val="4"/>
        <w:widowControl/>
        <w:shd w:val="clear" w:color="auto" w:fill="FFFFFF"/>
        <w:spacing w:before="0" w:beforeAutospacing="0" w:after="0" w:afterAutospacing="0" w:line="540" w:lineRule="exact"/>
        <w:jc w:val="center"/>
        <w:rPr>
          <w:rFonts w:ascii="宋体" w:hAnsi="宋体" w:cs="宋体"/>
          <w:b/>
          <w:color w:val="333333"/>
          <w:sz w:val="36"/>
          <w:szCs w:val="36"/>
          <w:shd w:val="clear" w:color="auto" w:fill="FFFFFF"/>
        </w:rPr>
      </w:pPr>
    </w:p>
    <w:p>
      <w:pPr>
        <w:pStyle w:val="4"/>
        <w:widowControl/>
        <w:shd w:val="clear" w:color="auto" w:fill="FFFFFF"/>
        <w:spacing w:before="0" w:beforeAutospacing="0" w:after="0" w:afterAutospacing="0" w:line="540" w:lineRule="exact"/>
        <w:ind w:firstLine="642" w:firstLineChars="200"/>
        <w:jc w:val="both"/>
        <w:rPr>
          <w:rFonts w:hint="eastAsia" w:ascii="黑体" w:hAnsi="黑体" w:eastAsia="黑体" w:cs="黑体"/>
          <w:color w:val="333333"/>
          <w:sz w:val="32"/>
          <w:szCs w:val="32"/>
        </w:rPr>
      </w:pPr>
      <w:r>
        <w:rPr>
          <w:rFonts w:hint="eastAsia" w:ascii="黑体" w:hAnsi="黑体" w:eastAsia="黑体" w:cs="黑体"/>
          <w:b/>
          <w:color w:val="333333"/>
          <w:sz w:val="32"/>
          <w:szCs w:val="32"/>
          <w:shd w:val="clear" w:color="auto" w:fill="FFFFFF"/>
        </w:rPr>
        <w:t>一、总体情况</w:t>
      </w:r>
    </w:p>
    <w:p>
      <w:pPr>
        <w:pStyle w:val="4"/>
        <w:widowControl/>
        <w:spacing w:before="0" w:beforeAutospacing="0" w:after="0" w:afterAutospacing="0" w:line="630" w:lineRule="exact"/>
        <w:ind w:firstLine="640" w:firstLineChars="200"/>
        <w:rPr>
          <w:rFonts w:hint="eastAsia" w:ascii="仿宋_GB2312" w:hAnsi="仿宋_GB2312" w:eastAsia="仿宋_GB2312" w:cs="仿宋_GB2312"/>
          <w:color w:val="000000"/>
          <w:kern w:val="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000000"/>
          <w:kern w:val="2"/>
          <w:sz w:val="32"/>
          <w:szCs w:val="32"/>
          <w:lang w:val="en-US" w:eastAsia="zh-CN"/>
        </w:rPr>
        <w:t>2025年，县统计局紧紧围绕县委、县政府中心工作，立足统计职能，扎实做好统计信息与数据的发布和服务保障，稳步推进政府信息公开。按规定时限及时向社会公布统计信息、统计分析及统计公报，确保公开及时、内容准确。同时，持续强化财政资金信息公开工作，及时编制并公开年度财政预决算及“三公”经费使用情况，相关信息通过《曲沃县人民政府网站》信息公开专栏集中发布，主动接受社会监督，积极回应群众关切。。</w:t>
      </w:r>
    </w:p>
    <w:p>
      <w:pPr>
        <w:pStyle w:val="4"/>
        <w:widowControl/>
        <w:spacing w:before="0" w:beforeAutospacing="0" w:after="0" w:afterAutospacing="0" w:line="630" w:lineRule="exact"/>
        <w:ind w:firstLine="640" w:firstLineChars="200"/>
        <w:rPr>
          <w:rFonts w:hint="eastAsia" w:ascii="楷体" w:hAnsi="楷体" w:eastAsia="楷体" w:cs="楷体"/>
          <w:color w:val="000000"/>
          <w:kern w:val="2"/>
          <w:sz w:val="32"/>
          <w:szCs w:val="32"/>
        </w:rPr>
      </w:pPr>
      <w:r>
        <w:rPr>
          <w:rFonts w:hint="eastAsia" w:ascii="楷体" w:hAnsi="楷体" w:eastAsia="楷体" w:cs="楷体"/>
          <w:color w:val="000000"/>
          <w:kern w:val="2"/>
          <w:sz w:val="32"/>
          <w:szCs w:val="32"/>
        </w:rPr>
        <w:t>（一）主动公开情况</w:t>
      </w:r>
    </w:p>
    <w:p>
      <w:pPr>
        <w:pStyle w:val="4"/>
        <w:widowControl/>
        <w:spacing w:before="0" w:beforeAutospacing="0" w:after="0" w:afterAutospacing="0" w:line="630" w:lineRule="exact"/>
        <w:ind w:firstLine="640" w:firstLineChars="200"/>
        <w:rPr>
          <w:rFonts w:hint="eastAsia" w:ascii="仿宋_GB2312" w:hAnsi="仿宋_GB2312" w:eastAsia="仿宋_GB2312" w:cs="仿宋_GB2312"/>
          <w:color w:val="000000"/>
          <w:kern w:val="2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kern w:val="2"/>
          <w:sz w:val="32"/>
          <w:szCs w:val="32"/>
          <w:lang w:eastAsia="zh-CN"/>
        </w:rPr>
        <w:t>202</w:t>
      </w:r>
      <w:r>
        <w:rPr>
          <w:rFonts w:hint="eastAsia" w:ascii="仿宋_GB2312" w:hAnsi="仿宋_GB2312" w:eastAsia="仿宋_GB2312" w:cs="仿宋_GB2312"/>
          <w:color w:val="000000"/>
          <w:kern w:val="2"/>
          <w:sz w:val="32"/>
          <w:szCs w:val="32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  <w:color w:val="000000"/>
          <w:kern w:val="2"/>
          <w:sz w:val="32"/>
          <w:szCs w:val="32"/>
        </w:rPr>
        <w:t>年度，我局主动公开政府信息共</w:t>
      </w:r>
      <w:r>
        <w:rPr>
          <w:rFonts w:hint="eastAsia" w:ascii="仿宋_GB2312" w:hAnsi="仿宋_GB2312" w:eastAsia="仿宋_GB2312" w:cs="仿宋_GB2312"/>
          <w:color w:val="000000"/>
          <w:kern w:val="2"/>
          <w:sz w:val="32"/>
          <w:szCs w:val="32"/>
          <w:lang w:val="en-US" w:eastAsia="zh-CN"/>
        </w:rPr>
        <w:t>20</w:t>
      </w:r>
      <w:r>
        <w:rPr>
          <w:rFonts w:hint="eastAsia" w:ascii="仿宋_GB2312" w:hAnsi="仿宋_GB2312" w:eastAsia="仿宋_GB2312" w:cs="仿宋_GB2312"/>
          <w:color w:val="000000"/>
          <w:kern w:val="2"/>
          <w:sz w:val="32"/>
          <w:szCs w:val="32"/>
        </w:rPr>
        <w:t>条，均按照规定的时间及时上网发布。发生针对</w:t>
      </w:r>
      <w:r>
        <w:rPr>
          <w:rFonts w:hint="eastAsia" w:ascii="仿宋_GB2312" w:hAnsi="仿宋_GB2312" w:eastAsia="仿宋_GB2312" w:cs="仿宋_GB2312"/>
          <w:color w:val="000000"/>
          <w:kern w:val="2"/>
          <w:sz w:val="32"/>
          <w:szCs w:val="32"/>
          <w:lang w:eastAsia="zh-CN"/>
        </w:rPr>
        <w:t>我</w:t>
      </w:r>
      <w:r>
        <w:rPr>
          <w:rFonts w:hint="eastAsia" w:ascii="仿宋_GB2312" w:hAnsi="仿宋_GB2312" w:eastAsia="仿宋_GB2312" w:cs="仿宋_GB2312"/>
          <w:color w:val="000000"/>
          <w:kern w:val="2"/>
          <w:sz w:val="32"/>
          <w:szCs w:val="32"/>
        </w:rPr>
        <w:t>单位有关政府信息公开事务的行政复议案0件。</w:t>
      </w:r>
    </w:p>
    <w:p>
      <w:pPr>
        <w:pStyle w:val="4"/>
        <w:widowControl/>
        <w:spacing w:before="0" w:beforeAutospacing="0" w:after="0" w:afterAutospacing="0" w:line="630" w:lineRule="exact"/>
        <w:ind w:firstLine="640" w:firstLineChars="200"/>
        <w:rPr>
          <w:rFonts w:hint="eastAsia" w:ascii="楷体" w:hAnsi="楷体" w:eastAsia="楷体" w:cs="楷体"/>
          <w:color w:val="000000"/>
          <w:kern w:val="2"/>
          <w:sz w:val="32"/>
          <w:szCs w:val="32"/>
        </w:rPr>
      </w:pPr>
      <w:r>
        <w:rPr>
          <w:rFonts w:hint="eastAsia" w:ascii="楷体" w:hAnsi="楷体" w:eastAsia="楷体" w:cs="楷体"/>
          <w:color w:val="000000"/>
          <w:kern w:val="2"/>
          <w:sz w:val="32"/>
          <w:szCs w:val="32"/>
        </w:rPr>
        <w:t>（二）依申请公开情况</w:t>
      </w:r>
    </w:p>
    <w:p>
      <w:pPr>
        <w:pStyle w:val="4"/>
        <w:widowControl/>
        <w:spacing w:before="0" w:beforeAutospacing="0" w:after="0" w:afterAutospacing="0" w:line="630" w:lineRule="exact"/>
        <w:ind w:firstLine="640" w:firstLineChars="200"/>
        <w:rPr>
          <w:rFonts w:hint="eastAsia" w:ascii="仿宋_GB2312" w:hAnsi="仿宋_GB2312" w:eastAsia="仿宋_GB2312" w:cs="仿宋_GB2312"/>
          <w:color w:val="000000"/>
          <w:kern w:val="2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kern w:val="2"/>
          <w:sz w:val="32"/>
          <w:szCs w:val="32"/>
        </w:rPr>
        <w:t>对依申请公开信息，明确了公开范围、受理机构和申请处理程序。通过电话、当面申请等方式收取公民、法人或者其他组织提出的申请，根据《条例》规定，能够当场答复的，当场给予答复；对部分涉及保密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color w:val="000000"/>
          <w:kern w:val="2"/>
          <w:sz w:val="32"/>
          <w:szCs w:val="32"/>
        </w:rPr>
        <w:t>或者不宜公开的信息，则做好解释说明工作。截至</w:t>
      </w:r>
      <w:r>
        <w:rPr>
          <w:rFonts w:hint="eastAsia" w:ascii="仿宋_GB2312" w:hAnsi="仿宋_GB2312" w:eastAsia="仿宋_GB2312" w:cs="仿宋_GB2312"/>
          <w:color w:val="000000"/>
          <w:kern w:val="2"/>
          <w:sz w:val="32"/>
          <w:szCs w:val="32"/>
          <w:lang w:eastAsia="zh-CN"/>
        </w:rPr>
        <w:t>202</w:t>
      </w:r>
      <w:r>
        <w:rPr>
          <w:rFonts w:hint="eastAsia" w:ascii="仿宋_GB2312" w:hAnsi="仿宋_GB2312" w:eastAsia="仿宋_GB2312" w:cs="仿宋_GB2312"/>
          <w:color w:val="000000"/>
          <w:kern w:val="2"/>
          <w:sz w:val="32"/>
          <w:szCs w:val="32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  <w:color w:val="000000"/>
          <w:kern w:val="2"/>
          <w:sz w:val="32"/>
          <w:szCs w:val="32"/>
        </w:rPr>
        <w:t>年12月31日，我局</w:t>
      </w:r>
      <w:r>
        <w:rPr>
          <w:rFonts w:hint="eastAsia" w:ascii="仿宋_GB2312" w:hAnsi="仿宋_GB2312" w:eastAsia="仿宋_GB2312" w:cs="仿宋_GB2312"/>
          <w:color w:val="000000"/>
          <w:kern w:val="2"/>
          <w:sz w:val="32"/>
          <w:szCs w:val="32"/>
          <w:lang w:eastAsia="zh-CN"/>
        </w:rPr>
        <w:t>未</w:t>
      </w:r>
      <w:r>
        <w:rPr>
          <w:rFonts w:hint="eastAsia" w:ascii="仿宋_GB2312" w:hAnsi="仿宋_GB2312" w:eastAsia="仿宋_GB2312" w:cs="仿宋_GB2312"/>
          <w:color w:val="000000"/>
          <w:kern w:val="2"/>
          <w:sz w:val="32"/>
          <w:szCs w:val="32"/>
        </w:rPr>
        <w:t>收到政府信息公开申请。</w:t>
      </w:r>
    </w:p>
    <w:p>
      <w:pPr>
        <w:pStyle w:val="4"/>
        <w:widowControl/>
        <w:spacing w:before="0" w:beforeAutospacing="0" w:after="0" w:afterAutospacing="0" w:line="630" w:lineRule="exact"/>
        <w:ind w:firstLine="640" w:firstLineChars="200"/>
        <w:rPr>
          <w:rFonts w:hint="eastAsia" w:ascii="楷体" w:hAnsi="楷体" w:eastAsia="楷体" w:cs="楷体"/>
          <w:color w:val="000000"/>
          <w:kern w:val="2"/>
          <w:sz w:val="32"/>
          <w:szCs w:val="32"/>
        </w:rPr>
      </w:pPr>
      <w:r>
        <w:rPr>
          <w:rFonts w:hint="eastAsia" w:ascii="楷体" w:hAnsi="楷体" w:eastAsia="楷体" w:cs="楷体"/>
          <w:color w:val="000000"/>
          <w:kern w:val="2"/>
          <w:sz w:val="32"/>
          <w:szCs w:val="32"/>
        </w:rPr>
        <w:t>（三）政府信息管理方面</w:t>
      </w:r>
    </w:p>
    <w:p>
      <w:pPr>
        <w:pStyle w:val="4"/>
        <w:widowControl/>
        <w:spacing w:before="0" w:beforeAutospacing="0" w:after="0" w:afterAutospacing="0" w:line="630" w:lineRule="exact"/>
        <w:ind w:firstLine="640" w:firstLineChars="200"/>
        <w:rPr>
          <w:rFonts w:hint="eastAsia" w:ascii="仿宋_GB2312" w:hAnsi="仿宋_GB2312" w:eastAsia="仿宋_GB2312" w:cs="仿宋_GB2312"/>
          <w:color w:val="000000"/>
          <w:kern w:val="2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kern w:val="2"/>
          <w:sz w:val="32"/>
          <w:szCs w:val="32"/>
        </w:rPr>
        <w:t>严格按照政务公开和政府信息公开要求，我局及时发布《曲沃县国民经济和社会发展统计公报》，定期编印《县情概览》，按月公布《县域经济监测》及相关统计信息、分析等，确保为县委、县政府提供及时准确的统计资料，切实满足党政领导、机关部门和社会各界对统计数据的需求。</w:t>
      </w:r>
    </w:p>
    <w:p>
      <w:pPr>
        <w:pStyle w:val="4"/>
        <w:widowControl/>
        <w:spacing w:before="0" w:beforeAutospacing="0" w:after="0" w:afterAutospacing="0" w:line="630" w:lineRule="exact"/>
        <w:ind w:firstLine="640" w:firstLineChars="200"/>
        <w:rPr>
          <w:rFonts w:hint="eastAsia" w:ascii="楷体" w:hAnsi="楷体" w:eastAsia="楷体" w:cs="楷体"/>
          <w:color w:val="000000"/>
          <w:kern w:val="2"/>
          <w:sz w:val="32"/>
          <w:szCs w:val="32"/>
        </w:rPr>
      </w:pPr>
      <w:r>
        <w:rPr>
          <w:rFonts w:hint="eastAsia" w:ascii="楷体" w:hAnsi="楷体" w:eastAsia="楷体" w:cs="楷体"/>
          <w:color w:val="000000"/>
          <w:kern w:val="2"/>
          <w:sz w:val="32"/>
          <w:szCs w:val="32"/>
        </w:rPr>
        <w:t>（四）平台建设方面</w:t>
      </w:r>
    </w:p>
    <w:p>
      <w:pPr>
        <w:pStyle w:val="4"/>
        <w:widowControl/>
        <w:spacing w:before="0" w:beforeAutospacing="0" w:after="0" w:afterAutospacing="0" w:line="630" w:lineRule="exact"/>
        <w:ind w:firstLine="640" w:firstLineChars="200"/>
        <w:rPr>
          <w:rFonts w:hint="eastAsia" w:ascii="仿宋_GB2312" w:hAnsi="仿宋_GB2312" w:eastAsia="仿宋_GB2312" w:cs="仿宋_GB2312"/>
          <w:color w:val="000000"/>
          <w:kern w:val="2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kern w:val="2"/>
          <w:sz w:val="32"/>
          <w:szCs w:val="32"/>
        </w:rPr>
        <w:t>及时维护单位信息公开目录以及公共数据栏目中的统计数据信息。</w:t>
      </w:r>
    </w:p>
    <w:p>
      <w:pPr>
        <w:pStyle w:val="4"/>
        <w:widowControl/>
        <w:spacing w:before="0" w:beforeAutospacing="0" w:after="0" w:afterAutospacing="0" w:line="630" w:lineRule="exact"/>
        <w:ind w:firstLine="640" w:firstLineChars="200"/>
        <w:rPr>
          <w:rFonts w:hint="eastAsia" w:ascii="楷体" w:hAnsi="楷体" w:eastAsia="楷体" w:cs="楷体"/>
          <w:color w:val="000000"/>
          <w:kern w:val="2"/>
          <w:sz w:val="32"/>
          <w:szCs w:val="32"/>
        </w:rPr>
      </w:pPr>
      <w:r>
        <w:rPr>
          <w:rFonts w:hint="eastAsia" w:ascii="楷体" w:hAnsi="楷体" w:eastAsia="楷体" w:cs="楷体"/>
          <w:color w:val="000000"/>
          <w:kern w:val="2"/>
          <w:sz w:val="32"/>
          <w:szCs w:val="32"/>
        </w:rPr>
        <w:t>（五）监督保障方面</w:t>
      </w:r>
    </w:p>
    <w:p>
      <w:pPr>
        <w:pStyle w:val="4"/>
        <w:widowControl/>
        <w:spacing w:before="0" w:beforeAutospacing="0" w:after="0" w:afterAutospacing="0" w:line="630" w:lineRule="exact"/>
        <w:ind w:firstLine="640" w:firstLineChars="200"/>
        <w:jc w:val="both"/>
        <w:rPr>
          <w:rFonts w:hint="eastAsia"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kern w:val="2"/>
          <w:sz w:val="32"/>
          <w:szCs w:val="32"/>
        </w:rPr>
        <w:t>成立</w:t>
      </w:r>
      <w:r>
        <w:rPr>
          <w:rFonts w:hint="eastAsia" w:ascii="仿宋_GB2312" w:hAnsi="仿宋_GB2312" w:eastAsia="仿宋_GB2312" w:cs="仿宋_GB2312"/>
          <w:color w:val="000000"/>
          <w:kern w:val="2"/>
          <w:sz w:val="32"/>
          <w:szCs w:val="32"/>
          <w:lang w:eastAsia="zh-CN"/>
        </w:rPr>
        <w:t>“统计局</w:t>
      </w:r>
      <w:r>
        <w:rPr>
          <w:rFonts w:hint="eastAsia" w:ascii="仿宋_GB2312" w:hAnsi="仿宋_GB2312" w:eastAsia="仿宋_GB2312" w:cs="仿宋_GB2312"/>
          <w:color w:val="000000"/>
          <w:kern w:val="2"/>
          <w:sz w:val="32"/>
          <w:szCs w:val="32"/>
        </w:rPr>
        <w:t>政务公开领导小组</w:t>
      </w:r>
      <w:r>
        <w:rPr>
          <w:rFonts w:hint="eastAsia" w:ascii="仿宋_GB2312" w:hAnsi="仿宋_GB2312" w:eastAsia="仿宋_GB2312" w:cs="仿宋_GB2312"/>
          <w:color w:val="000000"/>
          <w:kern w:val="2"/>
          <w:sz w:val="32"/>
          <w:szCs w:val="32"/>
          <w:lang w:eastAsia="zh-CN"/>
        </w:rPr>
        <w:t>”</w:t>
      </w:r>
      <w:r>
        <w:rPr>
          <w:rFonts w:hint="eastAsia" w:ascii="仿宋_GB2312" w:hAnsi="仿宋_GB2312" w:eastAsia="仿宋_GB2312" w:cs="仿宋_GB2312"/>
          <w:color w:val="000000"/>
          <w:kern w:val="2"/>
          <w:sz w:val="32"/>
          <w:szCs w:val="32"/>
        </w:rPr>
        <w:t>，领导小组下设办公室，负责统计局政务公开工作，明确专门负责人具体负责收集、整理、上传信息，实行由</w:t>
      </w:r>
      <w:r>
        <w:rPr>
          <w:rFonts w:hint="eastAsia" w:ascii="仿宋_GB2312" w:hAnsi="仿宋_GB2312" w:eastAsia="仿宋_GB2312" w:cs="仿宋_GB2312"/>
          <w:color w:val="000000"/>
          <w:kern w:val="2"/>
          <w:sz w:val="32"/>
          <w:szCs w:val="32"/>
          <w:lang w:eastAsia="zh-CN"/>
        </w:rPr>
        <w:t>局长</w:t>
      </w:r>
      <w:r>
        <w:rPr>
          <w:rFonts w:hint="eastAsia" w:ascii="仿宋_GB2312" w:hAnsi="仿宋_GB2312" w:eastAsia="仿宋_GB2312" w:cs="仿宋_GB2312"/>
          <w:color w:val="000000"/>
          <w:kern w:val="2"/>
          <w:sz w:val="32"/>
          <w:szCs w:val="32"/>
        </w:rPr>
        <w:t>负总责，分管领导直接负责，办公室统一协调管理的工作运行机制，形成了齐抓共管的工作格局。</w:t>
      </w:r>
    </w:p>
    <w:p>
      <w:pPr>
        <w:pStyle w:val="4"/>
        <w:widowControl/>
        <w:shd w:val="clear" w:color="auto" w:fill="FFFFFF"/>
        <w:spacing w:before="0" w:beforeAutospacing="0" w:after="0" w:afterAutospacing="0" w:line="540" w:lineRule="exact"/>
        <w:jc w:val="both"/>
        <w:rPr>
          <w:rFonts w:hint="eastAsia" w:ascii="黑体" w:hAnsi="黑体" w:eastAsia="黑体" w:cs="黑体"/>
          <w:color w:val="333333"/>
          <w:sz w:val="32"/>
          <w:szCs w:val="32"/>
        </w:rPr>
      </w:pPr>
      <w:r>
        <w:rPr>
          <w:rFonts w:hint="eastAsia" w:ascii="黑体" w:hAnsi="黑体" w:eastAsia="黑体" w:cs="黑体"/>
          <w:b/>
          <w:color w:val="333333"/>
          <w:sz w:val="32"/>
          <w:szCs w:val="32"/>
          <w:shd w:val="clear" w:color="auto" w:fill="FFFFFF"/>
        </w:rPr>
        <w:t>二、主动公开政府信息情况</w:t>
      </w:r>
    </w:p>
    <w:tbl>
      <w:tblPr>
        <w:tblStyle w:val="5"/>
        <w:tblW w:w="9740" w:type="dxa"/>
        <w:jc w:val="cente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435"/>
        <w:gridCol w:w="2435"/>
        <w:gridCol w:w="2435"/>
        <w:gridCol w:w="2435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9740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C6D9F1"/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center"/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第二十条第（一）项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243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center"/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信息内容</w:t>
            </w:r>
          </w:p>
        </w:tc>
        <w:tc>
          <w:tcPr>
            <w:tcW w:w="2435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center"/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本年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制发件数</w:t>
            </w:r>
          </w:p>
        </w:tc>
        <w:tc>
          <w:tcPr>
            <w:tcW w:w="2435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center"/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本年废止件数</w:t>
            </w:r>
          </w:p>
        </w:tc>
        <w:tc>
          <w:tcPr>
            <w:tcW w:w="2435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center"/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现行有效件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数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243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left"/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规章</w:t>
            </w:r>
          </w:p>
        </w:tc>
        <w:tc>
          <w:tcPr>
            <w:tcW w:w="24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center"/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24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center"/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24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center"/>
            </w:pPr>
            <w:r>
              <w:rPr>
                <w:rFonts w:hint="eastAsia" w:cs="Calibri"/>
                <w:kern w:val="0"/>
                <w:szCs w:val="21"/>
              </w:rPr>
              <w:t>0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243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left"/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行政规范性文件</w:t>
            </w:r>
          </w:p>
        </w:tc>
        <w:tc>
          <w:tcPr>
            <w:tcW w:w="24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center"/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24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center"/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24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center"/>
            </w:pPr>
            <w:r>
              <w:rPr>
                <w:rFonts w:hint="eastAsia" w:cs="Calibri"/>
                <w:kern w:val="0"/>
                <w:szCs w:val="21"/>
              </w:rPr>
              <w:t>0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9740" w:type="dxa"/>
            <w:gridSpan w:val="4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C6D9F1"/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center"/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第二十条第（五）项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243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center"/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信息内容</w:t>
            </w:r>
          </w:p>
        </w:tc>
        <w:tc>
          <w:tcPr>
            <w:tcW w:w="7305" w:type="dxa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center"/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本年处理决定数量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243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left"/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行政许可</w:t>
            </w:r>
          </w:p>
        </w:tc>
        <w:tc>
          <w:tcPr>
            <w:tcW w:w="7305" w:type="dxa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hint="eastAsia" w:eastAsia="宋体"/>
                <w:lang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val="en-US" w:eastAsia="zh-CN"/>
              </w:rPr>
              <w:t>0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9740" w:type="dxa"/>
            <w:gridSpan w:val="4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C6D9F1"/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center"/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第二十条第（六）项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243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center"/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信息内容</w:t>
            </w:r>
          </w:p>
        </w:tc>
        <w:tc>
          <w:tcPr>
            <w:tcW w:w="7305" w:type="dxa"/>
            <w:gridSpan w:val="3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center"/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本年处理决定数量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243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left"/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行政处罚</w:t>
            </w:r>
          </w:p>
        </w:tc>
        <w:tc>
          <w:tcPr>
            <w:tcW w:w="7305" w:type="dxa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hint="eastAsia" w:eastAsia="宋体"/>
                <w:lang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val="en-US" w:eastAsia="zh-CN"/>
              </w:rPr>
              <w:t>0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243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left"/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行政强制</w:t>
            </w:r>
          </w:p>
        </w:tc>
        <w:tc>
          <w:tcPr>
            <w:tcW w:w="7305" w:type="dxa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center"/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0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9740" w:type="dxa"/>
            <w:gridSpan w:val="4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C6D9F1"/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center"/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第二十条第（八）项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243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center"/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信息内容</w:t>
            </w:r>
          </w:p>
        </w:tc>
        <w:tc>
          <w:tcPr>
            <w:tcW w:w="7305" w:type="dxa"/>
            <w:gridSpan w:val="3"/>
            <w:tcBorders>
              <w:top w:val="nil"/>
              <w:left w:val="nil"/>
              <w:bottom w:val="single" w:color="auto" w:sz="8" w:space="0"/>
              <w:right w:val="single" w:color="000000" w:sz="8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center"/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本年收费金额（单位：万元）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243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left"/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行政事业性收费</w:t>
            </w:r>
          </w:p>
        </w:tc>
        <w:tc>
          <w:tcPr>
            <w:tcW w:w="7305" w:type="dxa"/>
            <w:gridSpan w:val="3"/>
            <w:tcBorders>
              <w:top w:val="nil"/>
              <w:left w:val="nil"/>
              <w:bottom w:val="single" w:color="auto" w:sz="8" w:space="0"/>
              <w:right w:val="single" w:color="000000" w:sz="8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jc w:val="center"/>
              <w:rPr>
                <w:rFonts w:ascii="宋体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0</w:t>
            </w:r>
          </w:p>
        </w:tc>
      </w:tr>
    </w:tbl>
    <w:p>
      <w:pPr>
        <w:pStyle w:val="4"/>
        <w:widowControl/>
        <w:shd w:val="clear" w:color="auto" w:fill="FFFFFF"/>
        <w:spacing w:before="0" w:beforeAutospacing="0" w:after="0" w:afterAutospacing="0"/>
        <w:jc w:val="both"/>
        <w:rPr>
          <w:rFonts w:hint="eastAsia" w:ascii="黑体" w:hAnsi="黑体" w:eastAsia="黑体" w:cs="黑体"/>
          <w:color w:val="333333"/>
          <w:sz w:val="32"/>
          <w:szCs w:val="32"/>
        </w:rPr>
      </w:pPr>
      <w:r>
        <w:rPr>
          <w:rFonts w:hint="eastAsia" w:ascii="黑体" w:hAnsi="黑体" w:eastAsia="黑体" w:cs="黑体"/>
          <w:b/>
          <w:color w:val="333333"/>
          <w:sz w:val="32"/>
          <w:szCs w:val="32"/>
          <w:shd w:val="clear" w:color="auto" w:fill="FFFFFF"/>
        </w:rPr>
        <w:t>三、收到和处理政府信息公开申请情况</w:t>
      </w:r>
    </w:p>
    <w:tbl>
      <w:tblPr>
        <w:tblStyle w:val="5"/>
        <w:tblW w:w="9748" w:type="dxa"/>
        <w:jc w:val="center"/>
        <w:tblBorders>
          <w:top w:val="none" w:color="auto" w:sz="6" w:space="0"/>
          <w:left w:val="none" w:color="auto" w:sz="6" w:space="0"/>
          <w:bottom w:val="none" w:color="auto" w:sz="6" w:space="0"/>
          <w:right w:val="none" w:color="auto" w:sz="6" w:space="0"/>
          <w:insideH w:val="outset" w:color="auto" w:sz="6" w:space="0"/>
          <w:insideV w:val="outset" w:color="auto" w:sz="6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768"/>
        <w:gridCol w:w="943"/>
        <w:gridCol w:w="3220"/>
        <w:gridCol w:w="688"/>
        <w:gridCol w:w="688"/>
        <w:gridCol w:w="688"/>
        <w:gridCol w:w="688"/>
        <w:gridCol w:w="688"/>
        <w:gridCol w:w="688"/>
        <w:gridCol w:w="689"/>
      </w:tblGrid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</w:tblPrEx>
        <w:trPr>
          <w:jc w:val="center"/>
        </w:trPr>
        <w:tc>
          <w:tcPr>
            <w:tcW w:w="5150" w:type="dxa"/>
            <w:gridSpan w:val="3"/>
            <w:vMerge w:val="restart"/>
            <w:tcBorders>
              <w:top w:val="single" w:color="auto" w:sz="8" w:space="0"/>
              <w:left w:val="single" w:color="auto" w:sz="8" w:space="0"/>
              <w:bottom w:val="outset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jc w:val="left"/>
            </w:pPr>
            <w:r>
              <w:rPr>
                <w:rFonts w:ascii="楷体" w:hAnsi="楷体" w:eastAsia="楷体" w:cs="楷体"/>
                <w:kern w:val="0"/>
                <w:sz w:val="20"/>
                <w:szCs w:val="20"/>
              </w:rPr>
              <w:t>（本列数据的勾稽关系为：第一项加第二项之和，等于第三项加第四项之和）</w:t>
            </w:r>
          </w:p>
        </w:tc>
        <w:tc>
          <w:tcPr>
            <w:tcW w:w="4998" w:type="dxa"/>
            <w:gridSpan w:val="7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center"/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申请人情况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5150" w:type="dxa"/>
            <w:gridSpan w:val="3"/>
            <w:vMerge w:val="continue"/>
            <w:tcBorders>
              <w:top w:val="single" w:color="auto" w:sz="8" w:space="0"/>
              <w:left w:val="single" w:color="auto" w:sz="8" w:space="0"/>
              <w:bottom w:val="outset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rPr>
                <w:rFonts w:ascii="宋体"/>
                <w:sz w:val="24"/>
              </w:rPr>
            </w:pPr>
          </w:p>
        </w:tc>
        <w:tc>
          <w:tcPr>
            <w:tcW w:w="714" w:type="dxa"/>
            <w:vMerge w:val="restar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center"/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自然人</w:t>
            </w:r>
          </w:p>
        </w:tc>
        <w:tc>
          <w:tcPr>
            <w:tcW w:w="3570" w:type="dxa"/>
            <w:gridSpan w:val="5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center"/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法人或其他组织</w:t>
            </w:r>
          </w:p>
        </w:tc>
        <w:tc>
          <w:tcPr>
            <w:tcW w:w="714" w:type="dxa"/>
            <w:vMerge w:val="restart"/>
            <w:tcBorders>
              <w:top w:val="single" w:color="auto" w:sz="8" w:space="0"/>
              <w:left w:val="nil"/>
              <w:bottom w:val="outset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center"/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总计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5150" w:type="dxa"/>
            <w:gridSpan w:val="3"/>
            <w:vMerge w:val="continue"/>
            <w:tcBorders>
              <w:top w:val="single" w:color="auto" w:sz="8" w:space="0"/>
              <w:left w:val="single" w:color="auto" w:sz="8" w:space="0"/>
              <w:bottom w:val="outset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rPr>
                <w:rFonts w:ascii="宋体"/>
                <w:sz w:val="24"/>
              </w:rPr>
            </w:pPr>
          </w:p>
        </w:tc>
        <w:tc>
          <w:tcPr>
            <w:tcW w:w="714" w:type="dxa"/>
            <w:vMerge w:val="continue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ascii="宋体"/>
                <w:sz w:val="24"/>
              </w:rPr>
            </w:pP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center"/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商业</w:t>
            </w:r>
          </w:p>
          <w:p>
            <w:pPr>
              <w:widowControl/>
              <w:jc w:val="center"/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企业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center"/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科研</w:t>
            </w:r>
          </w:p>
          <w:p>
            <w:pPr>
              <w:widowControl/>
              <w:jc w:val="center"/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机构</w:t>
            </w:r>
          </w:p>
        </w:tc>
        <w:tc>
          <w:tcPr>
            <w:tcW w:w="714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center"/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社会公益组织</w:t>
            </w:r>
          </w:p>
        </w:tc>
        <w:tc>
          <w:tcPr>
            <w:tcW w:w="714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center"/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法律服务机构</w:t>
            </w:r>
          </w:p>
        </w:tc>
        <w:tc>
          <w:tcPr>
            <w:tcW w:w="714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center"/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其他</w:t>
            </w:r>
          </w:p>
        </w:tc>
        <w:tc>
          <w:tcPr>
            <w:tcW w:w="714" w:type="dxa"/>
            <w:vMerge w:val="continue"/>
            <w:tcBorders>
              <w:top w:val="single" w:color="auto" w:sz="8" w:space="0"/>
              <w:left w:val="nil"/>
              <w:bottom w:val="outset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ascii="宋体"/>
                <w:sz w:val="24"/>
              </w:rPr>
            </w:pP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5150" w:type="dxa"/>
            <w:gridSpan w:val="3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left"/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一、本年新收政府信息公开申请数量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</w:tcPr>
          <w:p>
            <w:pPr>
              <w:jc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5150" w:type="dxa"/>
            <w:gridSpan w:val="3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left"/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二、上年结转政府信息公开申请数量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</w:tcPr>
          <w:p>
            <w:pPr>
              <w:jc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85" w:type="dxa"/>
            <w:vMerge w:val="restart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left"/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三、本年度办理结果</w:t>
            </w:r>
          </w:p>
        </w:tc>
        <w:tc>
          <w:tcPr>
            <w:tcW w:w="4365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left"/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（一）予以公开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714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</w:tcPr>
          <w:p>
            <w:pPr>
              <w:jc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8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ascii="宋体"/>
                <w:sz w:val="24"/>
              </w:rPr>
            </w:pPr>
          </w:p>
        </w:tc>
        <w:tc>
          <w:tcPr>
            <w:tcW w:w="4365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left"/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（二）部分公开</w:t>
            </w:r>
            <w:r>
              <w:rPr>
                <w:rFonts w:hint="eastAsia" w:ascii="楷体" w:hAnsi="楷体" w:eastAsia="楷体" w:cs="楷体"/>
                <w:kern w:val="0"/>
                <w:sz w:val="20"/>
                <w:szCs w:val="20"/>
              </w:rPr>
              <w:t>（区分处理的，只计这一情形，不计其他情形）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val="en-US" w:eastAsia="zh-CN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8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ascii="宋体"/>
                <w:sz w:val="24"/>
              </w:rPr>
            </w:pPr>
          </w:p>
        </w:tc>
        <w:tc>
          <w:tcPr>
            <w:tcW w:w="959" w:type="dxa"/>
            <w:vMerge w:val="restart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left"/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（三）不予公开</w:t>
            </w:r>
          </w:p>
        </w:tc>
        <w:tc>
          <w:tcPr>
            <w:tcW w:w="340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</w:tcPr>
          <w:p>
            <w:pPr>
              <w:widowControl/>
              <w:jc w:val="left"/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1.属于国家秘密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</w:tcPr>
          <w:p>
            <w:pPr>
              <w:jc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</w:tcPr>
          <w:p>
            <w:pPr>
              <w:jc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</w:tcPr>
          <w:p>
            <w:pPr>
              <w:jc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</w:tcPr>
          <w:p>
            <w:pPr>
              <w:jc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</w:tcPr>
          <w:p>
            <w:pPr>
              <w:jc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</w:tcPr>
          <w:p>
            <w:pPr>
              <w:jc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714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</w:tcPr>
          <w:p>
            <w:pPr>
              <w:jc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8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ascii="宋体"/>
                <w:sz w:val="24"/>
              </w:rPr>
            </w:pPr>
          </w:p>
        </w:tc>
        <w:tc>
          <w:tcPr>
            <w:tcW w:w="959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ascii="宋体"/>
                <w:sz w:val="24"/>
              </w:rPr>
            </w:pPr>
          </w:p>
        </w:tc>
        <w:tc>
          <w:tcPr>
            <w:tcW w:w="340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</w:tcPr>
          <w:p>
            <w:pPr>
              <w:widowControl/>
              <w:jc w:val="left"/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2.其他法律行政法规禁止公开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</w:tcPr>
          <w:p>
            <w:pPr>
              <w:jc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</w:tcPr>
          <w:p>
            <w:pPr>
              <w:jc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</w:tcPr>
          <w:p>
            <w:pPr>
              <w:jc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</w:tcPr>
          <w:p>
            <w:pPr>
              <w:jc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</w:tcPr>
          <w:p>
            <w:pPr>
              <w:jc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</w:tcPr>
          <w:p>
            <w:pPr>
              <w:jc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</w:tcPr>
          <w:p>
            <w:pPr>
              <w:jc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8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ascii="宋体"/>
                <w:sz w:val="24"/>
              </w:rPr>
            </w:pPr>
          </w:p>
        </w:tc>
        <w:tc>
          <w:tcPr>
            <w:tcW w:w="959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ascii="宋体"/>
                <w:sz w:val="24"/>
              </w:rPr>
            </w:pPr>
          </w:p>
        </w:tc>
        <w:tc>
          <w:tcPr>
            <w:tcW w:w="340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</w:tcPr>
          <w:p>
            <w:pPr>
              <w:widowControl/>
              <w:jc w:val="left"/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3.危及“三安全一稳定”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</w:tcPr>
          <w:p>
            <w:pPr>
              <w:jc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</w:tcPr>
          <w:p>
            <w:pPr>
              <w:jc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</w:tcPr>
          <w:p>
            <w:pPr>
              <w:jc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</w:tcPr>
          <w:p>
            <w:pPr>
              <w:jc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</w:tcPr>
          <w:p>
            <w:pPr>
              <w:jc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</w:tcPr>
          <w:p>
            <w:pPr>
              <w:jc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</w:tcPr>
          <w:p>
            <w:pPr>
              <w:jc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8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ascii="宋体"/>
                <w:sz w:val="24"/>
              </w:rPr>
            </w:pPr>
          </w:p>
        </w:tc>
        <w:tc>
          <w:tcPr>
            <w:tcW w:w="959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ascii="宋体"/>
                <w:sz w:val="24"/>
              </w:rPr>
            </w:pPr>
          </w:p>
        </w:tc>
        <w:tc>
          <w:tcPr>
            <w:tcW w:w="340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</w:tcPr>
          <w:p>
            <w:pPr>
              <w:widowControl/>
              <w:jc w:val="left"/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4.保护第三方合法权益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</w:tcPr>
          <w:p>
            <w:pPr>
              <w:jc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</w:tcPr>
          <w:p>
            <w:pPr>
              <w:jc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</w:tcPr>
          <w:p>
            <w:pPr>
              <w:jc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</w:tcPr>
          <w:p>
            <w:pPr>
              <w:jc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</w:tcPr>
          <w:p>
            <w:pPr>
              <w:jc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</w:tcPr>
          <w:p>
            <w:pPr>
              <w:jc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</w:tcPr>
          <w:p>
            <w:pPr>
              <w:jc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8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ascii="宋体"/>
                <w:sz w:val="24"/>
              </w:rPr>
            </w:pPr>
          </w:p>
        </w:tc>
        <w:tc>
          <w:tcPr>
            <w:tcW w:w="959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ascii="宋体"/>
                <w:sz w:val="24"/>
              </w:rPr>
            </w:pPr>
          </w:p>
        </w:tc>
        <w:tc>
          <w:tcPr>
            <w:tcW w:w="340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</w:tcPr>
          <w:p>
            <w:pPr>
              <w:widowControl/>
              <w:jc w:val="left"/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5.属于三类内部事务信息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</w:tcPr>
          <w:p>
            <w:pPr>
              <w:jc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</w:tcPr>
          <w:p>
            <w:pPr>
              <w:jc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</w:tcPr>
          <w:p>
            <w:pPr>
              <w:jc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</w:tcPr>
          <w:p>
            <w:pPr>
              <w:jc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</w:tcPr>
          <w:p>
            <w:pPr>
              <w:jc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</w:tcPr>
          <w:p>
            <w:pPr>
              <w:jc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</w:tcPr>
          <w:p>
            <w:pPr>
              <w:jc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8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ascii="宋体"/>
                <w:sz w:val="24"/>
              </w:rPr>
            </w:pPr>
          </w:p>
        </w:tc>
        <w:tc>
          <w:tcPr>
            <w:tcW w:w="959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ascii="宋体"/>
                <w:sz w:val="24"/>
              </w:rPr>
            </w:pPr>
          </w:p>
        </w:tc>
        <w:tc>
          <w:tcPr>
            <w:tcW w:w="340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</w:tcPr>
          <w:p>
            <w:pPr>
              <w:widowControl/>
              <w:jc w:val="left"/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6.属于四类过程性信息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</w:tcPr>
          <w:p>
            <w:pPr>
              <w:jc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</w:tcPr>
          <w:p>
            <w:pPr>
              <w:jc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</w:tcPr>
          <w:p>
            <w:pPr>
              <w:jc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</w:tcPr>
          <w:p>
            <w:pPr>
              <w:jc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</w:tcPr>
          <w:p>
            <w:pPr>
              <w:jc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</w:tcPr>
          <w:p>
            <w:pPr>
              <w:jc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</w:tcPr>
          <w:p>
            <w:pPr>
              <w:jc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8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ascii="宋体"/>
                <w:sz w:val="24"/>
              </w:rPr>
            </w:pPr>
          </w:p>
        </w:tc>
        <w:tc>
          <w:tcPr>
            <w:tcW w:w="959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ascii="宋体"/>
                <w:sz w:val="24"/>
              </w:rPr>
            </w:pPr>
          </w:p>
        </w:tc>
        <w:tc>
          <w:tcPr>
            <w:tcW w:w="340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</w:tcPr>
          <w:p>
            <w:pPr>
              <w:widowControl/>
              <w:jc w:val="left"/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7.属于行政执法案卷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</w:tcPr>
          <w:p>
            <w:pPr>
              <w:jc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</w:tcPr>
          <w:p>
            <w:pPr>
              <w:jc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</w:tcPr>
          <w:p>
            <w:pPr>
              <w:jc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</w:tcPr>
          <w:p>
            <w:pPr>
              <w:jc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</w:tcPr>
          <w:p>
            <w:pPr>
              <w:jc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</w:tcPr>
          <w:p>
            <w:pPr>
              <w:jc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</w:tcPr>
          <w:p>
            <w:pPr>
              <w:jc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8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ascii="宋体"/>
                <w:sz w:val="24"/>
              </w:rPr>
            </w:pPr>
          </w:p>
        </w:tc>
        <w:tc>
          <w:tcPr>
            <w:tcW w:w="959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ascii="宋体"/>
                <w:sz w:val="24"/>
              </w:rPr>
            </w:pPr>
          </w:p>
        </w:tc>
        <w:tc>
          <w:tcPr>
            <w:tcW w:w="340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</w:tcPr>
          <w:p>
            <w:pPr>
              <w:widowControl/>
              <w:jc w:val="left"/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8.属于行政查询事项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</w:tcPr>
          <w:p>
            <w:pPr>
              <w:jc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</w:tcPr>
          <w:p>
            <w:pPr>
              <w:jc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</w:tcPr>
          <w:p>
            <w:pPr>
              <w:jc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</w:tcPr>
          <w:p>
            <w:pPr>
              <w:jc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</w:tcPr>
          <w:p>
            <w:pPr>
              <w:jc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</w:tcPr>
          <w:p>
            <w:pPr>
              <w:jc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</w:tcPr>
          <w:p>
            <w:pPr>
              <w:jc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8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ascii="宋体"/>
                <w:sz w:val="24"/>
              </w:rPr>
            </w:pPr>
          </w:p>
        </w:tc>
        <w:tc>
          <w:tcPr>
            <w:tcW w:w="959" w:type="dxa"/>
            <w:vMerge w:val="restart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left"/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（四）无法提供</w:t>
            </w:r>
          </w:p>
        </w:tc>
        <w:tc>
          <w:tcPr>
            <w:tcW w:w="340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</w:tcPr>
          <w:p>
            <w:pPr>
              <w:widowControl/>
              <w:jc w:val="left"/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1.本机关不掌握相关政府信息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</w:tcPr>
          <w:p>
            <w:pPr>
              <w:jc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</w:tcPr>
          <w:p>
            <w:pPr>
              <w:jc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</w:tcPr>
          <w:p>
            <w:pPr>
              <w:jc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</w:tcPr>
          <w:p>
            <w:pPr>
              <w:jc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</w:tcPr>
          <w:p>
            <w:pPr>
              <w:jc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</w:tcPr>
          <w:p>
            <w:pPr>
              <w:jc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</w:tcPr>
          <w:p>
            <w:pPr>
              <w:jc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8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ascii="宋体"/>
                <w:sz w:val="24"/>
              </w:rPr>
            </w:pPr>
          </w:p>
        </w:tc>
        <w:tc>
          <w:tcPr>
            <w:tcW w:w="959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ascii="宋体"/>
                <w:sz w:val="24"/>
              </w:rPr>
            </w:pPr>
          </w:p>
        </w:tc>
        <w:tc>
          <w:tcPr>
            <w:tcW w:w="340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</w:tcPr>
          <w:p>
            <w:pPr>
              <w:widowControl/>
              <w:jc w:val="left"/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2.没有现成信息需要另行制作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</w:tcPr>
          <w:p>
            <w:pPr>
              <w:jc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</w:tcPr>
          <w:p>
            <w:pPr>
              <w:jc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</w:tcPr>
          <w:p>
            <w:pPr>
              <w:jc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</w:tcPr>
          <w:p>
            <w:pPr>
              <w:jc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</w:tcPr>
          <w:p>
            <w:pPr>
              <w:jc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</w:tcPr>
          <w:p>
            <w:pPr>
              <w:jc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</w:tcPr>
          <w:p>
            <w:pPr>
              <w:jc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8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ascii="宋体"/>
                <w:sz w:val="24"/>
              </w:rPr>
            </w:pPr>
          </w:p>
        </w:tc>
        <w:tc>
          <w:tcPr>
            <w:tcW w:w="959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ascii="宋体"/>
                <w:sz w:val="24"/>
              </w:rPr>
            </w:pPr>
          </w:p>
        </w:tc>
        <w:tc>
          <w:tcPr>
            <w:tcW w:w="340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</w:tcPr>
          <w:p>
            <w:pPr>
              <w:widowControl/>
              <w:jc w:val="left"/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3.补正后申请内容仍不明确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</w:tcPr>
          <w:p>
            <w:pPr>
              <w:jc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</w:tcPr>
          <w:p>
            <w:pPr>
              <w:jc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</w:tcPr>
          <w:p>
            <w:pPr>
              <w:jc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</w:tcPr>
          <w:p>
            <w:pPr>
              <w:jc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</w:tcPr>
          <w:p>
            <w:pPr>
              <w:jc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</w:tcPr>
          <w:p>
            <w:pPr>
              <w:jc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</w:tcPr>
          <w:p>
            <w:pPr>
              <w:jc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8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ascii="宋体"/>
                <w:sz w:val="24"/>
              </w:rPr>
            </w:pPr>
          </w:p>
        </w:tc>
        <w:tc>
          <w:tcPr>
            <w:tcW w:w="959" w:type="dxa"/>
            <w:vMerge w:val="restart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left"/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（五）不予处理</w:t>
            </w:r>
          </w:p>
        </w:tc>
        <w:tc>
          <w:tcPr>
            <w:tcW w:w="340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</w:tcPr>
          <w:p>
            <w:pPr>
              <w:widowControl/>
              <w:jc w:val="left"/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1.信访举报投诉类申请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</w:tcPr>
          <w:p>
            <w:pPr>
              <w:jc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</w:tcPr>
          <w:p>
            <w:pPr>
              <w:jc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</w:tcPr>
          <w:p>
            <w:pPr>
              <w:jc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</w:tcPr>
          <w:p>
            <w:pPr>
              <w:jc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</w:tcPr>
          <w:p>
            <w:pPr>
              <w:jc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</w:tcPr>
          <w:p>
            <w:pPr>
              <w:jc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</w:tcPr>
          <w:p>
            <w:pPr>
              <w:jc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8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ascii="宋体"/>
                <w:sz w:val="24"/>
              </w:rPr>
            </w:pPr>
          </w:p>
        </w:tc>
        <w:tc>
          <w:tcPr>
            <w:tcW w:w="959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ascii="宋体"/>
                <w:sz w:val="24"/>
              </w:rPr>
            </w:pPr>
          </w:p>
        </w:tc>
        <w:tc>
          <w:tcPr>
            <w:tcW w:w="340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</w:tcPr>
          <w:p>
            <w:pPr>
              <w:widowControl/>
              <w:jc w:val="left"/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2.重复申请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</w:tcPr>
          <w:p>
            <w:pPr>
              <w:jc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</w:tcPr>
          <w:p>
            <w:pPr>
              <w:jc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</w:tcPr>
          <w:p>
            <w:pPr>
              <w:jc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</w:tcPr>
          <w:p>
            <w:pPr>
              <w:jc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</w:tcPr>
          <w:p>
            <w:pPr>
              <w:jc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</w:tcPr>
          <w:p>
            <w:pPr>
              <w:jc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</w:tcPr>
          <w:p>
            <w:pPr>
              <w:jc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8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ascii="宋体"/>
                <w:sz w:val="24"/>
              </w:rPr>
            </w:pPr>
          </w:p>
        </w:tc>
        <w:tc>
          <w:tcPr>
            <w:tcW w:w="959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ascii="宋体"/>
                <w:sz w:val="24"/>
              </w:rPr>
            </w:pPr>
          </w:p>
        </w:tc>
        <w:tc>
          <w:tcPr>
            <w:tcW w:w="340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</w:tcPr>
          <w:p>
            <w:pPr>
              <w:widowControl/>
              <w:jc w:val="left"/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3.要求提供公开出版物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</w:tcPr>
          <w:p>
            <w:pPr>
              <w:jc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</w:tcPr>
          <w:p>
            <w:pPr>
              <w:jc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</w:tcPr>
          <w:p>
            <w:pPr>
              <w:jc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</w:tcPr>
          <w:p>
            <w:pPr>
              <w:jc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</w:tcPr>
          <w:p>
            <w:pPr>
              <w:jc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</w:tcPr>
          <w:p>
            <w:pPr>
              <w:jc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</w:tcPr>
          <w:p>
            <w:pPr>
              <w:jc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8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ascii="宋体"/>
                <w:sz w:val="24"/>
              </w:rPr>
            </w:pPr>
          </w:p>
        </w:tc>
        <w:tc>
          <w:tcPr>
            <w:tcW w:w="959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ascii="宋体"/>
                <w:sz w:val="24"/>
              </w:rPr>
            </w:pPr>
          </w:p>
        </w:tc>
        <w:tc>
          <w:tcPr>
            <w:tcW w:w="340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</w:tcPr>
          <w:p>
            <w:pPr>
              <w:widowControl/>
              <w:jc w:val="left"/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4.无正当理由大量反复申请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</w:tcPr>
          <w:p>
            <w:pPr>
              <w:jc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</w:tcPr>
          <w:p>
            <w:pPr>
              <w:jc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</w:tcPr>
          <w:p>
            <w:pPr>
              <w:jc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</w:tcPr>
          <w:p>
            <w:pPr>
              <w:jc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</w:tcPr>
          <w:p>
            <w:pPr>
              <w:jc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</w:tcPr>
          <w:p>
            <w:pPr>
              <w:jc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</w:tcPr>
          <w:p>
            <w:pPr>
              <w:jc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79" w:hRule="atLeast"/>
          <w:jc w:val="center"/>
        </w:trPr>
        <w:tc>
          <w:tcPr>
            <w:tcW w:w="78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ascii="宋体"/>
                <w:sz w:val="24"/>
              </w:rPr>
            </w:pPr>
          </w:p>
        </w:tc>
        <w:tc>
          <w:tcPr>
            <w:tcW w:w="959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ascii="宋体"/>
                <w:sz w:val="24"/>
              </w:rPr>
            </w:pPr>
          </w:p>
        </w:tc>
        <w:tc>
          <w:tcPr>
            <w:tcW w:w="3406" w:type="dxa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widowControl/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5.要求行政机关确认或重新出具已获取信息</w:t>
            </w:r>
          </w:p>
        </w:tc>
        <w:tc>
          <w:tcPr>
            <w:tcW w:w="714" w:type="dxa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8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ascii="宋体"/>
                <w:sz w:val="24"/>
              </w:rPr>
            </w:pPr>
          </w:p>
        </w:tc>
        <w:tc>
          <w:tcPr>
            <w:tcW w:w="959" w:type="dxa"/>
            <w:vMerge w:val="restart"/>
            <w:tcBorders>
              <w:top w:val="outset" w:color="auto" w:sz="8" w:space="0"/>
              <w:left w:val="nil"/>
              <w:bottom w:val="outset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left"/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（六）其他处理</w:t>
            </w:r>
          </w:p>
        </w:tc>
        <w:tc>
          <w:tcPr>
            <w:tcW w:w="340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widowControl/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1.申请人无正当理由逾期不补正、行政机关不再处理其政府信息公开申请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</w:tblPrEx>
        <w:trPr>
          <w:jc w:val="center"/>
        </w:trPr>
        <w:tc>
          <w:tcPr>
            <w:tcW w:w="78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ascii="宋体"/>
                <w:sz w:val="24"/>
              </w:rPr>
            </w:pPr>
          </w:p>
        </w:tc>
        <w:tc>
          <w:tcPr>
            <w:tcW w:w="959" w:type="dxa"/>
            <w:vMerge w:val="continue"/>
            <w:tcBorders>
              <w:top w:val="outset" w:color="auto" w:sz="8" w:space="0"/>
              <w:left w:val="nil"/>
              <w:bottom w:val="outset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ascii="宋体"/>
                <w:sz w:val="24"/>
              </w:rPr>
            </w:pPr>
          </w:p>
        </w:tc>
        <w:tc>
          <w:tcPr>
            <w:tcW w:w="340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widowControl/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2.申请人逾期未按收费通知要求缴纳费用、行政机关不再处理其政府信息公开申请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8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ascii="宋体"/>
                <w:sz w:val="24"/>
              </w:rPr>
            </w:pPr>
          </w:p>
        </w:tc>
        <w:tc>
          <w:tcPr>
            <w:tcW w:w="959" w:type="dxa"/>
            <w:vMerge w:val="continue"/>
            <w:tcBorders>
              <w:top w:val="outset" w:color="auto" w:sz="8" w:space="0"/>
              <w:left w:val="nil"/>
              <w:bottom w:val="outset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ascii="宋体"/>
                <w:sz w:val="24"/>
              </w:rPr>
            </w:pPr>
          </w:p>
        </w:tc>
        <w:tc>
          <w:tcPr>
            <w:tcW w:w="340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left"/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3.其他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</w:tcPr>
          <w:p>
            <w:pPr>
              <w:jc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8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ascii="宋体"/>
                <w:sz w:val="24"/>
              </w:rPr>
            </w:pPr>
          </w:p>
        </w:tc>
        <w:tc>
          <w:tcPr>
            <w:tcW w:w="4365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left"/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（七）总计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</w:tcPr>
          <w:p>
            <w:pPr>
              <w:jc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5150" w:type="dxa"/>
            <w:gridSpan w:val="3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left"/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四、结转下年度继续办理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</w:tcPr>
          <w:p>
            <w:pPr>
              <w:jc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0</w:t>
            </w:r>
          </w:p>
        </w:tc>
      </w:tr>
    </w:tbl>
    <w:p>
      <w:pPr>
        <w:widowControl/>
        <w:shd w:val="clear" w:color="auto" w:fill="FFFFFF"/>
        <w:rPr>
          <w:rFonts w:ascii="宋体" w:hAnsi="宋体" w:cs="宋体"/>
          <w:color w:val="333333"/>
          <w:sz w:val="24"/>
        </w:rPr>
      </w:pPr>
    </w:p>
    <w:p>
      <w:pPr>
        <w:pStyle w:val="4"/>
        <w:widowControl/>
        <w:shd w:val="clear" w:color="auto" w:fill="FFFFFF"/>
        <w:spacing w:before="0" w:beforeAutospacing="0" w:after="0" w:afterAutospacing="0"/>
        <w:ind w:firstLine="420"/>
        <w:jc w:val="both"/>
        <w:rPr>
          <w:rFonts w:hint="eastAsia" w:ascii="黑体" w:hAnsi="黑体" w:eastAsia="黑体" w:cs="黑体"/>
          <w:color w:val="333333"/>
          <w:sz w:val="32"/>
          <w:szCs w:val="32"/>
        </w:rPr>
      </w:pPr>
      <w:r>
        <w:rPr>
          <w:rFonts w:hint="eastAsia" w:ascii="黑体" w:hAnsi="黑体" w:eastAsia="黑体" w:cs="黑体"/>
          <w:b/>
          <w:color w:val="333333"/>
          <w:sz w:val="32"/>
          <w:szCs w:val="32"/>
          <w:shd w:val="clear" w:color="auto" w:fill="FFFFFF"/>
        </w:rPr>
        <w:t>四、政府信息公开行政复议、行政诉讼情况</w:t>
      </w:r>
    </w:p>
    <w:tbl>
      <w:tblPr>
        <w:tblStyle w:val="5"/>
        <w:tblW w:w="9748" w:type="dxa"/>
        <w:jc w:val="center"/>
        <w:tblBorders>
          <w:top w:val="none" w:color="auto" w:sz="6" w:space="0"/>
          <w:left w:val="none" w:color="auto" w:sz="6" w:space="0"/>
          <w:bottom w:val="none" w:color="auto" w:sz="6" w:space="0"/>
          <w:right w:val="none" w:color="auto" w:sz="6" w:space="0"/>
          <w:insideH w:val="outset" w:color="auto" w:sz="6" w:space="0"/>
          <w:insideV w:val="outset" w:color="auto" w:sz="6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649"/>
        <w:gridCol w:w="649"/>
        <w:gridCol w:w="649"/>
        <w:gridCol w:w="649"/>
        <w:gridCol w:w="649"/>
        <w:gridCol w:w="649"/>
        <w:gridCol w:w="649"/>
        <w:gridCol w:w="650"/>
        <w:gridCol w:w="650"/>
        <w:gridCol w:w="650"/>
        <w:gridCol w:w="651"/>
        <w:gridCol w:w="651"/>
        <w:gridCol w:w="651"/>
        <w:gridCol w:w="651"/>
        <w:gridCol w:w="651"/>
      </w:tblGrid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3210" w:type="dxa"/>
            <w:gridSpan w:val="5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jc w:val="center"/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行政复议</w:t>
            </w:r>
          </w:p>
        </w:tc>
        <w:tc>
          <w:tcPr>
            <w:tcW w:w="6428" w:type="dxa"/>
            <w:gridSpan w:val="10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jc w:val="center"/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行政诉讼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642" w:type="dxa"/>
            <w:vMerge w:val="restar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jc w:val="center"/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结果维持</w:t>
            </w:r>
          </w:p>
        </w:tc>
        <w:tc>
          <w:tcPr>
            <w:tcW w:w="642" w:type="dxa"/>
            <w:vMerge w:val="restar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jc w:val="center"/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结果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纠正</w:t>
            </w:r>
          </w:p>
        </w:tc>
        <w:tc>
          <w:tcPr>
            <w:tcW w:w="642" w:type="dxa"/>
            <w:vMerge w:val="restar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jc w:val="center"/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其他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结果</w:t>
            </w:r>
          </w:p>
        </w:tc>
        <w:tc>
          <w:tcPr>
            <w:tcW w:w="642" w:type="dxa"/>
            <w:vMerge w:val="restar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jc w:val="center"/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尚未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审结</w:t>
            </w:r>
          </w:p>
        </w:tc>
        <w:tc>
          <w:tcPr>
            <w:tcW w:w="642" w:type="dxa"/>
            <w:vMerge w:val="restar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jc w:val="center"/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总计</w:t>
            </w:r>
          </w:p>
        </w:tc>
        <w:tc>
          <w:tcPr>
            <w:tcW w:w="3213" w:type="dxa"/>
            <w:gridSpan w:val="5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jc w:val="center"/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未经复议直接起诉</w:t>
            </w:r>
          </w:p>
        </w:tc>
        <w:tc>
          <w:tcPr>
            <w:tcW w:w="3215" w:type="dxa"/>
            <w:gridSpan w:val="5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jc w:val="center"/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复议后起诉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642" w:type="dxa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rPr>
                <w:rFonts w:ascii="宋体"/>
                <w:sz w:val="24"/>
              </w:rPr>
            </w:pPr>
          </w:p>
        </w:tc>
        <w:tc>
          <w:tcPr>
            <w:tcW w:w="642" w:type="dxa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rPr>
                <w:rFonts w:ascii="宋体"/>
                <w:sz w:val="24"/>
              </w:rPr>
            </w:pPr>
          </w:p>
        </w:tc>
        <w:tc>
          <w:tcPr>
            <w:tcW w:w="642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rPr>
                <w:rFonts w:ascii="宋体"/>
                <w:sz w:val="24"/>
              </w:rPr>
            </w:pPr>
          </w:p>
        </w:tc>
        <w:tc>
          <w:tcPr>
            <w:tcW w:w="642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rPr>
                <w:rFonts w:ascii="宋体"/>
                <w:sz w:val="24"/>
              </w:rPr>
            </w:pPr>
          </w:p>
        </w:tc>
        <w:tc>
          <w:tcPr>
            <w:tcW w:w="642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rPr>
                <w:rFonts w:ascii="宋体"/>
                <w:sz w:val="24"/>
              </w:rPr>
            </w:pPr>
          </w:p>
        </w:tc>
        <w:tc>
          <w:tcPr>
            <w:tcW w:w="642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jc w:val="center"/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结果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维持</w:t>
            </w:r>
          </w:p>
        </w:tc>
        <w:tc>
          <w:tcPr>
            <w:tcW w:w="642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jc w:val="center"/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结果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纠正</w:t>
            </w:r>
          </w:p>
        </w:tc>
        <w:tc>
          <w:tcPr>
            <w:tcW w:w="64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jc w:val="center"/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其他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结果</w:t>
            </w:r>
          </w:p>
        </w:tc>
        <w:tc>
          <w:tcPr>
            <w:tcW w:w="64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jc w:val="center"/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尚未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审结</w:t>
            </w:r>
          </w:p>
        </w:tc>
        <w:tc>
          <w:tcPr>
            <w:tcW w:w="64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jc w:val="center"/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总计</w:t>
            </w:r>
          </w:p>
        </w:tc>
        <w:tc>
          <w:tcPr>
            <w:tcW w:w="64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jc w:val="center"/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结果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维持</w:t>
            </w:r>
          </w:p>
        </w:tc>
        <w:tc>
          <w:tcPr>
            <w:tcW w:w="64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jc w:val="center"/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结果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纠正</w:t>
            </w:r>
          </w:p>
        </w:tc>
        <w:tc>
          <w:tcPr>
            <w:tcW w:w="64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jc w:val="center"/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其他</w:t>
            </w: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结果</w:t>
            </w:r>
          </w:p>
        </w:tc>
        <w:tc>
          <w:tcPr>
            <w:tcW w:w="64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jc w:val="center"/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尚未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审结</w:t>
            </w:r>
          </w:p>
        </w:tc>
        <w:tc>
          <w:tcPr>
            <w:tcW w:w="64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jc w:val="center"/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总计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2" w:hRule="atLeast"/>
          <w:jc w:val="center"/>
        </w:trPr>
        <w:tc>
          <w:tcPr>
            <w:tcW w:w="642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642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642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642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642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642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642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64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64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64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64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64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64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64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64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0</w:t>
            </w:r>
          </w:p>
        </w:tc>
      </w:tr>
    </w:tbl>
    <w:p>
      <w:pPr>
        <w:widowControl/>
        <w:jc w:val="left"/>
      </w:pPr>
    </w:p>
    <w:p>
      <w:pPr>
        <w:pStyle w:val="4"/>
        <w:widowControl/>
        <w:shd w:val="clear" w:color="auto" w:fill="FFFFFF"/>
        <w:spacing w:before="0" w:beforeAutospacing="0" w:after="0" w:afterAutospacing="0" w:line="540" w:lineRule="exact"/>
        <w:ind w:firstLine="420"/>
        <w:jc w:val="both"/>
        <w:rPr>
          <w:rFonts w:hint="eastAsia" w:ascii="黑体" w:hAnsi="黑体" w:eastAsia="黑体" w:cs="黑体"/>
          <w:color w:val="333333"/>
          <w:sz w:val="32"/>
          <w:szCs w:val="32"/>
        </w:rPr>
      </w:pPr>
      <w:r>
        <w:rPr>
          <w:rFonts w:hint="eastAsia" w:ascii="黑体" w:hAnsi="黑体" w:eastAsia="黑体" w:cs="黑体"/>
          <w:b/>
          <w:color w:val="333333"/>
          <w:sz w:val="32"/>
          <w:szCs w:val="32"/>
          <w:shd w:val="clear" w:color="auto" w:fill="FFFFFF"/>
        </w:rPr>
        <w:t>五、存在的主要问题及改进情况</w:t>
      </w:r>
    </w:p>
    <w:p>
      <w:pPr>
        <w:pStyle w:val="4"/>
        <w:widowControl/>
        <w:spacing w:before="0" w:beforeAutospacing="0" w:after="0" w:afterAutospacing="0" w:line="630" w:lineRule="exact"/>
        <w:ind w:firstLine="640" w:firstLineChars="200"/>
        <w:jc w:val="both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202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  <w:sz w:val="32"/>
          <w:szCs w:val="32"/>
        </w:rPr>
        <w:t>年，我局在推进政务公开工作中虽然做了大量工作，但仍存在着不足之处，如政务公开内容的广度和深度不够，还不能完全满足广大群众的期望和需求；政策解读还不够充分，公开内容还不够完善等。在今后工作中，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将进一步</w:t>
      </w:r>
      <w:r>
        <w:rPr>
          <w:rFonts w:hint="eastAsia" w:ascii="仿宋_GB2312" w:hAnsi="仿宋_GB2312" w:eastAsia="仿宋_GB2312" w:cs="仿宋_GB2312"/>
          <w:sz w:val="32"/>
          <w:szCs w:val="32"/>
        </w:rPr>
        <w:t>加强统计信息公开力度，做到认真分析，创新举措，分类施策，尽可能完善每一模块的相应公开内容。继续完善统计信息公开工作机制，加强制度落实、确保全面、及时、准确地公开统计信息，提高统计工作社会影响力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。</w:t>
      </w:r>
    </w:p>
    <w:p>
      <w:pPr>
        <w:pStyle w:val="4"/>
        <w:widowControl/>
        <w:shd w:val="clear" w:color="auto" w:fill="FFFFFF"/>
        <w:spacing w:before="0" w:beforeAutospacing="0" w:after="0" w:afterAutospacing="0" w:line="540" w:lineRule="exact"/>
        <w:ind w:firstLine="420"/>
        <w:jc w:val="both"/>
        <w:rPr>
          <w:rFonts w:hint="eastAsia" w:ascii="黑体" w:hAnsi="黑体" w:eastAsia="黑体" w:cs="黑体"/>
          <w:b/>
          <w:color w:val="333333"/>
          <w:sz w:val="32"/>
          <w:szCs w:val="32"/>
          <w:shd w:val="clear" w:color="auto" w:fill="FFFFFF"/>
        </w:rPr>
      </w:pPr>
      <w:r>
        <w:rPr>
          <w:rFonts w:hint="eastAsia" w:ascii="黑体" w:hAnsi="黑体" w:eastAsia="黑体" w:cs="黑体"/>
          <w:b/>
          <w:color w:val="333333"/>
          <w:sz w:val="32"/>
          <w:szCs w:val="32"/>
          <w:shd w:val="clear" w:color="auto" w:fill="FFFFFF"/>
        </w:rPr>
        <w:t>六、其他需要报告的事项</w:t>
      </w:r>
    </w:p>
    <w:p>
      <w:pPr>
        <w:pStyle w:val="4"/>
        <w:widowControl/>
        <w:spacing w:before="0" w:beforeAutospacing="0" w:after="0" w:afterAutospacing="0" w:line="630" w:lineRule="exact"/>
        <w:ind w:firstLine="640" w:firstLineChars="200"/>
        <w:jc w:val="both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统计局2025年度未收取政府信息公开信息处理费。</w:t>
      </w:r>
    </w:p>
    <w:p>
      <w:pPr>
        <w:pStyle w:val="4"/>
        <w:widowControl/>
        <w:spacing w:before="0" w:beforeAutospacing="0" w:after="0" w:afterAutospacing="0" w:line="630" w:lineRule="exact"/>
        <w:ind w:firstLine="640" w:firstLineChars="200"/>
        <w:jc w:val="right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pStyle w:val="4"/>
        <w:widowControl/>
        <w:spacing w:before="0" w:beforeAutospacing="0" w:after="0" w:afterAutospacing="0" w:line="630" w:lineRule="exact"/>
        <w:ind w:firstLine="640" w:firstLineChars="200"/>
        <w:jc w:val="center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                           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曲沃县统计局    </w:t>
      </w:r>
    </w:p>
    <w:p>
      <w:pPr>
        <w:pStyle w:val="4"/>
        <w:widowControl/>
        <w:spacing w:before="0" w:beforeAutospacing="0" w:after="0" w:afterAutospacing="0" w:line="630" w:lineRule="exact"/>
        <w:ind w:firstLine="640" w:firstLineChars="200"/>
        <w:jc w:val="right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202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sz w:val="32"/>
          <w:szCs w:val="32"/>
        </w:rPr>
        <w:t>年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</w:t>
      </w:r>
      <w:r>
        <w:rPr>
          <w:rFonts w:hint="eastAsia" w:ascii="仿宋_GB2312" w:hAnsi="仿宋_GB2312" w:eastAsia="仿宋_GB2312" w:cs="仿宋_GB2312"/>
          <w:sz w:val="32"/>
          <w:szCs w:val="32"/>
        </w:rPr>
        <w:t>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14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日  </w:t>
      </w:r>
    </w:p>
    <w:p>
      <w:pPr>
        <w:pStyle w:val="4"/>
        <w:widowControl/>
        <w:shd w:val="clear" w:color="auto" w:fill="FFFFFF"/>
        <w:spacing w:before="0" w:beforeAutospacing="0" w:after="0" w:afterAutospacing="0" w:line="540" w:lineRule="exact"/>
        <w:ind w:firstLine="420"/>
        <w:jc w:val="right"/>
        <w:rPr>
          <w:rFonts w:ascii="仿宋" w:hAnsi="仿宋" w:eastAsia="仿宋" w:cs="仿宋"/>
          <w:sz w:val="32"/>
          <w:szCs w:val="32"/>
        </w:rPr>
      </w:pPr>
    </w:p>
    <w:sectPr>
      <w:headerReference r:id="rId3" w:type="default"/>
      <w:footerReference r:id="rId4" w:type="default"/>
      <w:pgSz w:w="11906" w:h="16838"/>
      <w:pgMar w:top="1440" w:right="1800" w:bottom="1440" w:left="1800" w:header="851" w:footer="992" w:gutter="0"/>
      <w:pgNumType w:start="4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书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true"/>
  <w:bordersDoNotSurroundFooter w:val="true"/>
  <w:documentProtection w:enforcement="0"/>
  <w:defaultTabStop w:val="420"/>
  <w:drawingGridVerticalSpacing w:val="156"/>
  <w:noPunctuationKerning w:val="true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k0NmE1ZjlkYmIyZWJmZWJjMGRmYjc3ZmI5ZGM2M2EifQ=="/>
  </w:docVars>
  <w:rsids>
    <w:rsidRoot w:val="0033094B"/>
    <w:rsid w:val="0012041F"/>
    <w:rsid w:val="0033094B"/>
    <w:rsid w:val="004A2BB7"/>
    <w:rsid w:val="0073502E"/>
    <w:rsid w:val="0084291C"/>
    <w:rsid w:val="00E351A2"/>
    <w:rsid w:val="00F1428B"/>
    <w:rsid w:val="00F837C0"/>
    <w:rsid w:val="018E3FE0"/>
    <w:rsid w:val="08A25BB3"/>
    <w:rsid w:val="137B2388"/>
    <w:rsid w:val="19723131"/>
    <w:rsid w:val="1BD15375"/>
    <w:rsid w:val="1CAC36C0"/>
    <w:rsid w:val="2751193E"/>
    <w:rsid w:val="29414CEA"/>
    <w:rsid w:val="2F7FFAC3"/>
    <w:rsid w:val="306555DD"/>
    <w:rsid w:val="36BB2187"/>
    <w:rsid w:val="38347004"/>
    <w:rsid w:val="384F52AF"/>
    <w:rsid w:val="3AB00A35"/>
    <w:rsid w:val="3BC918F1"/>
    <w:rsid w:val="3FD24147"/>
    <w:rsid w:val="48143B98"/>
    <w:rsid w:val="4CD70649"/>
    <w:rsid w:val="56E476C9"/>
    <w:rsid w:val="579DD3CC"/>
    <w:rsid w:val="57AB3386"/>
    <w:rsid w:val="57EE620A"/>
    <w:rsid w:val="5DAF4AE4"/>
    <w:rsid w:val="5E8360C5"/>
    <w:rsid w:val="5E893368"/>
    <w:rsid w:val="5E925789"/>
    <w:rsid w:val="5EFCA053"/>
    <w:rsid w:val="5F15D025"/>
    <w:rsid w:val="5FB78064"/>
    <w:rsid w:val="62163D8A"/>
    <w:rsid w:val="6813679E"/>
    <w:rsid w:val="6B0136B6"/>
    <w:rsid w:val="6D656649"/>
    <w:rsid w:val="6E9515F8"/>
    <w:rsid w:val="6F7E272A"/>
    <w:rsid w:val="6FFAE730"/>
    <w:rsid w:val="6FFD7B5F"/>
    <w:rsid w:val="719D2496"/>
    <w:rsid w:val="76DE32C9"/>
    <w:rsid w:val="7778FB5C"/>
    <w:rsid w:val="777F849C"/>
    <w:rsid w:val="7FDF9CF4"/>
    <w:rsid w:val="9AFAF344"/>
    <w:rsid w:val="9BBF4B6D"/>
    <w:rsid w:val="B3BDF5F0"/>
    <w:rsid w:val="B7FF63BB"/>
    <w:rsid w:val="BEF37AB9"/>
    <w:rsid w:val="C1F5AE3C"/>
    <w:rsid w:val="CFFF4C19"/>
    <w:rsid w:val="E3BD025B"/>
    <w:rsid w:val="EFF90DCF"/>
    <w:rsid w:val="F57FD9CA"/>
    <w:rsid w:val="F69F8388"/>
    <w:rsid w:val="F7EB59C5"/>
    <w:rsid w:val="F7FF6774"/>
    <w:rsid w:val="F9FF27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4">
    <w:name w:val="Normal (Web)"/>
    <w:basedOn w:val="1"/>
    <w:qFormat/>
    <w:uiPriority w:val="0"/>
    <w:pPr>
      <w:spacing w:before="100" w:beforeAutospacing="1" w:after="100" w:afterAutospacing="1"/>
      <w:jc w:val="left"/>
    </w:pPr>
    <w:rPr>
      <w:kern w:val="0"/>
      <w:sz w:val="24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true"/>
        </a:gradFill>
        <a:gradFill rotWithShape="true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false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true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true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4</Pages>
  <Words>764</Words>
  <Characters>779</Characters>
  <Lines>17</Lines>
  <Paragraphs>4</Paragraphs>
  <TotalTime>41</TotalTime>
  <ScaleCrop>false</ScaleCrop>
  <LinksUpToDate>false</LinksUpToDate>
  <CharactersWithSpaces>779</CharactersWithSpaces>
  <Application>WPS Office_11.1.0.10161_F1E327BC-269C-435d-A152-05C5408002CA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2022-01-17T09:46:00Z</dcterms:created>
  <dc:creator>lenovouser12</dc:creator>
  <cp:lastModifiedBy>baixin</cp:lastModifiedBy>
  <cp:lastPrinted>2026-01-15T09:07:00Z</cp:lastPrinted>
  <dcterms:modified xsi:type="dcterms:W3CDTF">2026-02-04T16:18:03Z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2052-11.1.0.10161</vt:lpwstr>
  </property>
  <property fmtid="{D5CDD505-2E9C-101B-9397-08002B2CF9AE}" pid="3" name="ICV">
    <vt:lpwstr>8BBCF07674E34861ABE1194691164422_13</vt:lpwstr>
  </property>
  <property fmtid="{D5CDD505-2E9C-101B-9397-08002B2CF9AE}" pid="4" name="KSOTemplateDocerSaveRecord">
    <vt:lpwstr>eyJoZGlkIjoiZjVlMDc0NDRhYmNjNDczMDU3MDk4ZjEzNmI5NTBjMDIiLCJ1c2VySWQiOiI0MjA2OTY3NTQifQ==</vt:lpwstr>
  </property>
</Properties>
</file>