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4</w:t>
      </w:r>
    </w:p>
    <w:p>
      <w:pPr>
        <w:pStyle w:val="5"/>
        <w:spacing w:after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bookmarkStart w:id="0" w:name="_Toc13087_WPSOffice_Level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森林草原火灾应急响应启动条件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及措施</w:t>
      </w:r>
    </w:p>
    <w:tbl>
      <w:tblPr>
        <w:tblStyle w:val="7"/>
        <w:tblW w:w="135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940"/>
        <w:gridCol w:w="3291"/>
        <w:gridCol w:w="3060"/>
        <w:gridCol w:w="31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tblHeader/>
        </w:trPr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响应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分级</w:t>
            </w:r>
          </w:p>
        </w:tc>
        <w:tc>
          <w:tcPr>
            <w:tcW w:w="2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四级响应</w:t>
            </w:r>
          </w:p>
        </w:tc>
        <w:tc>
          <w:tcPr>
            <w:tcW w:w="3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三级响应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二级响应</w:t>
            </w:r>
          </w:p>
        </w:tc>
        <w:tc>
          <w:tcPr>
            <w:tcW w:w="31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一级响应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</w:trPr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启动</w:t>
            </w:r>
          </w:p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条件</w:t>
            </w:r>
          </w:p>
        </w:tc>
        <w:tc>
          <w:tcPr>
            <w:tcW w:w="2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1.发生在敏感时段、敏感地区、县与县交界区，12小时尚未得到有效控制的森林草原火灾；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2.24小时尚未得到有效控制的森林草原火灾；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3.同时发生2起以上危险性较大的森林草原火灾。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符合上述条件之一时，应启动四级响应。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1.发生死亡1人以上3人以下，或者重伤1人以上10人以下的森林草原火灾；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2.初判受害森林面积在100公顷以上500公顷以下或受害草原面积在1000公顷以上5000公顷以下的森林草原火灾；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3.发生在敏感时段、敏感地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区、设区的市与市交界区，24小时尚未得到有效控制的森林草原火灾；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4.发生在省与省交界区，12小时尚未得到有效控制的森林草原火灾。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符合上述条件之一时，应启动三级响应。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1.发生死亡3人以上10人以下，或者重伤10人以上50人以下的森林草原火灾；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2.初判受害森林面积在500公顷以上或受害草原面积在5000公顷以上，火势持续蔓延的森林草原火灾；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3.发生在敏感时段、敏感地区、省与省交界区，连续燃烧48小时，火势持续蔓延的森林草原火灾；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4.威胁居民地及重要设施。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符合上述条件之一时，应启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动二级响应。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1.发生死亡10人以上或重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伤50人以上的森林草原火灾；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2.初判受害森林面积在1000公顷以上或受害草原面积在8000公顷以上，火势持续蔓延的森林草原火灾；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3.发生在敏感时段、敏感地区、省与省交界区，连续燃烧72小时，火势持续蔓延的森林草原火灾；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4.严重威胁居民地及重要设施。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符合上述条件之一时，应启动一级响应。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应急</w:t>
            </w:r>
          </w:p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措施</w:t>
            </w:r>
          </w:p>
        </w:tc>
        <w:tc>
          <w:tcPr>
            <w:tcW w:w="29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center"/>
              <w:rPr>
                <w:rFonts w:hint="default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应急措施详见5.4.1</w:t>
            </w:r>
          </w:p>
        </w:tc>
        <w:tc>
          <w:tcPr>
            <w:tcW w:w="95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spacing w:after="0"/>
              <w:ind w:left="0" w:leftChars="0" w:firstLine="0" w:firstLineChars="0"/>
              <w:jc w:val="both"/>
              <w:rPr>
                <w:rFonts w:hint="default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应急措施详见5.4.2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6" w:beforeLines="100" w:after="0"/>
        <w:ind w:left="0" w:leftChars="0" w:firstLine="0" w:firstLineChars="0"/>
        <w:jc w:val="both"/>
        <w:textAlignment w:val="auto"/>
        <w:rPr>
          <w:rFonts w:hint="eastAsia" w:ascii="仿宋_GB2312" w:hAnsi="宋体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宋体" w:eastAsia="仿宋_GB2312" w:cs="仿宋_GB2312"/>
          <w:color w:val="auto"/>
          <w:kern w:val="2"/>
          <w:sz w:val="24"/>
          <w:szCs w:val="24"/>
          <w:lang w:val="en-US" w:eastAsia="zh-CN" w:bidi="ar-SA"/>
        </w:rPr>
        <w:t>说明：“以上”包括本数，“以下”不包括本数。</w:t>
      </w: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12A98"/>
    <w:rsid w:val="5DF1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2022-01-18T16:05:00Z</dcterms:created>
  <dc:creator>baixin</dc:creator>
  <cp:lastModifiedBy>baixin</cp:lastModifiedBy>
  <dcterms:modified xsi:type="dcterms:W3CDTF">2022-01-18T16:06:44Z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