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CESI黑体-GB18030" w:hAnsi="CESI黑体-GB18030" w:eastAsia="黑体" w:cs="CESI黑体-GB18030"/>
          <w:sz w:val="32"/>
          <w:szCs w:val="32"/>
          <w:lang w:val="en-US" w:eastAsia="zh-CN"/>
        </w:rPr>
      </w:pPr>
      <w:r>
        <w:rPr>
          <w:rFonts w:hint="eastAsia" w:ascii="CESI黑体-GB18030" w:hAnsi="CESI黑体-GB18030" w:eastAsia="黑体" w:cs="CESI黑体-GB18030"/>
          <w:sz w:val="32"/>
          <w:szCs w:val="32"/>
          <w:lang w:eastAsia="zh-CN"/>
        </w:rPr>
        <w:t>附件</w:t>
      </w:r>
      <w:r>
        <w:rPr>
          <w:rFonts w:hint="eastAsia" w:ascii="CESI黑体-GB18030" w:hAnsi="CESI黑体-GB18030" w:eastAsia="黑体" w:cs="CESI黑体-GB18030"/>
          <w:sz w:val="32"/>
          <w:szCs w:val="32"/>
          <w:lang w:val="en-US" w:eastAsia="zh-CN"/>
        </w:rPr>
        <w:t>1</w:t>
      </w:r>
    </w:p>
    <w:p>
      <w:pPr>
        <w:keepNext w:val="0"/>
        <w:keepLines w:val="0"/>
        <w:pageBreakBefore w:val="0"/>
        <w:widowControl w:val="0"/>
        <w:kinsoku/>
        <w:wordWrap/>
        <w:overflowPunct/>
        <w:topLinePunct w:val="0"/>
        <w:autoSpaceDE w:val="0"/>
        <w:autoSpaceDN w:val="0"/>
        <w:bidi w:val="0"/>
        <w:adjustRightInd/>
        <w:snapToGrid/>
        <w:spacing w:before="0" w:beforeLines="100" w:line="660" w:lineRule="exact"/>
        <w:jc w:val="center"/>
        <w:textAlignment w:val="auto"/>
        <w:rPr>
          <w:rFonts w:hint="eastAsia" w:ascii="方正小标宋_GBK" w:hAnsi="方正小标宋_GBK" w:eastAsia="方正小标宋_GBK" w:cs="方正小标宋_GBK"/>
          <w:color w:val="auto"/>
          <w:sz w:val="44"/>
          <w:szCs w:val="44"/>
          <w:lang w:eastAsia="zh-CN"/>
        </w:rPr>
      </w:pPr>
      <w:r>
        <w:rPr>
          <w:rFonts w:hint="eastAsia" w:ascii="方正小标宋_GBK" w:hAnsi="方正小标宋_GBK" w:eastAsia="方正小标宋_GBK" w:cs="方正小标宋_GBK"/>
          <w:color w:val="auto"/>
          <w:sz w:val="44"/>
          <w:szCs w:val="44"/>
          <w:lang w:eastAsia="zh-CN"/>
        </w:rPr>
        <w:t>曲沃县2021年度政务公开工作要点</w:t>
      </w:r>
    </w:p>
    <w:p>
      <w:pPr>
        <w:keepNext w:val="0"/>
        <w:keepLines w:val="0"/>
        <w:pageBreakBefore w:val="0"/>
        <w:widowControl w:val="0"/>
        <w:kinsoku/>
        <w:wordWrap/>
        <w:overflowPunct/>
        <w:topLinePunct w:val="0"/>
        <w:autoSpaceDE w:val="0"/>
        <w:autoSpaceDN w:val="0"/>
        <w:bidi w:val="0"/>
        <w:adjustRightInd/>
        <w:snapToGrid/>
        <w:spacing w:before="313" w:beforeLines="100" w:line="576" w:lineRule="exact"/>
        <w:ind w:firstLine="640"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仿宋_GB2312" w:hAnsi="仿宋_GB2312" w:eastAsia="仿宋_GB2312" w:cs="仿宋_GB2312"/>
          <w:color w:val="auto"/>
          <w:sz w:val="32"/>
          <w:szCs w:val="32"/>
          <w:lang w:eastAsia="zh-CN"/>
        </w:rPr>
        <w:t>2021</w:t>
      </w:r>
      <w:r>
        <w:rPr>
          <w:rFonts w:hint="eastAsia" w:ascii="CESI仿宋-GB18030" w:hAnsi="CESI仿宋-GB18030" w:eastAsia="仿宋_GB2312" w:cs="CESI仿宋-GB18030"/>
          <w:color w:val="auto"/>
          <w:sz w:val="32"/>
          <w:szCs w:val="32"/>
          <w:lang w:eastAsia="zh-CN"/>
        </w:rPr>
        <w:t>年是实施“十四五”规划的第一年，也是我县转型出雏型的开局之年。为充分发挥政务公开在建设法治政府、服务型政府中的作用，我县在深入贯彻落实国家、省、市</w:t>
      </w:r>
      <w:r>
        <w:rPr>
          <w:rFonts w:hint="eastAsia" w:ascii="仿宋_GB2312" w:hAnsi="仿宋_GB2312" w:eastAsia="仿宋_GB2312" w:cs="仿宋_GB2312"/>
          <w:color w:val="auto"/>
          <w:sz w:val="32"/>
          <w:szCs w:val="32"/>
          <w:lang w:eastAsia="zh-CN"/>
        </w:rPr>
        <w:t>2021</w:t>
      </w:r>
      <w:r>
        <w:rPr>
          <w:rFonts w:hint="eastAsia" w:ascii="CESI仿宋-GB18030" w:hAnsi="CESI仿宋-GB18030" w:eastAsia="仿宋_GB2312" w:cs="CESI仿宋-GB18030"/>
          <w:color w:val="auto"/>
          <w:sz w:val="32"/>
          <w:szCs w:val="32"/>
          <w:lang w:eastAsia="zh-CN"/>
        </w:rPr>
        <w:t>年政务公开工作要点的基础上，进一步结合实际、明确导向、细化分工，提出我县</w:t>
      </w:r>
      <w:r>
        <w:rPr>
          <w:rFonts w:hint="eastAsia" w:ascii="仿宋_GB2312" w:hAnsi="仿宋_GB2312" w:eastAsia="仿宋_GB2312" w:cs="仿宋_GB2312"/>
          <w:color w:val="auto"/>
          <w:sz w:val="32"/>
          <w:szCs w:val="32"/>
          <w:lang w:eastAsia="zh-CN"/>
        </w:rPr>
        <w:t>2021</w:t>
      </w:r>
      <w:r>
        <w:rPr>
          <w:rFonts w:hint="eastAsia" w:ascii="CESI仿宋-GB18030" w:hAnsi="CESI仿宋-GB18030" w:eastAsia="仿宋_GB2312" w:cs="CESI仿宋-GB18030"/>
          <w:color w:val="auto"/>
          <w:sz w:val="32"/>
          <w:szCs w:val="32"/>
          <w:lang w:eastAsia="zh-CN"/>
        </w:rPr>
        <w:t>年度政务公开工作要点。</w:t>
      </w:r>
    </w:p>
    <w:p>
      <w:pPr>
        <w:keepNext w:val="0"/>
        <w:keepLines w:val="0"/>
        <w:pageBreakBefore w:val="0"/>
        <w:widowControl w:val="0"/>
        <w:kinsoku/>
        <w:wordWrap/>
        <w:overflowPunct/>
        <w:topLinePunct w:val="0"/>
        <w:autoSpaceDE w:val="0"/>
        <w:autoSpaceDN w:val="0"/>
        <w:bidi w:val="0"/>
        <w:adjustRightInd/>
        <w:snapToGrid/>
        <w:spacing w:line="576" w:lineRule="exact"/>
        <w:ind w:firstLine="640" w:firstLineChars="200"/>
        <w:jc w:val="both"/>
        <w:textAlignment w:val="auto"/>
        <w:rPr>
          <w:rFonts w:hint="eastAsia" w:ascii="CESI黑体-GB18030" w:hAnsi="CESI黑体-GB18030" w:eastAsia="黑体" w:cs="CESI黑体-GB18030"/>
          <w:color w:val="auto"/>
          <w:sz w:val="32"/>
          <w:szCs w:val="32"/>
          <w:lang w:eastAsia="zh-CN"/>
        </w:rPr>
      </w:pPr>
      <w:r>
        <w:rPr>
          <w:rFonts w:hint="eastAsia" w:ascii="CESI黑体-GB18030" w:hAnsi="CESI黑体-GB18030" w:eastAsia="黑体" w:cs="CESI黑体-GB18030"/>
          <w:color w:val="auto"/>
          <w:sz w:val="32"/>
          <w:szCs w:val="32"/>
          <w:lang w:eastAsia="zh-CN"/>
        </w:rPr>
        <w:t>—、加大公开力度，做好各领域主动公开</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（一）做好转型发展政策主动公开。</w:t>
      </w:r>
      <w:r>
        <w:rPr>
          <w:rFonts w:hint="eastAsia" w:ascii="CESI仿宋-GB18030" w:hAnsi="CESI仿宋-GB18030" w:eastAsia="仿宋_GB2312" w:cs="CESI仿宋-GB18030"/>
          <w:color w:val="auto"/>
          <w:sz w:val="32"/>
          <w:szCs w:val="32"/>
          <w:lang w:eastAsia="zh-CN"/>
        </w:rPr>
        <w:t>深入贯彻习近平总书记视察山西重要讲话重要指示精神，围绕省委、省政府关于我省转型发展的战略部署，及市委、县委相关工作要求，对产业转型、项目转型、绿色转型、外贸转型、数字化转型、体制机制转型等方面政策加大主动公开力度，制作转型政策专题，梳理汇总转型发展的政策文件、政策解读、具体举措、典型问题、落实情况及对公众关切的互动回应等，及时在政府网站公布，形成“政务公开为转型”的浓厚氛围。（责任单位：各乡镇、县直各部门）</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（二）做好“十四五”规划及配套政策主动公开。</w:t>
      </w:r>
      <w:r>
        <w:rPr>
          <w:rFonts w:hint="eastAsia" w:ascii="CESI仿宋-GB18030" w:hAnsi="CESI仿宋-GB18030" w:eastAsia="仿宋_GB2312" w:cs="CESI仿宋-GB18030"/>
          <w:color w:val="auto"/>
          <w:sz w:val="32"/>
          <w:szCs w:val="32"/>
          <w:lang w:eastAsia="zh-CN"/>
        </w:rPr>
        <w:t>主动公开国民经济和社会发展第十四个五年规划纲要、国土空间规划、专项规划和区域规划及配套政策等，做好历史规划（计划）归集整理和主动公开工作。（责任单位：各乡镇、县发改局、自然资源局等相关部门）</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（三）做好法治政府建设、“放管服效”改革、优化营商环境等政策主动公开。</w:t>
      </w:r>
      <w:r>
        <w:rPr>
          <w:rFonts w:hint="eastAsia" w:ascii="CESI仿宋-GB18030" w:hAnsi="CESI仿宋-GB18030" w:eastAsia="仿宋_GB2312" w:cs="CESI仿宋-GB18030"/>
          <w:color w:val="auto"/>
          <w:sz w:val="32"/>
          <w:szCs w:val="32"/>
          <w:lang w:eastAsia="zh-CN"/>
        </w:rPr>
        <w:t>及时公布并动态调整政府部门权责清单，重大行政决策事项目录，证明事项告知承诺目录，行政审批中介服务事项清单，公共资源交易目录清单，政府性基金、涉企行政事业性收费、涉企保证金以及实行政府定价的经营服务性收费目录清单等，并针对与各类市场主体利益密切相关的事项，做好行政执法公开、政务服务公开、市场监管公开和征地信息公开。各乡镇及相关部门应将制定和执行的与市场主体相关的创业、创新、人才、规划、产业、项目、市场、金融、税费、奖励、补贴等政策及时公开。（责任单位：各乡镇、县直各有关部门）</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（四）做好财政信息公开。</w:t>
      </w:r>
      <w:r>
        <w:rPr>
          <w:rFonts w:hint="eastAsia" w:ascii="CESI仿宋-GB18030" w:hAnsi="CESI仿宋-GB18030" w:eastAsia="仿宋_GB2312" w:cs="CESI仿宋-GB18030"/>
          <w:color w:val="auto"/>
          <w:sz w:val="32"/>
          <w:szCs w:val="32"/>
          <w:lang w:eastAsia="zh-CN"/>
        </w:rPr>
        <w:t>稳步扩大预决算公开范围，推进部门所属单位预算、决算及相关报表公开。持续深化地方政府债务信息公开，通过集中统一平台定期公开地方政府债务限额、余额、发行、使用安排、还本付息及存续期等信息。加大惠民惠农政策和资金发放信息公开力度，各乡镇及财政部门要推动补贴信息公开向村和社区延伸，并与村（社区）务公开有效衔接。（责任单位：各乡镇、县财政局）</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（五）做好常态化疫情防控信息公开。</w:t>
      </w:r>
      <w:r>
        <w:rPr>
          <w:rFonts w:hint="eastAsia" w:ascii="CESI仿宋-GB18030" w:hAnsi="CESI仿宋-GB18030" w:eastAsia="仿宋_GB2312" w:cs="CESI仿宋-GB18030"/>
          <w:color w:val="auto"/>
          <w:sz w:val="32"/>
          <w:szCs w:val="32"/>
          <w:lang w:eastAsia="zh-CN"/>
        </w:rPr>
        <w:t>提高新冠肺炎疫情防控信息发布规范化水平，持续做好新冠肺炎疫情防控有关政策措施、疫情动态、科普宣传以及对疫苗监管、流通和预防接种等信息的公开。在准确、及时公开相关信息的同时，注重个人隐私保护，注重对社会谣言的回应澄清。做好爱国卫生运动、健康中国行动等相关工作的信息公开，大力开展健康科普宣传，使健康生活理念更加深入人心。（责任单位：各乡镇、县卫体局）</w:t>
      </w:r>
    </w:p>
    <w:p>
      <w:pPr>
        <w:keepNext w:val="0"/>
        <w:keepLines w:val="0"/>
        <w:pageBreakBefore w:val="0"/>
        <w:widowControl w:val="0"/>
        <w:kinsoku/>
        <w:wordWrap/>
        <w:overflowPunct/>
        <w:topLinePunct w:val="0"/>
        <w:autoSpaceDE w:val="0"/>
        <w:autoSpaceDN w:val="0"/>
        <w:bidi w:val="0"/>
        <w:adjustRightInd/>
        <w:snapToGrid/>
        <w:spacing w:line="576" w:lineRule="exact"/>
        <w:ind w:firstLine="640" w:firstLineChars="200"/>
        <w:jc w:val="both"/>
        <w:textAlignment w:val="auto"/>
        <w:rPr>
          <w:rFonts w:hint="eastAsia" w:ascii="CESI黑体-GB18030" w:hAnsi="CESI黑体-GB18030" w:eastAsia="黑体" w:cs="CESI黑体-GB18030"/>
          <w:color w:val="auto"/>
          <w:sz w:val="32"/>
          <w:szCs w:val="32"/>
          <w:lang w:eastAsia="zh-CN"/>
        </w:rPr>
      </w:pPr>
      <w:r>
        <w:rPr>
          <w:rFonts w:hint="eastAsia" w:ascii="CESI黑体-GB18030" w:hAnsi="CESI黑体-GB18030" w:eastAsia="黑体" w:cs="CESI黑体-GB18030"/>
          <w:color w:val="auto"/>
          <w:sz w:val="32"/>
          <w:szCs w:val="32"/>
          <w:lang w:eastAsia="zh-CN"/>
        </w:rPr>
        <w:t>二、健全保障机制，确保公开工作顺利推进</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（一）落实文件公开属性前置审查制度。</w:t>
      </w:r>
      <w:r>
        <w:rPr>
          <w:rFonts w:hint="eastAsia" w:ascii="CESI仿宋-GB18030" w:hAnsi="CESI仿宋-GB18030" w:eastAsia="仿宋_GB2312" w:cs="CESI仿宋-GB18030"/>
          <w:color w:val="auto"/>
          <w:sz w:val="32"/>
          <w:szCs w:val="32"/>
          <w:lang w:eastAsia="zh-CN"/>
        </w:rPr>
        <w:t>严格按照《政府信息公开条例》相关规定，以“公开为常态，不公开为例外”为原则，法定主动公开内容除依法涉密之外，其他内容必须做到全面、及时、准确公开。内容具有普遍指导意义和作用，或涉及公众利益，有必要让公众知晓并接受公众监督的函复类公文，应当主动公开。政府部门联合发文的，由牵头单位做好拟发公文属性认定工作。公开属性为依申请公开、不予公开的公文，应当严格审核未主动公开的依据和理由。严控依申请公开、不予公开属性的滥用。（责任单位：各乡镇、县直各部门）</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（二）健全文件公开属性动态调整机制。</w:t>
      </w:r>
      <w:r>
        <w:rPr>
          <w:rFonts w:hint="eastAsia" w:ascii="CESI仿宋-GB18030" w:hAnsi="CESI仿宋-GB18030" w:eastAsia="仿宋_GB2312" w:cs="CESI仿宋-GB18030"/>
          <w:color w:val="auto"/>
          <w:sz w:val="32"/>
          <w:szCs w:val="32"/>
          <w:lang w:eastAsia="zh-CN"/>
        </w:rPr>
        <w:t>建立健全文件公开属性动态调整机制，将属性为依申请公开或不予公开的文件建立台账，每年进行复核，对因情况变化或依申请公开的人数和频次达到一定范围的文件，由发文机关或起草单位提出建议，属性可以由依申请公开或不予公开转为主动公开。（责任单位：各乡镇、县直各部门）</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（三）完善政府信息发布审核机制。</w:t>
      </w:r>
      <w:r>
        <w:rPr>
          <w:rFonts w:hint="eastAsia" w:ascii="CESI仿宋-GB18030" w:hAnsi="CESI仿宋-GB18030" w:eastAsia="仿宋_GB2312" w:cs="CESI仿宋-GB18030"/>
          <w:color w:val="auto"/>
          <w:sz w:val="32"/>
          <w:szCs w:val="32"/>
          <w:lang w:eastAsia="zh-CN"/>
        </w:rPr>
        <w:t>通过政府网站及政务新媒体、新闻发布会等发布的政府信息要严格审核、责任到人，保障信息发布的严肃性、及时性、准确性和权威性。要完善政府规章和行政规范性文件公开审查、备案、发布机制和政府网站信息发布制度。（责任单位：各乡镇、县直各部门）</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（四）出台“双公示”工作实施方案。</w:t>
      </w:r>
      <w:r>
        <w:rPr>
          <w:rFonts w:hint="eastAsia" w:ascii="CESI仿宋-GB18030" w:hAnsi="CESI仿宋-GB18030" w:eastAsia="仿宋_GB2312" w:cs="CESI仿宋-GB18030"/>
          <w:color w:val="auto"/>
          <w:sz w:val="32"/>
          <w:szCs w:val="32"/>
          <w:lang w:eastAsia="zh-CN"/>
        </w:rPr>
        <w:t>以加快简政放权、放管结合、优化服务为出发点，做好行政许可、行政处罚等信用信息公示工作。由县发改局牵头，在全面梳理汇总行政许可和行政处罚职权的基础上，完善数据报送制度、规范公示方式，出台我县“双公示”工作实施方案。（责任单位：县发改局牵头，各相关单位配合）</w:t>
      </w:r>
    </w:p>
    <w:p>
      <w:pPr>
        <w:keepNext w:val="0"/>
        <w:keepLines w:val="0"/>
        <w:pageBreakBefore w:val="0"/>
        <w:widowControl w:val="0"/>
        <w:kinsoku/>
        <w:wordWrap/>
        <w:overflowPunct/>
        <w:topLinePunct w:val="0"/>
        <w:autoSpaceDE w:val="0"/>
        <w:autoSpaceDN w:val="0"/>
        <w:bidi w:val="0"/>
        <w:adjustRightInd/>
        <w:snapToGrid/>
        <w:spacing w:line="576" w:lineRule="exact"/>
        <w:ind w:firstLine="640" w:firstLineChars="200"/>
        <w:jc w:val="both"/>
        <w:textAlignment w:val="auto"/>
        <w:rPr>
          <w:rFonts w:hint="eastAsia" w:ascii="CESI黑体-GB18030" w:hAnsi="CESI黑体-GB18030" w:eastAsia="黑体" w:cs="CESI黑体-GB18030"/>
          <w:color w:val="auto"/>
          <w:sz w:val="32"/>
          <w:szCs w:val="32"/>
          <w:lang w:eastAsia="zh-CN"/>
        </w:rPr>
      </w:pPr>
      <w:r>
        <w:rPr>
          <w:rFonts w:hint="eastAsia" w:ascii="CESI黑体-GB18030" w:hAnsi="CESI黑体-GB18030" w:eastAsia="黑体" w:cs="CESI黑体-GB18030"/>
          <w:color w:val="auto"/>
          <w:sz w:val="32"/>
          <w:szCs w:val="32"/>
          <w:lang w:eastAsia="zh-CN"/>
        </w:rPr>
        <w:t>三、强化服务理念，提高依申请公开工作质量</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（一）增加便民答复。</w:t>
      </w:r>
      <w:r>
        <w:rPr>
          <w:rFonts w:hint="eastAsia" w:ascii="CESI仿宋-GB18030" w:hAnsi="CESI仿宋-GB18030" w:eastAsia="仿宋_GB2312" w:cs="CESI仿宋-GB18030"/>
          <w:color w:val="auto"/>
          <w:sz w:val="32"/>
          <w:szCs w:val="32"/>
          <w:lang w:eastAsia="zh-CN"/>
        </w:rPr>
        <w:t>以服务群众为导向，做到有申请必答复，能当面答复的要做到当面答复。在依法依规答复办理的基础上，增加“便民答复”内容。当出现申请的政府信息不存在、受理机关不掌握相关政府信息、没有现成政府信息需要另行制作、申请内容不明确且经补正未能确定等情况时，要从申请人实际需要出发，视情况增加便民答复内容，为申请人提供尽可能周到、全面的政府信息公开服务。（责任单位：各乡镇、县直各部门）</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（二）完善办理流程。</w:t>
      </w:r>
      <w:r>
        <w:rPr>
          <w:rFonts w:hint="eastAsia" w:ascii="CESI仿宋-GB18030" w:hAnsi="CESI仿宋-GB18030" w:eastAsia="仿宋_GB2312" w:cs="CESI仿宋-GB18030"/>
          <w:color w:val="auto"/>
          <w:sz w:val="32"/>
          <w:szCs w:val="32"/>
          <w:lang w:eastAsia="zh-CN"/>
        </w:rPr>
        <w:t>办理政府信息公开申请时，认为有必要征询下级政府或相应职能部门意见的，应当作出书面征询并设定合理函复期限。被征询机构应当及时、准确书面函复征询，阐明事实、理由和依据。（责任单位：各乡镇、县直各部门）</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（三）提升答复水平。</w:t>
      </w:r>
      <w:r>
        <w:rPr>
          <w:rFonts w:hint="eastAsia" w:ascii="CESI仿宋-GB18030" w:hAnsi="CESI仿宋-GB18030" w:eastAsia="仿宋_GB2312" w:cs="CESI仿宋-GB18030"/>
          <w:color w:val="auto"/>
          <w:sz w:val="32"/>
          <w:szCs w:val="32"/>
          <w:lang w:eastAsia="zh-CN"/>
        </w:rPr>
        <w:t>进一步强化依申请办理的规范化、标准化水平，严格按照《政府信息公开条例》及相关规定，按期、高质量完成答复。书面答复应当包含查找检索相关政府信息的过程事实，处理决定的法律法规依据，申请人行使救济权的期限、途径等内容，充分保证申请人权益。出具答复告知书要确保用词准确、严谨、规范，避免出现低级错误。（责任单位：各乡镇、县直各部门）</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（四）强化责任追究。</w:t>
      </w:r>
      <w:r>
        <w:rPr>
          <w:rFonts w:hint="eastAsia" w:ascii="CESI仿宋-GB18030" w:hAnsi="CESI仿宋-GB18030" w:eastAsia="仿宋_GB2312" w:cs="CESI仿宋-GB18030"/>
          <w:color w:val="auto"/>
          <w:sz w:val="32"/>
          <w:szCs w:val="32"/>
          <w:lang w:eastAsia="zh-CN"/>
        </w:rPr>
        <w:t>充分发挥行政复议制度优势，加大监督力度，强化责任追究，不断增强政府工作人员法治意识、公开意识、服务意识，更好保障人民群众合法权益。各乡镇、县直各部门因依申请公开被提起行政复议或行政诉讼，被判败诉的，每有一起,在本年度政务公开工作考核总得分的基础上扣</w:t>
      </w:r>
      <w:r>
        <w:rPr>
          <w:rFonts w:hint="eastAsia" w:ascii="仿宋_GB2312" w:hAnsi="仿宋_GB2312" w:eastAsia="仿宋_GB2312" w:cs="仿宋_GB2312"/>
          <w:color w:val="auto"/>
          <w:sz w:val="32"/>
          <w:szCs w:val="32"/>
          <w:lang w:eastAsia="zh-CN"/>
        </w:rPr>
        <w:t>10</w:t>
      </w:r>
      <w:r>
        <w:rPr>
          <w:rFonts w:hint="eastAsia" w:ascii="CESI仿宋-GB18030" w:hAnsi="CESI仿宋-GB18030" w:eastAsia="仿宋_GB2312" w:cs="CESI仿宋-GB18030"/>
          <w:color w:val="auto"/>
          <w:sz w:val="32"/>
          <w:szCs w:val="32"/>
          <w:lang w:eastAsia="zh-CN"/>
        </w:rPr>
        <w:t>分。（责任单位：各乡镇、县直各部门）</w:t>
      </w:r>
    </w:p>
    <w:p>
      <w:pPr>
        <w:keepNext w:val="0"/>
        <w:keepLines w:val="0"/>
        <w:pageBreakBefore w:val="0"/>
        <w:widowControl w:val="0"/>
        <w:kinsoku/>
        <w:wordWrap/>
        <w:overflowPunct/>
        <w:topLinePunct w:val="0"/>
        <w:autoSpaceDE w:val="0"/>
        <w:autoSpaceDN w:val="0"/>
        <w:bidi w:val="0"/>
        <w:adjustRightInd/>
        <w:snapToGrid/>
        <w:spacing w:line="576" w:lineRule="exact"/>
        <w:ind w:firstLine="640" w:firstLineChars="200"/>
        <w:jc w:val="both"/>
        <w:textAlignment w:val="auto"/>
        <w:rPr>
          <w:rFonts w:hint="eastAsia" w:ascii="CESI黑体-GB18030" w:hAnsi="CESI黑体-GB18030" w:eastAsia="黑体" w:cs="CESI黑体-GB18030"/>
          <w:color w:val="auto"/>
          <w:sz w:val="32"/>
          <w:szCs w:val="32"/>
          <w:lang w:eastAsia="zh-CN"/>
        </w:rPr>
      </w:pPr>
      <w:r>
        <w:rPr>
          <w:rFonts w:hint="eastAsia" w:ascii="CESI黑体-GB18030" w:hAnsi="CESI黑体-GB18030" w:eastAsia="黑体" w:cs="CESI黑体-GB18030"/>
          <w:color w:val="auto"/>
          <w:sz w:val="32"/>
          <w:szCs w:val="32"/>
          <w:lang w:eastAsia="zh-CN"/>
        </w:rPr>
        <w:t>四、做好政策解读，积极回应社会关切</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（一）提升政策解读质量。</w:t>
      </w:r>
      <w:r>
        <w:rPr>
          <w:rFonts w:hint="eastAsia" w:ascii="CESI仿宋-GB18030" w:hAnsi="CESI仿宋-GB18030" w:eastAsia="仿宋_GB2312" w:cs="CESI仿宋-GB18030"/>
          <w:color w:val="auto"/>
          <w:sz w:val="32"/>
          <w:szCs w:val="32"/>
          <w:lang w:eastAsia="zh-CN"/>
        </w:rPr>
        <w:t>加强和改进政策解读工作，更加注重对政策背景、决策依据、出台目的、重要举措、新旧政策差异等方面的解读。鼓励使用图片、视频动漫、流程演示等解读方式。对政策公布后社会公众的反响和疑问，要有针对性地开展延伸解读、补充解读。从</w:t>
      </w:r>
      <w:r>
        <w:rPr>
          <w:rFonts w:hint="eastAsia" w:ascii="仿宋_GB2312" w:hAnsi="仿宋_GB2312" w:eastAsia="仿宋_GB2312" w:cs="仿宋_GB2312"/>
          <w:color w:val="auto"/>
          <w:sz w:val="32"/>
          <w:szCs w:val="32"/>
          <w:lang w:eastAsia="zh-CN"/>
        </w:rPr>
        <w:t>2021</w:t>
      </w:r>
      <w:r>
        <w:rPr>
          <w:rFonts w:hint="eastAsia" w:ascii="CESI仿宋-GB18030" w:hAnsi="CESI仿宋-GB18030" w:eastAsia="仿宋_GB2312" w:cs="CESI仿宋-GB18030"/>
          <w:color w:val="auto"/>
          <w:sz w:val="32"/>
          <w:szCs w:val="32"/>
          <w:lang w:eastAsia="zh-CN"/>
        </w:rPr>
        <w:t>年起，政策多样化解读率不得低于</w:t>
      </w:r>
      <w:r>
        <w:rPr>
          <w:rFonts w:hint="eastAsia" w:ascii="仿宋_GB2312" w:hAnsi="仿宋_GB2312" w:eastAsia="仿宋_GB2312" w:cs="仿宋_GB2312"/>
          <w:color w:val="auto"/>
          <w:sz w:val="32"/>
          <w:szCs w:val="32"/>
          <w:lang w:eastAsia="zh-CN"/>
        </w:rPr>
        <w:t>90%</w:t>
      </w:r>
      <w:r>
        <w:rPr>
          <w:rFonts w:hint="eastAsia" w:ascii="CESI仿宋-GB18030" w:hAnsi="CESI仿宋-GB18030" w:eastAsia="仿宋_GB2312" w:cs="CESI仿宋-GB18030"/>
          <w:color w:val="auto"/>
          <w:sz w:val="32"/>
          <w:szCs w:val="32"/>
          <w:lang w:eastAsia="zh-CN"/>
        </w:rPr>
        <w:t>。（责任单位：各乡镇、县直各部门）</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（二）拓宽政策解读渠道。</w:t>
      </w:r>
      <w:r>
        <w:rPr>
          <w:rFonts w:hint="eastAsia" w:ascii="CESI仿宋-GB18030" w:hAnsi="CESI仿宋-GB18030" w:eastAsia="仿宋_GB2312" w:cs="CESI仿宋-GB18030"/>
          <w:color w:val="auto"/>
          <w:sz w:val="32"/>
          <w:szCs w:val="32"/>
          <w:lang w:eastAsia="zh-CN"/>
        </w:rPr>
        <w:t>要充分利用各种新媒体平台和政务服务中心、报纸、广播电视等渠道发布解读材料，扩大受众面，提升政策知晓度。各乡镇、县直各部门的优秀政策解读材料需积极申请在县融媒体中心开设的公众号上发布，年底时综合点击量、社会反响等方面作为本年度政务公开考核的加分依据。（责任单位：各乡镇、县直各部门）</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（三）加强政策咨询服务。</w:t>
      </w:r>
      <w:r>
        <w:rPr>
          <w:rFonts w:hint="eastAsia" w:ascii="CESI仿宋-GB18030" w:hAnsi="CESI仿宋-GB18030" w:eastAsia="仿宋_GB2312" w:cs="CESI仿宋-GB18030"/>
          <w:color w:val="auto"/>
          <w:sz w:val="32"/>
          <w:szCs w:val="32"/>
          <w:lang w:eastAsia="zh-CN"/>
        </w:rPr>
        <w:t>政策制定机关要积极解答政策执行机关和企业、群众的咨询，精准传达政策意图，助力营商环境持续改善。有条件的可依托政务服务热线、实体服务大厅和政府网站，设立政策咨询综合服务窗口，为企业和群众提供“一号答”“一站式”的政策咨询服务，也可通过公共查阅点、公告栏、电子信息屏、政策宣传册及宣讲会等，对公众关切度高的事项进行定点、定向公开，变“人找政策”为“政策找人”，提升政务公开服务精准度。（责任单位：各乡镇、县直各部门）</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（四）提升互动回应效果。</w:t>
      </w:r>
      <w:r>
        <w:rPr>
          <w:rFonts w:hint="eastAsia" w:ascii="CESI仿宋-GB18030" w:hAnsi="CESI仿宋-GB18030" w:eastAsia="仿宋_GB2312" w:cs="CESI仿宋-GB18030"/>
          <w:color w:val="auto"/>
          <w:sz w:val="32"/>
          <w:szCs w:val="32"/>
          <w:lang w:eastAsia="zh-CN"/>
        </w:rPr>
        <w:t>对县长信箱、市长热线、随手拍等要逐步缩短回复时间，提高回复质量，积极探索尝试“政策咨询智能问答库”和“相关政策打包推送服务”等便捷、高效、权威的回复方式，并定期向社会公开典型政策问答，提升互动回应的社会效果。政务新媒体要建立健全互动回应机制，畅通互动回应渠道，及时了解社会关注，回应社会关切，提升群众的满意度。（责任单位：县行政审批局、公安局、司法局、交警大队、政府信息化中心）</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（五）积极回应舆情关切。</w:t>
      </w:r>
      <w:r>
        <w:rPr>
          <w:rFonts w:hint="eastAsia" w:ascii="CESI仿宋-GB18030" w:hAnsi="CESI仿宋-GB18030" w:eastAsia="仿宋_GB2312" w:cs="CESI仿宋-GB18030"/>
          <w:color w:val="auto"/>
          <w:sz w:val="32"/>
          <w:szCs w:val="32"/>
          <w:lang w:eastAsia="zh-CN"/>
        </w:rPr>
        <w:t>要加强舆情监测和研判，落实政务舆情回应责任，做到主动发现、及时处置。要敢于直面经济社会发展热点、群众办事堵点痛点，紧紧围绕政务舆情背后的实际问题，及时发出权威声音，以解决问题的具体举措回应社会关切。加强舆情回应台账管理，认真核查</w:t>
      </w:r>
      <w:r>
        <w:rPr>
          <w:rFonts w:hint="eastAsia" w:ascii="CESI仿宋-GB18030" w:hAnsi="CESI仿宋-GB18030" w:eastAsia="仿宋_GB2312" w:cs="CESI仿宋-GB18030"/>
          <w:color w:val="auto"/>
          <w:sz w:val="32"/>
          <w:szCs w:val="32"/>
          <w:lang w:val="en-US" w:eastAsia="zh-CN"/>
        </w:rPr>
        <w:t>已</w:t>
      </w:r>
      <w:r>
        <w:rPr>
          <w:rFonts w:hint="eastAsia" w:ascii="CESI仿宋-GB18030" w:hAnsi="CESI仿宋-GB18030" w:eastAsia="仿宋_GB2312" w:cs="CESI仿宋-GB18030"/>
          <w:color w:val="auto"/>
          <w:sz w:val="32"/>
          <w:szCs w:val="32"/>
          <w:lang w:eastAsia="zh-CN"/>
        </w:rPr>
        <w:t>作出的公开内容，切实维护政府公信力。（责任单位：各乡镇、县直各部门）</w:t>
      </w:r>
    </w:p>
    <w:p>
      <w:pPr>
        <w:keepNext w:val="0"/>
        <w:keepLines w:val="0"/>
        <w:pageBreakBefore w:val="0"/>
        <w:widowControl w:val="0"/>
        <w:kinsoku/>
        <w:wordWrap/>
        <w:overflowPunct/>
        <w:topLinePunct w:val="0"/>
        <w:autoSpaceDE w:val="0"/>
        <w:autoSpaceDN w:val="0"/>
        <w:bidi w:val="0"/>
        <w:adjustRightInd/>
        <w:snapToGrid/>
        <w:spacing w:line="576" w:lineRule="exact"/>
        <w:ind w:firstLine="640" w:firstLineChars="200"/>
        <w:jc w:val="both"/>
        <w:textAlignment w:val="auto"/>
        <w:rPr>
          <w:rFonts w:hint="eastAsia" w:ascii="CESI黑体-GB18030" w:hAnsi="CESI黑体-GB18030" w:eastAsia="黑体" w:cs="CESI黑体-GB18030"/>
          <w:color w:val="auto"/>
          <w:sz w:val="32"/>
          <w:szCs w:val="32"/>
          <w:lang w:eastAsia="zh-CN"/>
        </w:rPr>
      </w:pPr>
      <w:r>
        <w:rPr>
          <w:rFonts w:hint="eastAsia" w:ascii="CESI黑体-GB18030" w:hAnsi="CESI黑体-GB18030" w:eastAsia="黑体" w:cs="CESI黑体-GB18030"/>
          <w:color w:val="auto"/>
          <w:sz w:val="32"/>
          <w:szCs w:val="32"/>
          <w:lang w:eastAsia="zh-CN"/>
        </w:rPr>
        <w:t>五、加强平台建设，提升公开工作实效</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（一）优化平台功能。</w:t>
      </w:r>
      <w:r>
        <w:rPr>
          <w:rFonts w:hint="eastAsia" w:ascii="CESI仿宋-GB18030" w:hAnsi="CESI仿宋-GB18030" w:eastAsia="仿宋_GB2312" w:cs="CESI仿宋-GB18030"/>
          <w:color w:val="auto"/>
          <w:sz w:val="32"/>
          <w:szCs w:val="32"/>
          <w:lang w:eastAsia="zh-CN"/>
        </w:rPr>
        <w:t>按照政务公开工作总体要求，全面加强政府网站及政务新媒体建设管理，实现统一标准、统一格式、统一监管。充分利用政务信息数据共享交换平台，做好政务公开工作的数据归集和数据清理，用大数据理念和技术优化政务公开工作，为政府决策提供有力支持。（责任单位：县行政审批局、政府信息化中心、公安局、司法局、交警大队）</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楷体-GB18030" w:hAnsi="CESI楷体-GB18030" w:eastAsia="楷体_GB2312" w:cs="CESI楷体-GB18030"/>
          <w:b/>
          <w:bCs/>
          <w:color w:val="auto"/>
          <w:sz w:val="32"/>
          <w:szCs w:val="32"/>
          <w:lang w:eastAsia="zh-CN"/>
        </w:rPr>
      </w:pPr>
      <w:r>
        <w:rPr>
          <w:rFonts w:hint="eastAsia" w:ascii="CESI楷体-GB18030" w:hAnsi="CESI楷体-GB18030" w:eastAsia="楷体_GB2312" w:cs="CESI楷体-GB18030"/>
          <w:b/>
          <w:bCs/>
          <w:color w:val="auto"/>
          <w:sz w:val="32"/>
          <w:szCs w:val="32"/>
          <w:lang w:eastAsia="zh-CN"/>
        </w:rPr>
        <w:t>（二）完善专栏设置</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仿宋-GB18030" w:hAnsi="CESI仿宋-GB18030" w:eastAsia="仿宋_GB2312" w:cs="CESI仿宋-GB18030"/>
          <w:b/>
          <w:bCs/>
          <w:color w:val="auto"/>
          <w:sz w:val="32"/>
          <w:szCs w:val="32"/>
          <w:lang w:val="en-US" w:eastAsia="zh-CN"/>
        </w:rPr>
        <w:t>1.</w:t>
      </w:r>
      <w:r>
        <w:rPr>
          <w:rFonts w:hint="eastAsia" w:ascii="CESI仿宋-GB18030" w:hAnsi="CESI仿宋-GB18030" w:eastAsia="仿宋_GB2312" w:cs="CESI仿宋-GB18030"/>
          <w:b/>
          <w:bCs/>
          <w:color w:val="auto"/>
          <w:sz w:val="32"/>
          <w:szCs w:val="32"/>
          <w:lang w:eastAsia="zh-CN"/>
        </w:rPr>
        <w:t>法规、政府规章。</w:t>
      </w:r>
      <w:r>
        <w:rPr>
          <w:rFonts w:hint="eastAsia" w:ascii="CESI仿宋-GB18030" w:hAnsi="CESI仿宋-GB18030" w:eastAsia="仿宋_GB2312" w:cs="CESI仿宋-GB18030"/>
          <w:color w:val="auto"/>
          <w:sz w:val="32"/>
          <w:szCs w:val="32"/>
          <w:lang w:eastAsia="zh-CN"/>
        </w:rPr>
        <w:t>用好行政法规集中统一公开成果，对照中国政府法制信息网行政法规库公布的行政法规国家正式版本，更新县政府网站上的行政法规文本。县政府门户网站要开设规章专栏，方便公众查询使用。（责任单位：县政府信息化中心）</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仿宋-GB18030" w:hAnsi="CESI仿宋-GB18030" w:eastAsia="仿宋_GB2312" w:cs="CESI仿宋-GB18030"/>
          <w:b/>
          <w:bCs/>
          <w:color w:val="auto"/>
          <w:sz w:val="32"/>
          <w:szCs w:val="32"/>
          <w:lang w:val="en-US" w:eastAsia="zh-CN"/>
        </w:rPr>
        <w:t>2.</w:t>
      </w:r>
      <w:r>
        <w:rPr>
          <w:rFonts w:hint="eastAsia" w:ascii="CESI仿宋-GB18030" w:hAnsi="CESI仿宋-GB18030" w:eastAsia="仿宋_GB2312" w:cs="CESI仿宋-GB18030"/>
          <w:b/>
          <w:bCs/>
          <w:color w:val="auto"/>
          <w:sz w:val="32"/>
          <w:szCs w:val="32"/>
          <w:lang w:eastAsia="zh-CN"/>
        </w:rPr>
        <w:t>法定主动公开内容。</w:t>
      </w:r>
      <w:r>
        <w:rPr>
          <w:rFonts w:hint="eastAsia" w:ascii="CESI仿宋-GB18030" w:hAnsi="CESI仿宋-GB18030" w:eastAsia="仿宋_GB2312" w:cs="CESI仿宋-GB18030"/>
          <w:color w:val="auto"/>
          <w:sz w:val="32"/>
          <w:szCs w:val="32"/>
          <w:lang w:eastAsia="zh-CN"/>
        </w:rPr>
        <w:t>政府门户网站要完善法定主动公开栏目设置，做到目录位置醒目、设置科学合理、链接跳转迅速、内容更新及时、搜索查找快捷。（责任单位：县政府信息化中心）</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仿宋-GB18030" w:hAnsi="CESI仿宋-GB18030" w:eastAsia="仿宋_GB2312" w:cs="CESI仿宋-GB18030"/>
          <w:b/>
          <w:bCs/>
          <w:color w:val="auto"/>
          <w:sz w:val="32"/>
          <w:szCs w:val="32"/>
          <w:lang w:val="en-US" w:eastAsia="zh-CN"/>
        </w:rPr>
        <w:t>3.</w:t>
      </w:r>
      <w:r>
        <w:rPr>
          <w:rFonts w:hint="eastAsia" w:ascii="CESI仿宋-GB18030" w:hAnsi="CESI仿宋-GB18030" w:eastAsia="仿宋_GB2312" w:cs="CESI仿宋-GB18030"/>
          <w:b/>
          <w:bCs/>
          <w:color w:val="auto"/>
          <w:sz w:val="32"/>
          <w:szCs w:val="32"/>
          <w:lang w:eastAsia="zh-CN"/>
        </w:rPr>
        <w:t>公报。</w:t>
      </w:r>
      <w:r>
        <w:rPr>
          <w:rFonts w:hint="eastAsia" w:ascii="CESI仿宋-GB18030" w:hAnsi="CESI仿宋-GB18030" w:eastAsia="仿宋_GB2312" w:cs="CESI仿宋-GB18030"/>
          <w:color w:val="auto"/>
          <w:sz w:val="32"/>
          <w:szCs w:val="32"/>
          <w:lang w:eastAsia="zh-CN"/>
        </w:rPr>
        <w:t>加强公报数据库安全管理，确保数据完整、准确。推动政府公报数据库数字化利用，开发相应政务新媒体和移动客户端，打造“掌上公报”。（责任单位：县统计局、政府信息化中心）</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仿宋-GB18030" w:hAnsi="CESI仿宋-GB18030" w:eastAsia="仿宋_GB2312" w:cs="CESI仿宋-GB18030"/>
          <w:b/>
          <w:bCs/>
          <w:color w:val="auto"/>
          <w:sz w:val="32"/>
          <w:szCs w:val="32"/>
          <w:lang w:val="en-US" w:eastAsia="zh-CN"/>
        </w:rPr>
        <w:t>4.</w:t>
      </w:r>
      <w:r>
        <w:rPr>
          <w:rFonts w:hint="eastAsia" w:ascii="CESI仿宋-GB18030" w:hAnsi="CESI仿宋-GB18030" w:eastAsia="仿宋_GB2312" w:cs="CESI仿宋-GB18030"/>
          <w:b/>
          <w:bCs/>
          <w:color w:val="auto"/>
          <w:sz w:val="32"/>
          <w:szCs w:val="32"/>
          <w:lang w:eastAsia="zh-CN"/>
        </w:rPr>
        <w:t>年报。</w:t>
      </w:r>
      <w:r>
        <w:rPr>
          <w:rFonts w:hint="eastAsia" w:ascii="CESI仿宋-GB18030" w:hAnsi="CESI仿宋-GB18030" w:eastAsia="仿宋_GB2312" w:cs="CESI仿宋-GB18030"/>
          <w:color w:val="auto"/>
          <w:sz w:val="32"/>
          <w:szCs w:val="32"/>
          <w:lang w:eastAsia="zh-CN"/>
        </w:rPr>
        <w:t>根据国务院办公厅修订完善的政府信息公开工作年度报告格式完成年报制作，并按时向社会公布。政务公开要点落实情况要纳入年报，接受社会监督。（责任单位：各乡镇、县直各相关部门）</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（三）开设政务公开专区。</w:t>
      </w:r>
      <w:r>
        <w:rPr>
          <w:rFonts w:hint="eastAsia" w:ascii="CESI仿宋-GB18030" w:hAnsi="CESI仿宋-GB18030" w:eastAsia="仿宋_GB2312" w:cs="CESI仿宋-GB18030"/>
          <w:color w:val="auto"/>
          <w:sz w:val="32"/>
          <w:szCs w:val="32"/>
          <w:lang w:eastAsia="zh-CN"/>
        </w:rPr>
        <w:t>县行政审批局</w:t>
      </w:r>
      <w:r>
        <w:rPr>
          <w:rFonts w:hint="eastAsia" w:ascii="CESI仿宋-GB18030" w:hAnsi="CESI仿宋-GB18030" w:eastAsia="仿宋_GB2312" w:cs="CESI仿宋-GB18030"/>
          <w:color w:val="auto"/>
          <w:sz w:val="32"/>
          <w:szCs w:val="32"/>
          <w:lang w:val="en-US" w:eastAsia="zh-CN"/>
        </w:rPr>
        <w:t>要</w:t>
      </w:r>
      <w:r>
        <w:rPr>
          <w:rFonts w:hint="eastAsia" w:ascii="CESI仿宋-GB18030" w:hAnsi="CESI仿宋-GB18030" w:eastAsia="仿宋_GB2312" w:cs="CESI仿宋-GB18030"/>
          <w:color w:val="auto"/>
          <w:sz w:val="32"/>
          <w:szCs w:val="32"/>
          <w:lang w:eastAsia="zh-CN"/>
        </w:rPr>
        <w:t>根据实际情况，适时设置“政务公开专区”，将“政务公开专区”打造成集政府信息查询、信息公开申请、政策解读、政民互动、政策咨询、事项办理等功能于一体的线上线下综合服务平台。（责任单位：县行政审批局）</w:t>
      </w:r>
    </w:p>
    <w:p>
      <w:pPr>
        <w:keepNext w:val="0"/>
        <w:keepLines w:val="0"/>
        <w:pageBreakBefore w:val="0"/>
        <w:widowControl w:val="0"/>
        <w:kinsoku/>
        <w:wordWrap/>
        <w:overflowPunct/>
        <w:topLinePunct w:val="0"/>
        <w:autoSpaceDE w:val="0"/>
        <w:autoSpaceDN w:val="0"/>
        <w:bidi w:val="0"/>
        <w:adjustRightInd/>
        <w:snapToGrid/>
        <w:spacing w:line="576" w:lineRule="exact"/>
        <w:ind w:firstLine="640" w:firstLineChars="200"/>
        <w:jc w:val="both"/>
        <w:textAlignment w:val="auto"/>
        <w:rPr>
          <w:rFonts w:hint="eastAsia" w:ascii="CESI黑体-GB18030" w:hAnsi="CESI黑体-GB18030" w:eastAsia="黑体" w:cs="CESI黑体-GB18030"/>
          <w:color w:val="auto"/>
          <w:sz w:val="32"/>
          <w:szCs w:val="32"/>
          <w:lang w:eastAsia="zh-CN"/>
        </w:rPr>
      </w:pPr>
      <w:r>
        <w:rPr>
          <w:rFonts w:hint="eastAsia" w:ascii="CESI黑体-GB18030" w:hAnsi="CESI黑体-GB18030" w:eastAsia="黑体" w:cs="CESI黑体-GB18030"/>
          <w:color w:val="auto"/>
          <w:sz w:val="32"/>
          <w:szCs w:val="32"/>
          <w:lang w:eastAsia="zh-CN"/>
        </w:rPr>
        <w:t>六、深化公开层级，推进基层政务公开标准化规范化</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（一）抓好基层政务公开标准目录的落实。</w:t>
      </w:r>
      <w:r>
        <w:rPr>
          <w:rFonts w:hint="eastAsia" w:ascii="CESI仿宋-GB18030" w:hAnsi="CESI仿宋-GB18030" w:eastAsia="仿宋_GB2312" w:cs="CESI仿宋-GB18030"/>
          <w:color w:val="auto"/>
          <w:sz w:val="32"/>
          <w:szCs w:val="32"/>
          <w:lang w:eastAsia="zh-CN"/>
        </w:rPr>
        <w:t>各乡镇要抓好标准目录的执行；县直相关部门要对本领域标准目录的落实情况进行抽查检查，对未按要求进行公开的，要进行通报并限期整改。（责任单位：各乡镇、县直各相关部门）</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（二）拓展基层政务公开标准化规范化领域。</w:t>
      </w:r>
      <w:r>
        <w:rPr>
          <w:rFonts w:hint="eastAsia" w:ascii="CESI仿宋-GB18030" w:hAnsi="CESI仿宋-GB18030" w:eastAsia="仿宋_GB2312" w:cs="CESI仿宋-GB18030"/>
          <w:color w:val="auto"/>
          <w:sz w:val="32"/>
          <w:szCs w:val="32"/>
          <w:lang w:eastAsia="zh-CN"/>
        </w:rPr>
        <w:t>在完成基层政务公开标准化规范化</w:t>
      </w:r>
      <w:r>
        <w:rPr>
          <w:rFonts w:hint="eastAsia" w:ascii="仿宋_GB2312" w:hAnsi="仿宋_GB2312" w:eastAsia="仿宋_GB2312" w:cs="仿宋_GB2312"/>
          <w:color w:val="auto"/>
          <w:sz w:val="32"/>
          <w:szCs w:val="32"/>
          <w:lang w:eastAsia="zh-CN"/>
        </w:rPr>
        <w:t>26</w:t>
      </w:r>
      <w:r>
        <w:rPr>
          <w:rFonts w:hint="eastAsia" w:ascii="CESI仿宋-GB18030" w:hAnsi="CESI仿宋-GB18030" w:eastAsia="仿宋_GB2312" w:cs="CESI仿宋-GB18030"/>
          <w:color w:val="auto"/>
          <w:sz w:val="32"/>
          <w:szCs w:val="32"/>
          <w:lang w:eastAsia="zh-CN"/>
        </w:rPr>
        <w:t>个试点领域标准目录的基础上，全面梳理细化相关领域政务公开事项，拓展政务公开标准化规范化领域，并逐步推动基层政务公开标准化规范化向农村和社区延伸。（责任单位：各乡镇、县直各相关部门）</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（三）实施基层政务公开标准化规范化目录动态管理。</w:t>
      </w:r>
      <w:r>
        <w:rPr>
          <w:rFonts w:hint="eastAsia" w:ascii="CESI仿宋-GB18030" w:hAnsi="CESI仿宋-GB18030" w:eastAsia="仿宋_GB2312" w:cs="CESI仿宋-GB18030"/>
          <w:color w:val="auto"/>
          <w:sz w:val="32"/>
          <w:szCs w:val="32"/>
          <w:lang w:eastAsia="zh-CN"/>
        </w:rPr>
        <w:t>根据实际情况，结合本单位权责清单和公共服务事项清单，对已出台的基层政务公开标准化规范化目录定期调整、更新和完善，并对标准指引落实情况进行跟踪评估，切实增强操作性、实效性，满足基层群众实际需求。（责任单位：各乡镇、县直各相关部门）</w:t>
      </w:r>
    </w:p>
    <w:p>
      <w:pPr>
        <w:keepNext w:val="0"/>
        <w:keepLines w:val="0"/>
        <w:pageBreakBefore w:val="0"/>
        <w:widowControl w:val="0"/>
        <w:kinsoku/>
        <w:wordWrap/>
        <w:overflowPunct/>
        <w:topLinePunct w:val="0"/>
        <w:autoSpaceDE w:val="0"/>
        <w:autoSpaceDN w:val="0"/>
        <w:bidi w:val="0"/>
        <w:adjustRightInd/>
        <w:snapToGrid/>
        <w:spacing w:line="576" w:lineRule="exact"/>
        <w:ind w:firstLine="640" w:firstLineChars="200"/>
        <w:jc w:val="both"/>
        <w:textAlignment w:val="auto"/>
        <w:rPr>
          <w:rFonts w:hint="eastAsia" w:ascii="CESI黑体-GB18030" w:hAnsi="CESI黑体-GB18030" w:eastAsia="黑体" w:cs="CESI黑体-GB18030"/>
          <w:color w:val="auto"/>
          <w:sz w:val="32"/>
          <w:szCs w:val="32"/>
          <w:lang w:eastAsia="zh-CN"/>
        </w:rPr>
      </w:pPr>
      <w:r>
        <w:rPr>
          <w:rFonts w:hint="eastAsia" w:ascii="CESI黑体-GB18030" w:hAnsi="CESI黑体-GB18030" w:eastAsia="黑体" w:cs="CESI黑体-GB18030"/>
          <w:color w:val="auto"/>
          <w:sz w:val="32"/>
          <w:szCs w:val="32"/>
          <w:lang w:eastAsia="zh-CN"/>
        </w:rPr>
        <w:t>七、积极参与评选，打造政务公开“亮点工程”</w:t>
      </w:r>
    </w:p>
    <w:p>
      <w:pPr>
        <w:keepNext w:val="0"/>
        <w:keepLines w:val="0"/>
        <w:pageBreakBefore w:val="0"/>
        <w:widowControl w:val="0"/>
        <w:kinsoku/>
        <w:wordWrap/>
        <w:overflowPunct/>
        <w:topLinePunct w:val="0"/>
        <w:autoSpaceDE w:val="0"/>
        <w:autoSpaceDN w:val="0"/>
        <w:bidi w:val="0"/>
        <w:adjustRightInd/>
        <w:snapToGrid/>
        <w:spacing w:line="576" w:lineRule="exact"/>
        <w:ind w:firstLine="640"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仿宋-GB18030" w:hAnsi="CESI仿宋-GB18030" w:eastAsia="仿宋_GB2312" w:cs="CESI仿宋-GB18030"/>
          <w:color w:val="auto"/>
          <w:sz w:val="32"/>
          <w:szCs w:val="32"/>
          <w:lang w:eastAsia="zh-CN"/>
        </w:rPr>
        <w:t>积极参与省政府政务公开“亮点工程”评选，参评内容为“十大最受群众欢迎的政府（门户）网站、十大最受群众欢迎的政府系统政务新媒体、十大最受百姓认可的基层政务公开标准化规范化领域、十大最具代表性的依申请公开答复案例、十大社会效果最好的政务舆情回应案例、十大功能齐备活动丰富的政务公开专区、十大政务公开业务培训优秀讲师、三大发刊机制完善阅读体验良好的政府公报”等。（责任单位：各乡镇、县直各相关部门、县政府信息化中心）</w:t>
      </w:r>
    </w:p>
    <w:p>
      <w:pPr>
        <w:keepNext w:val="0"/>
        <w:keepLines w:val="0"/>
        <w:pageBreakBefore w:val="0"/>
        <w:widowControl w:val="0"/>
        <w:kinsoku/>
        <w:wordWrap/>
        <w:overflowPunct/>
        <w:topLinePunct w:val="0"/>
        <w:autoSpaceDE w:val="0"/>
        <w:autoSpaceDN w:val="0"/>
        <w:bidi w:val="0"/>
        <w:adjustRightInd/>
        <w:snapToGrid/>
        <w:spacing w:line="576" w:lineRule="exact"/>
        <w:ind w:firstLine="640" w:firstLineChars="200"/>
        <w:jc w:val="both"/>
        <w:textAlignment w:val="auto"/>
        <w:rPr>
          <w:rFonts w:hint="eastAsia" w:ascii="CESI黑体-GB18030" w:hAnsi="CESI黑体-GB18030" w:eastAsia="黑体" w:cs="CESI黑体-GB18030"/>
          <w:color w:val="auto"/>
          <w:sz w:val="32"/>
          <w:szCs w:val="32"/>
          <w:lang w:eastAsia="zh-CN"/>
        </w:rPr>
      </w:pPr>
      <w:r>
        <w:rPr>
          <w:rFonts w:hint="eastAsia" w:ascii="CESI黑体-GB18030" w:hAnsi="CESI黑体-GB18030" w:eastAsia="黑体" w:cs="CESI黑体-GB18030"/>
          <w:color w:val="auto"/>
          <w:sz w:val="32"/>
          <w:szCs w:val="32"/>
          <w:lang w:eastAsia="zh-CN"/>
        </w:rPr>
        <w:t>八、强化保障措施，确保工作落到实处</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（一）提高思想认识。</w:t>
      </w:r>
      <w:r>
        <w:rPr>
          <w:rFonts w:hint="eastAsia" w:ascii="CESI仿宋-GB18030" w:hAnsi="CESI仿宋-GB18030" w:eastAsia="仿宋_GB2312" w:cs="CESI仿宋-GB18030"/>
          <w:color w:val="auto"/>
          <w:sz w:val="32"/>
          <w:szCs w:val="32"/>
          <w:lang w:eastAsia="zh-CN"/>
        </w:rPr>
        <w:t>推行政务公开是政府服务人民、依靠人民，对人民负责、接受人民监督的重要渠道，是党和政府与人民群众沟通联系的桥梁纽带。各乡镇、县直各相关部门要高度重视，定期研究政务公开工作，充实人员队伍，加强经费保障，理顺工作机制，确保各项工作落实到位。</w:t>
      </w:r>
    </w:p>
    <w:p>
      <w:pPr>
        <w:keepNext w:val="0"/>
        <w:keepLines w:val="0"/>
        <w:pageBreakBefore w:val="0"/>
        <w:widowControl w:val="0"/>
        <w:kinsoku/>
        <w:wordWrap/>
        <w:overflowPunct/>
        <w:topLinePunct w:val="0"/>
        <w:autoSpaceDE w:val="0"/>
        <w:autoSpaceDN w:val="0"/>
        <w:bidi w:val="0"/>
        <w:adjustRightInd/>
        <w:snapToGrid/>
        <w:spacing w:line="576" w:lineRule="exact"/>
        <w:ind w:firstLine="642" w:firstLineChars="200"/>
        <w:jc w:val="both"/>
        <w:textAlignment w:val="auto"/>
        <w:rPr>
          <w:rFonts w:hint="eastAsia" w:ascii="CESI仿宋-GB18030" w:hAnsi="CESI仿宋-GB18030" w:eastAsia="仿宋_GB2312" w:cs="CESI仿宋-GB18030"/>
          <w:color w:val="auto"/>
          <w:sz w:val="32"/>
          <w:szCs w:val="32"/>
          <w:lang w:eastAsia="zh-CN"/>
        </w:rPr>
      </w:pPr>
      <w:r>
        <w:rPr>
          <w:rFonts w:hint="eastAsia" w:ascii="CESI楷体-GB18030" w:hAnsi="CESI楷体-GB18030" w:eastAsia="楷体_GB2312" w:cs="CESI楷体-GB18030"/>
          <w:b/>
          <w:bCs/>
          <w:color w:val="auto"/>
          <w:sz w:val="32"/>
          <w:szCs w:val="32"/>
          <w:lang w:eastAsia="zh-CN"/>
        </w:rPr>
        <w:t>（二）强化业务培训。</w:t>
      </w:r>
      <w:r>
        <w:rPr>
          <w:rFonts w:hint="eastAsia" w:ascii="CESI仿宋-GB18030" w:hAnsi="CESI仿宋-GB18030" w:eastAsia="仿宋_GB2312" w:cs="CESI仿宋-GB18030"/>
          <w:color w:val="auto"/>
          <w:sz w:val="32"/>
          <w:szCs w:val="32"/>
          <w:lang w:eastAsia="zh-CN"/>
        </w:rPr>
        <w:t>各乡镇、县直各相关部门要加强对政府信息公开工作的业务培训，制定年度政务公开专项业务培训计划，定期组织开展政府信息公开工作培训和研讨交流。</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default" w:ascii="仿宋_GB2312" w:hAnsi="仿宋_GB2312" w:eastAsia="仿宋_GB2312" w:cs="仿宋_GB2312"/>
          <w:color w:val="auto"/>
          <w:sz w:val="32"/>
          <w:szCs w:val="32"/>
          <w:lang w:val="en-US" w:eastAsia="zh-CN"/>
        </w:rPr>
      </w:pPr>
      <w:r>
        <w:rPr>
          <w:rFonts w:hint="eastAsia" w:ascii="CESI楷体-GB18030" w:hAnsi="CESI楷体-GB18030" w:eastAsia="楷体_GB2312" w:cs="CESI楷体-GB18030"/>
          <w:b/>
          <w:bCs/>
          <w:color w:val="auto"/>
          <w:sz w:val="32"/>
          <w:szCs w:val="32"/>
          <w:lang w:eastAsia="zh-CN"/>
        </w:rPr>
        <w:t>（三）落实监督考核。</w:t>
      </w:r>
      <w:r>
        <w:rPr>
          <w:rFonts w:hint="eastAsia" w:ascii="CESI仿宋-GB18030" w:hAnsi="CESI仿宋-GB18030" w:eastAsia="仿宋_GB2312" w:cs="CESI仿宋-GB18030"/>
          <w:color w:val="auto"/>
          <w:sz w:val="32"/>
          <w:szCs w:val="32"/>
          <w:lang w:eastAsia="zh-CN"/>
        </w:rPr>
        <w:t>各乡镇、县直各相关部门要细化分工、落实责任，加强对政务公开要点落实情况日常监督，同时，把要点落实情况纳入</w:t>
      </w:r>
      <w:r>
        <w:rPr>
          <w:rFonts w:hint="eastAsia" w:ascii="CESI仿宋-GB18030" w:hAnsi="CESI仿宋-GB18030" w:eastAsia="仿宋_GB2312" w:cs="CESI仿宋-GB18030"/>
          <w:color w:val="auto"/>
          <w:sz w:val="32"/>
          <w:szCs w:val="32"/>
          <w:lang w:val="en-US" w:eastAsia="zh-CN"/>
        </w:rPr>
        <w:t>本单位</w:t>
      </w:r>
      <w:r>
        <w:rPr>
          <w:rFonts w:hint="eastAsia" w:ascii="CESI仿宋-GB18030" w:hAnsi="CESI仿宋-GB18030" w:eastAsia="仿宋_GB2312" w:cs="CESI仿宋-GB18030"/>
          <w:color w:val="auto"/>
          <w:sz w:val="32"/>
          <w:szCs w:val="32"/>
          <w:lang w:eastAsia="zh-CN"/>
        </w:rPr>
        <w:t>年度目标责任考核</w:t>
      </w:r>
      <w:r>
        <w:rPr>
          <w:rFonts w:hint="eastAsia" w:ascii="CESI仿宋-GB18030" w:hAnsi="CESI仿宋-GB18030" w:eastAsia="仿宋_GB2312" w:cs="CESI仿宋-GB18030"/>
          <w:color w:val="auto"/>
          <w:sz w:val="32"/>
          <w:szCs w:val="32"/>
          <w:lang w:val="en-US" w:eastAsia="zh-CN"/>
        </w:rPr>
        <w:t>范畴</w:t>
      </w:r>
      <w:r>
        <w:rPr>
          <w:rFonts w:hint="eastAsia" w:ascii="CESI仿宋-GB18030" w:hAnsi="CESI仿宋-GB18030" w:eastAsia="仿宋_GB2312" w:cs="CESI仿宋-GB18030"/>
          <w:color w:val="auto"/>
          <w:sz w:val="32"/>
          <w:szCs w:val="32"/>
          <w:lang w:eastAsia="zh-CN"/>
        </w:rPr>
        <w:t>，科学合理设置考核项目和标准，公平公正开展工作考核。</w:t>
      </w:r>
    </w:p>
    <w:p>
      <w:pPr>
        <w:rPr>
          <w:rFonts w:hint="eastAsia" w:ascii="CESI黑体-GB18030" w:hAnsi="CESI黑体-GB18030" w:eastAsia="黑体" w:cs="CESI黑体-GB18030"/>
          <w:sz w:val="28"/>
          <w:szCs w:val="28"/>
          <w:lang w:eastAsia="zh-CN"/>
        </w:rPr>
        <w:sectPr>
          <w:headerReference r:id="rId3" w:type="default"/>
          <w:footerReference r:id="rId5" w:type="default"/>
          <w:headerReference r:id="rId4" w:type="even"/>
          <w:footerReference r:id="rId6" w:type="even"/>
          <w:pgSz w:w="11850" w:h="16783"/>
          <w:pgMar w:top="1800" w:right="1440" w:bottom="1800" w:left="1440" w:header="720" w:footer="720" w:gutter="0"/>
          <w:pgBorders>
            <w:top w:val="none" w:sz="0" w:space="0"/>
            <w:left w:val="none" w:sz="0" w:space="0"/>
            <w:bottom w:val="none" w:sz="0" w:space="0"/>
            <w:right w:val="none" w:sz="0" w:space="0"/>
          </w:pgBorders>
          <w:pgNumType w:fmt="numberInDash"/>
          <w:cols w:space="0" w:num="1"/>
          <w:rtlGutter w:val="0"/>
          <w:docGrid w:linePitch="0" w:charSpace="0"/>
        </w:sect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CESI黑体-GB18030">
    <w:panose1 w:val="02000500000000000000"/>
    <w:charset w:val="86"/>
    <w:family w:val="auto"/>
    <w:pitch w:val="default"/>
    <w:sig w:usb0="A00002BF" w:usb1="38C77CFA" w:usb2="00000016" w:usb3="00000000" w:csb0="0004000F" w:csb1="00000000"/>
  </w:font>
  <w:font w:name="方正小标宋_GBK">
    <w:panose1 w:val="02000000000000000000"/>
    <w:charset w:val="86"/>
    <w:family w:val="auto"/>
    <w:pitch w:val="default"/>
    <w:sig w:usb0="A00002BF" w:usb1="38CF7CFA" w:usb2="00082016" w:usb3="00000000" w:csb0="00040001" w:csb1="00000000"/>
  </w:font>
  <w:font w:name="CESI仿宋-GB18030">
    <w:panose1 w:val="02000500000000000000"/>
    <w:charset w:val="86"/>
    <w:family w:val="auto"/>
    <w:pitch w:val="default"/>
    <w:sig w:usb0="A00002BF" w:usb1="38C77CFA" w:usb2="00000016" w:usb3="00000000" w:csb0="0004000F" w:csb1="00000000"/>
  </w:font>
  <w:font w:name="仿宋_GB2312">
    <w:altName w:val="方正仿宋_GBK"/>
    <w:panose1 w:val="02010609030101010101"/>
    <w:charset w:val="86"/>
    <w:family w:val="auto"/>
    <w:pitch w:val="default"/>
    <w:sig w:usb0="00000000" w:usb1="00000000" w:usb2="00000000" w:usb3="00000000" w:csb0="00040000" w:csb1="00000000"/>
  </w:font>
  <w:font w:name="CESI楷体-GB18030">
    <w:panose1 w:val="02000500000000000000"/>
    <w:charset w:val="86"/>
    <w:family w:val="auto"/>
    <w:pitch w:val="default"/>
    <w:sig w:usb0="A00002BF" w:usb1="38CF7CFA" w:usb2="00000016" w:usb3="00000000" w:csb0="0004000F" w:csb1="00000000"/>
  </w:font>
  <w:font w:name="楷体_GB2312">
    <w:altName w:val="方正楷体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-304800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24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8gO9M9QAAAAIAQAADwAAAAAAAAABACAAAAA4AAAAZHJzL2Rvd25yZXYueG1sUEsB&#10;AhQAFAAAAAgAh07iQEkIsxAcAgAAKQQAAA4AAAAAAAAAAQAgAAAAOQEAAGRycy9lMm9Eb2MueG1s&#10;UEsFBgAAAAAGAAYAWQEAAMcFA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9504" behindDoc="0" locked="0" layoutInCell="1" allowOverlap="1">
              <wp:simplePos x="0" y="0"/>
              <wp:positionH relativeFrom="margin">
                <wp:posOffset>-8890</wp:posOffset>
              </wp:positionH>
              <wp:positionV relativeFrom="paragraph">
                <wp:posOffset>-262890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- 2 -</w:t>
                          </w:r>
                          <w:r>
                            <w:rPr>
                              <w:rFonts w:hint="eastAsia"/>
                              <w:sz w:val="28"/>
                              <w:szCs w:val="28"/>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0.7pt;margin-top:-20.7pt;height:144pt;width:144pt;mso-position-horizontal-relative:margin;mso-wrap-style:none;z-index:251669504;mso-width-relative:page;mso-height-relative:page;" filled="f" stroked="f" coordsize="21600,21600" o:gfxdata="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ANinSE1QAAAAoBAAAPAAAAAAAAAAEAIAAAADgAAABkcnMvZG93bnJldi54bWxQ&#10;SwECFAAUAAAACACHTuJAbwPwIR0CAAArBAAADgAAAAAAAAABACAAAAA6AQAAZHJzL2Uyb0RvYy54&#10;bWxQSwUGAAAAAAYABgBZAQAAyQU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- 2 -</w:t>
                    </w:r>
                    <w:r>
                      <w:rPr>
                        <w:rFonts w:hint="eastAsia"/>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3F4F44"/>
    <w:rsid w:val="6F3F4F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9"/>
    <w:pPr>
      <w:ind w:left="109"/>
      <w:outlineLvl w:val="0"/>
    </w:pPr>
    <w:rPr>
      <w:sz w:val="55"/>
      <w:szCs w:val="55"/>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2021-09-29T16:33:00Z</dcterms:created>
  <dc:creator>baixin</dc:creator>
  <cp:lastModifiedBy>baixin</cp:lastModifiedBy>
  <dcterms:modified xsi:type="dcterms:W3CDTF">2021-09-29T16:34:04Z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