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jc w:val="center"/>
        <w:textAlignment w:val="auto"/>
        <w:rPr>
          <w:rFonts w:ascii="方正小标宋简体" w:eastAsia="方正小标宋简体"/>
          <w:color w:val="FF3300"/>
          <w:spacing w:val="220"/>
          <w:w w:val="85"/>
          <w:sz w:val="96"/>
          <w:szCs w:val="96"/>
        </w:rPr>
      </w:pPr>
      <w:r>
        <w:rPr>
          <w:rFonts w:hint="eastAsia" w:ascii="方正小标宋简体" w:eastAsia="方正小标宋简体"/>
          <w:color w:val="FF3300"/>
          <w:spacing w:val="220"/>
          <w:w w:val="85"/>
          <w:sz w:val="96"/>
          <w:szCs w:val="96"/>
        </w:rPr>
        <w:t>曲沃县财政</w:t>
      </w:r>
      <w:r>
        <w:rPr>
          <w:rFonts w:hint="eastAsia" w:ascii="方正小标宋简体" w:eastAsia="方正小标宋简体"/>
          <w:color w:val="FF3300"/>
          <w:w w:val="85"/>
          <w:sz w:val="96"/>
          <w:szCs w:val="96"/>
        </w:rPr>
        <w:t>局</w:t>
      </w:r>
    </w:p>
    <w:p>
      <w:pPr>
        <w:keepNext w:val="0"/>
        <w:keepLines w:val="0"/>
        <w:pageBreakBefore w:val="0"/>
        <w:widowControl w:val="0"/>
        <w:tabs>
          <w:tab w:val="left" w:pos="7371"/>
        </w:tabs>
        <w:kinsoku/>
        <w:wordWrap/>
        <w:overflowPunct/>
        <w:topLinePunct w:val="0"/>
        <w:autoSpaceDE/>
        <w:autoSpaceDN/>
        <w:bidi w:val="0"/>
        <w:adjustRightInd/>
        <w:snapToGrid/>
        <w:jc w:val="right"/>
        <w:textAlignment w:val="auto"/>
        <w:rPr>
          <w:rFonts w:ascii="仿宋_GB2312" w:eastAsia="仿宋_GB2312"/>
          <w:sz w:val="32"/>
        </w:rPr>
      </w:pPr>
      <w:r>
        <w:rPr>
          <w:rFonts w:ascii="仿宋_GB2312" w:eastAsia="仿宋_GB2312"/>
          <w:color w:val="FF3300"/>
          <w:sz w:val="32"/>
        </w:rPr>
        <mc:AlternateContent>
          <mc:Choice Requires="wps">
            <w:drawing>
              <wp:anchor distT="0" distB="0" distL="114300" distR="114300" simplePos="0" relativeHeight="251661312" behindDoc="0" locked="0" layoutInCell="1" allowOverlap="1">
                <wp:simplePos x="0" y="0"/>
                <wp:positionH relativeFrom="column">
                  <wp:posOffset>-86360</wp:posOffset>
                </wp:positionH>
                <wp:positionV relativeFrom="paragraph">
                  <wp:posOffset>59055</wp:posOffset>
                </wp:positionV>
                <wp:extent cx="5845810" cy="0"/>
                <wp:effectExtent l="0" t="0" r="0" b="0"/>
                <wp:wrapNone/>
                <wp:docPr id="2" name="AutoShape 3"/>
                <wp:cNvGraphicFramePr/>
                <a:graphic xmlns:a="http://schemas.openxmlformats.org/drawingml/2006/main">
                  <a:graphicData uri="http://schemas.microsoft.com/office/word/2010/wordprocessingShape">
                    <wps:wsp>
                      <wps:cNvCnPr/>
                      <wps:spPr>
                        <a:xfrm>
                          <a:off x="0" y="0"/>
                          <a:ext cx="5845810" cy="0"/>
                        </a:xfrm>
                        <a:prstGeom prst="straightConnector1">
                          <a:avLst/>
                        </a:prstGeom>
                        <a:ln w="6350" cap="flat" cmpd="sng">
                          <a:solidFill>
                            <a:srgbClr val="FF0000"/>
                          </a:solidFill>
                          <a:prstDash val="solid"/>
                          <a:headEnd type="none" w="med" len="med"/>
                          <a:tailEnd type="none" w="med" len="med"/>
                        </a:ln>
                      </wps:spPr>
                      <wps:bodyPr/>
                    </wps:wsp>
                  </a:graphicData>
                </a:graphic>
              </wp:anchor>
            </w:drawing>
          </mc:Choice>
          <mc:Fallback>
            <w:pict>
              <v:shape id="AutoShape 3" o:spid="_x0000_s1026" o:spt="32" type="#_x0000_t32" style="position:absolute;left:0pt;margin-left:-6.8pt;margin-top:4.65pt;height:0pt;width:460.3pt;z-index:251661312;mso-width-relative:page;mso-height-relative:page;" filled="f" stroked="t" coordsize="21600,21600" o:gfxdata="UEsFBgAAAAAAAAAAAAAAAAAAAAAAAFBLAwQKAAAAAACHTuJAAAAAAAAAAAAAAAAABAAAAGRycy9Q&#10;SwMEFAAAAAgAh07iQG6h3irUAAAABwEAAA8AAABkcnMvZG93bnJldi54bWxNj8FOwzAQRO9I/IO1&#10;SNxaO4QUGuL0gMQNgVqQuLrxEkeN1yF22vD3LFzocTSjmTfVZva9OOIYu0AasqUCgdQE21Gr4f3t&#10;aXEPIiZD1vSBUMM3RtjUlxeVKW040RaPu9QKLqFYGg0upaGUMjYOvYnLMCCx9xlGbxLLsZV2NCcu&#10;9728UWolvemIF5wZ8NFhc9hNXsNt53M3fRyKF1fE19QU8/PXvNX6+ipTDyASzuk/DL/4jA41M+3D&#10;RDaKXsMiy1cc1bDOQbC/Vnf8bf+nZV3Jc/76B1BLAwQUAAAACACHTuJA4zpkIMYBAACSAwAADgAA&#10;AGRycy9lMm9Eb2MueG1srVPbjhoxDH2v1H+I8l4G2LJCI4ZVBaUvVYvU7QeYXGYi5aY4y8Df1wks&#10;28tLtdp5yDixfexz4qweTs6yo0pogu/4bDLlTHkRpPF9x38+7j4sOcMMXoINXnX8rJA/rN+/W42x&#10;VfMwBCtVYgTisR1jx4ecY9s0KAblACchKk9OHZKDTNvUNzLBSOjONvPp9L4ZQ5IxBaEQ6XR7cfJ1&#10;xddaifxda1SZ2Y5Tb7muqa6HsjbrFbR9gjgYcW0DXtGFA+Op6A1qCxnYUzL/QDkjUsCg80QE1wSt&#10;jVCVA7GZTf9i82OAqCoXEgfjTSZ8O1jx7bhPzMiOzznz4OiKPj3lUCuzuyLPGLGlqI3fp+sO4z4V&#10;riedXPkTC3aqkp5vkqpTZoIOF8uPi+WMlBfPvuYlMSbMX1RwrBgdx5zA9EPeBO/p4kKaVUnh+BUz&#10;labE54RS1Xo2dvz+blHAgUZHW8hkukhk0Pc1F4M1cmesLRmY+sPGJnYEGobdbkpfIUi4f4SVIlvA&#10;4RJXXZcxGRTIz16yfI4kk6d55qUFpyRnVtH4F4sAoc1g7P9EUmnrqYOi8UXVYh2CPFex6zldfO3x&#10;OqRlsn7f1+yXp7T+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BYAAABkcnMvUEsBAhQAFAAAAAgAh07iQG6h3irUAAAABwEAAA8AAAAAAAAA&#10;AQAgAAAAOAAAAGRycy9kb3ducmV2LnhtbFBLAQIUABQAAAAIAIdO4kDjOmQgxgEAAJIDAAAOAAAA&#10;AAAAAAEAIAAAADkBAABkcnMvZTJvRG9jLnhtbFBLBQYAAAAABgAGAFkBAABxBQAAAAA=&#10;">
                <v:fill on="f" focussize="0,0"/>
                <v:stroke weight="0.5pt" color="#FF0000" joinstyle="round"/>
                <v:imagedata o:title=""/>
                <o:lock v:ext="edit" aspectratio="f"/>
              </v:shape>
            </w:pict>
          </mc:Fallback>
        </mc:AlternateContent>
      </w:r>
      <w:r>
        <w:rPr>
          <w:rFonts w:ascii="仿宋_GB2312" w:eastAsia="仿宋_GB2312"/>
          <w:color w:val="FF3300"/>
          <w:sz w:val="32"/>
        </w:rPr>
        <mc:AlternateContent>
          <mc:Choice Requires="wps">
            <w:drawing>
              <wp:anchor distT="0" distB="0" distL="114300" distR="114300" simplePos="0" relativeHeight="251660288" behindDoc="0" locked="0" layoutInCell="1" allowOverlap="1">
                <wp:simplePos x="0" y="0"/>
                <wp:positionH relativeFrom="column">
                  <wp:posOffset>-86360</wp:posOffset>
                </wp:positionH>
                <wp:positionV relativeFrom="paragraph">
                  <wp:posOffset>27305</wp:posOffset>
                </wp:positionV>
                <wp:extent cx="5845810" cy="0"/>
                <wp:effectExtent l="0" t="0" r="0" b="0"/>
                <wp:wrapNone/>
                <wp:docPr id="1" name="AutoShape 2"/>
                <wp:cNvGraphicFramePr/>
                <a:graphic xmlns:a="http://schemas.openxmlformats.org/drawingml/2006/main">
                  <a:graphicData uri="http://schemas.microsoft.com/office/word/2010/wordprocessingShape">
                    <wps:wsp>
                      <wps:cNvCnPr/>
                      <wps:spPr>
                        <a:xfrm>
                          <a:off x="0" y="0"/>
                          <a:ext cx="5845810" cy="0"/>
                        </a:xfrm>
                        <a:prstGeom prst="straightConnector1">
                          <a:avLst/>
                        </a:prstGeom>
                        <a:ln w="12700" cap="flat" cmpd="sng">
                          <a:solidFill>
                            <a:srgbClr val="FF0000"/>
                          </a:solidFill>
                          <a:prstDash val="solid"/>
                          <a:headEnd type="none" w="med" len="med"/>
                          <a:tailEnd type="none" w="med" len="med"/>
                        </a:ln>
                      </wps:spPr>
                      <wps:bodyPr/>
                    </wps:wsp>
                  </a:graphicData>
                </a:graphic>
              </wp:anchor>
            </w:drawing>
          </mc:Choice>
          <mc:Fallback>
            <w:pict>
              <v:shape id="AutoShape 2" o:spid="_x0000_s1026" o:spt="32" type="#_x0000_t32" style="position:absolute;left:0pt;margin-left:-6.8pt;margin-top:2.15pt;height:0pt;width:460.3pt;z-index:251660288;mso-width-relative:page;mso-height-relative:page;" filled="f" stroked="t" coordsize="21600,21600" o:gfxdata="UEsFBgAAAAAAAAAAAAAAAAAAAAAAAFBLAwQKAAAAAACHTuJAAAAAAAAAAAAAAAAABAAAAGRycy9Q&#10;SwMEFAAAAAgAh07iQDy7kEXTAAAABwEAAA8AAABkcnMvZG93bnJldi54bWxNj81OwzAQhO9IvIO1&#10;SNxaOxRKCXF6qODYA+FH6m0bL0kgXkex24a3Z+ECx9GMZr4p1pPv1ZHG2AW2kM0NKOI6uI4bCy/P&#10;j7MVqJiQHfaBycIXRViX52cF5i6c+ImOVWqUlHDM0UKb0pBrHeuWPMZ5GIjFew+jxyRybLQb8STl&#10;vtdXxiy1x45locWBNi3Vn9XBW3jYDBM3wb1+uB0Tbn26qd621l5eZOYeVKIp/YXhB1/QoRSmfTiw&#10;i6q3MMsWS4lauF6AEv/O3Mq3/a/WZaH/85ffUEsDBBQAAAAIAIdO4kBm/XGdxQEAAJMDAAAOAAAA&#10;ZHJzL2Uyb0RvYy54bWytU9uOGjEMfa/Uf4jyXmZA3RaNGFYVlL5ULVK3H2BymYmUm+IsA39fJ7Bs&#10;Ly/VankITmwf+xx7VvcnZ9lRJTTB93w+azlTXgRp/NDznw+7d0vOMIOXYINXPT8r5Pfrt29WU+zU&#10;IozBSpUYgXjsptjzMefYNQ2KUTnAWYjKk1OH5CDTNQ2NTDARurPNom0/NFNIMqYgFCK9bi9Ovq74&#10;WiuRv2uNKjPbc+ot1zPV81DOZr2CbkgQRyOubcALunBgPBW9QW0hA3tM5h8oZ0QKGHSeieCaoLUR&#10;qnIgNvP2LzY/RoiqciFxMN5kwteDFd+O+8SMpNlx5sHRiD495lArs0WRZ4rYUdTG79P1hnGfCteT&#10;Tq78Ewt2qpKeb5KqU2aCHu+W7++Wc1JePPma58SYMH9RwbFi9BxzAjOMeRO8p8GFNK+SwvErZipN&#10;iU8Jpar1bKKuFx/bgg60O9pCJtNFYoN+qMkYrJE7Y21JwTQcNjaxI9A27HYt/QpDAv4jrFTZAo6X&#10;uOq67MmoQH72kuVzJJ08LTQvPTglObOK9r9YBAhdBmP/J5JKW08dFJEvshbrEOS5ql3fafK1x+uW&#10;ltX6/V6zn7+l9S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WAAAAZHJzL1BLAQIUABQAAAAIAIdO4kA8u5BF0wAAAAcBAAAPAAAAAAAAAAEA&#10;IAAAADgAAABkcnMvZG93bnJldi54bWxQSwECFAAUAAAACACHTuJAZv1xncUBAACTAwAADgAAAAAA&#10;AAABACAAAAA4AQAAZHJzL2Uyb0RvYy54bWxQSwUGAAAAAAYABgBZAQAAbwUAAAAA&#10;">
                <v:fill on="f" focussize="0,0"/>
                <v:stroke weight="1pt" color="#FF0000" joinstyle="round"/>
                <v:imagedata o:title=""/>
                <o:lock v:ext="edit" aspectratio="f"/>
              </v:shape>
            </w:pict>
          </mc:Fallback>
        </mc:AlternateConten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仿宋" w:eastAsia="方正小标宋简体" w:cs="仿宋"/>
          <w:bCs/>
          <w:sz w:val="44"/>
          <w:szCs w:val="44"/>
          <w:lang w:val="en-US" w:eastAsia="zh-CN"/>
        </w:rPr>
      </w:pPr>
      <w:r>
        <w:rPr>
          <w:rFonts w:hint="eastAsia" w:ascii="方正小标宋简体" w:hAnsi="仿宋" w:eastAsia="方正小标宋简体" w:cs="仿宋"/>
          <w:bCs/>
          <w:sz w:val="44"/>
          <w:szCs w:val="44"/>
          <w:lang w:val="en-US" w:eastAsia="zh-CN"/>
        </w:rPr>
        <w:t>曲沃县财政局2023年法治政府建设年度报告</w:t>
      </w:r>
    </w:p>
    <w:p>
      <w:pPr>
        <w:spacing w:line="600" w:lineRule="exact"/>
        <w:jc w:val="center"/>
        <w:rPr>
          <w:rFonts w:hint="eastAsia" w:ascii="仿宋" w:hAnsi="仿宋" w:eastAsia="仿宋" w:cs="仿宋"/>
          <w:bCs/>
          <w:sz w:val="32"/>
          <w:szCs w:val="32"/>
        </w:rPr>
      </w:pP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在县委县政府的坚强领导下，我局以习近平新时代中国特色社会主义思想为指导，深入学习贯彻党的二十大精神和习近平法治思想，结合财政工作实际，扎实推进法治政府建设，较好地完成法治政府建设各项任务。现将有关情况报告如下：</w:t>
      </w:r>
    </w:p>
    <w:p>
      <w:pPr>
        <w:keepNext/>
        <w:keepLines/>
        <w:widowControl w:val="0"/>
        <w:bidi w:val="0"/>
        <w:spacing w:beforeLines="0" w:beforeAutospacing="0" w:afterLines="0" w:afterAutospacing="0" w:line="240" w:lineRule="auto"/>
        <w:ind w:firstLine="640" w:firstLineChars="200"/>
        <w:jc w:val="both"/>
        <w:outlineLvl w:val="0"/>
        <w:rPr>
          <w:rFonts w:hint="eastAsia" w:ascii="仿宋_GB2312" w:hAnsi="仿宋_GB2312" w:eastAsia="黑体" w:cs="仿宋_GB2312"/>
          <w:kern w:val="44"/>
          <w:sz w:val="32"/>
          <w:szCs w:val="32"/>
          <w:lang w:val="en-US" w:eastAsia="zh-CN" w:bidi="ar-SA"/>
        </w:rPr>
      </w:pPr>
      <w:r>
        <w:rPr>
          <w:rFonts w:hint="eastAsia" w:ascii="仿宋_GB2312" w:hAnsi="仿宋_GB2312" w:eastAsia="黑体" w:cs="仿宋_GB2312"/>
          <w:kern w:val="44"/>
          <w:sz w:val="32"/>
          <w:szCs w:val="32"/>
          <w:lang w:val="en-US" w:eastAsia="zh-CN" w:bidi="ar-SA"/>
        </w:rPr>
        <w:t>一、推进法治政府建设的主要举措和成效</w:t>
      </w:r>
    </w:p>
    <w:p>
      <w:pPr>
        <w:keepNext/>
        <w:keepLines/>
        <w:widowControl w:val="0"/>
        <w:bidi w:val="0"/>
        <w:spacing w:beforeLines="0" w:beforeAutospacing="0" w:afterLines="0" w:afterAutospacing="0" w:line="240" w:lineRule="auto"/>
        <w:ind w:firstLine="642" w:firstLineChars="200"/>
        <w:jc w:val="both"/>
        <w:outlineLvl w:val="1"/>
        <w:rPr>
          <w:rFonts w:hint="eastAsia" w:ascii="Arial" w:hAnsi="Arial" w:eastAsia="楷体_GB2312" w:cs="仿宋_GB2312"/>
          <w:b/>
          <w:kern w:val="2"/>
          <w:sz w:val="32"/>
          <w:szCs w:val="32"/>
          <w:lang w:val="en-US" w:eastAsia="zh-CN" w:bidi="ar-SA"/>
        </w:rPr>
      </w:pPr>
      <w:r>
        <w:rPr>
          <w:rFonts w:hint="eastAsia" w:ascii="Arial" w:hAnsi="Arial" w:eastAsia="楷体_GB2312" w:cs="仿宋_GB2312"/>
          <w:b/>
          <w:kern w:val="2"/>
          <w:sz w:val="32"/>
          <w:szCs w:val="32"/>
          <w:lang w:val="en-US" w:eastAsia="zh-CN" w:bidi="ar-SA"/>
        </w:rPr>
        <w:t>（一）强化组织领导，明确分工职责</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局高度重视财政法治建设工作，始终将其作为一项基础性工作来抓，统筹规划、全面推进。为进一步推进依法行政，加快法治政府建设，根据人事变动和工作需要，及时调整了局财政法治建设领导小组（曲财字〔2023〕54号）。局党组书记、局长任组长，领导班子成员任副组长，各股室负责人任成员。领导小组下设办公室，办公室设在绩效管理股，具体负责组织协调财政法治和依法行政、依法理财工作。</w:t>
      </w:r>
    </w:p>
    <w:p>
      <w:pPr>
        <w:keepNext/>
        <w:keepLines/>
        <w:widowControl w:val="0"/>
        <w:bidi w:val="0"/>
        <w:spacing w:beforeLines="0" w:beforeAutospacing="0" w:afterLines="0" w:afterAutospacing="0" w:line="240" w:lineRule="auto"/>
        <w:ind w:firstLine="642" w:firstLineChars="200"/>
        <w:jc w:val="both"/>
        <w:outlineLvl w:val="1"/>
        <w:rPr>
          <w:rFonts w:hint="eastAsia" w:ascii="Arial" w:hAnsi="Arial" w:eastAsia="楷体_GB2312" w:cs="仿宋_GB2312"/>
          <w:b/>
          <w:kern w:val="2"/>
          <w:sz w:val="32"/>
          <w:szCs w:val="32"/>
          <w:lang w:val="en-US" w:eastAsia="zh-CN" w:bidi="ar-SA"/>
        </w:rPr>
      </w:pPr>
      <w:r>
        <w:rPr>
          <w:rFonts w:hint="eastAsia" w:ascii="Arial" w:hAnsi="Arial" w:eastAsia="楷体_GB2312" w:cs="仿宋_GB2312"/>
          <w:b/>
          <w:kern w:val="2"/>
          <w:sz w:val="32"/>
          <w:szCs w:val="32"/>
          <w:lang w:val="en-US" w:eastAsia="zh-CN" w:bidi="ar-SA"/>
        </w:rPr>
        <w:t>（二）深入学习宣传，夯实思想基础</w:t>
      </w:r>
    </w:p>
    <w:p>
      <w:pPr>
        <w:bidi w:val="0"/>
        <w:ind w:firstLine="642" w:firstLineChars="200"/>
        <w:rPr>
          <w:rFonts w:hint="eastAsia" w:ascii="仿宋_GB2312" w:hAnsi="仿宋_GB2312" w:eastAsia="仿宋_GB2312" w:cs="仿宋_GB2312"/>
          <w:sz w:val="32"/>
          <w:szCs w:val="32"/>
          <w:lang w:val="en-US" w:eastAsia="zh-CN"/>
        </w:rPr>
      </w:pPr>
      <w:r>
        <w:rPr>
          <w:rFonts w:hint="eastAsia" w:ascii="Calibri" w:hAnsi="Calibri" w:eastAsia="仿宋_GB2312" w:cs="Times New Roman"/>
          <w:b/>
          <w:sz w:val="32"/>
          <w:szCs w:val="32"/>
          <w:lang w:val="en-US" w:eastAsia="zh-CN"/>
        </w:rPr>
        <w:t>一是加强学习教育，提升法治素养。</w:t>
      </w:r>
      <w:r>
        <w:rPr>
          <w:rFonts w:hint="eastAsia" w:ascii="仿宋_GB2312" w:hAnsi="仿宋_GB2312" w:eastAsia="仿宋_GB2312" w:cs="仿宋_GB2312"/>
          <w:sz w:val="32"/>
          <w:szCs w:val="32"/>
          <w:lang w:val="en-US" w:eastAsia="zh-CN"/>
        </w:rPr>
        <w:t>坚持领导干部带头学法用法，党组理论学习中心组带头学习习近平法治思想，并开展专题研讨；组织全局干部职工集中学习习近平法治思想核心要义、《反有组织犯罪法》、信访工作“一条例两细则”等内容，参与省厅“一月一培训”活动10余次；组织全体执法人员参加《学习贯彻习近平法治思想暨强化行政执法能力建设专题培训班》，提升全局干部职工特别是领导干部依法行政的意识和水平，带头尊法、学法、守法、用法，养成依法行政和依法理财的习惯。</w:t>
      </w:r>
      <w:r>
        <w:rPr>
          <w:rFonts w:hint="eastAsia" w:ascii="Calibri" w:hAnsi="Calibri" w:eastAsia="仿宋_GB2312" w:cs="Times New Roman"/>
          <w:b/>
          <w:sz w:val="32"/>
          <w:szCs w:val="32"/>
          <w:lang w:val="en-US" w:eastAsia="zh-CN"/>
        </w:rPr>
        <w:t>二是明确普法任务，压实普法责任。</w:t>
      </w:r>
      <w:r>
        <w:rPr>
          <w:rFonts w:hint="eastAsia" w:ascii="仿宋_GB2312" w:hAnsi="仿宋_GB2312" w:eastAsia="仿宋_GB2312" w:cs="仿宋_GB2312"/>
          <w:sz w:val="32"/>
          <w:szCs w:val="32"/>
          <w:lang w:val="en-US" w:eastAsia="zh-CN"/>
        </w:rPr>
        <w:t>根据“八五”普法规划要求，我局认真贯彻落实“谁执法谁普法”“谁管理谁普法”“谁服务谁普法”普法责任制，并制定《曲沃县财政局普法责任清单》，将责任分解到各股室，实现责任有人担、工作有人干、落实有人管。一方面，针对管理对象、服务对象和执法对象的实际需求，通过政府采购政策业务、专项债券项目谋划等财政法律法规的培训，使普法更具针对性、实效性。另一方面，利用“4·15”全民国家安全日、“6·15”防范非法集资集中宣传日等重大事件节点，在公共场所以群众喜闻乐见的形式，深入开展国家安全法、防范非法集资等与群众生产生活密切相关的法律法规知识宣传，扩大法治宣传的影响力，保护好人民群众切身利益。</w:t>
      </w:r>
    </w:p>
    <w:p>
      <w:pPr>
        <w:keepNext/>
        <w:keepLines/>
        <w:widowControl w:val="0"/>
        <w:bidi w:val="0"/>
        <w:spacing w:beforeLines="0" w:beforeAutospacing="0" w:afterLines="0" w:afterAutospacing="0" w:line="240" w:lineRule="auto"/>
        <w:ind w:firstLine="642" w:firstLineChars="200"/>
        <w:jc w:val="both"/>
        <w:outlineLvl w:val="1"/>
        <w:rPr>
          <w:rFonts w:hint="eastAsia" w:ascii="Arial" w:hAnsi="Arial" w:eastAsia="楷体_GB2312" w:cs="仿宋_GB2312"/>
          <w:b/>
          <w:kern w:val="2"/>
          <w:sz w:val="32"/>
          <w:szCs w:val="32"/>
          <w:lang w:val="en-US" w:eastAsia="zh-CN" w:bidi="ar-SA"/>
        </w:rPr>
      </w:pPr>
      <w:r>
        <w:rPr>
          <w:rFonts w:hint="eastAsia" w:ascii="Arial" w:hAnsi="Arial" w:eastAsia="楷体_GB2312" w:cs="仿宋_GB2312"/>
          <w:b/>
          <w:kern w:val="2"/>
          <w:sz w:val="32"/>
          <w:szCs w:val="32"/>
          <w:lang w:val="en-US" w:eastAsia="zh-CN" w:bidi="ar-SA"/>
        </w:rPr>
        <w:t>（三）加强制度建设，完善治理体系</w:t>
      </w:r>
    </w:p>
    <w:p>
      <w:pPr>
        <w:ind w:firstLine="642" w:firstLineChars="200"/>
        <w:rPr>
          <w:rFonts w:hint="default" w:ascii="仿宋_GB2312" w:hAnsi="仿宋_GB2312" w:eastAsia="仿宋_GB2312" w:cs="仿宋_GB2312"/>
          <w:sz w:val="32"/>
          <w:szCs w:val="32"/>
          <w:lang w:val="en-US" w:eastAsia="zh-CN"/>
        </w:rPr>
      </w:pPr>
      <w:r>
        <w:rPr>
          <w:rFonts w:hint="eastAsia" w:ascii="Calibri" w:hAnsi="Calibri" w:eastAsia="仿宋_GB2312" w:cs="Times New Roman"/>
          <w:b/>
          <w:sz w:val="32"/>
          <w:szCs w:val="32"/>
          <w:lang w:val="en-US" w:eastAsia="zh-CN"/>
        </w:rPr>
        <w:t>一是认真落实“三重一大”制度。</w:t>
      </w:r>
      <w:r>
        <w:rPr>
          <w:rFonts w:hint="eastAsia" w:ascii="仿宋_GB2312" w:hAnsi="仿宋_GB2312" w:eastAsia="仿宋_GB2312" w:cs="仿宋_GB2312"/>
          <w:sz w:val="32"/>
          <w:szCs w:val="32"/>
          <w:lang w:val="en-US" w:eastAsia="zh-CN"/>
        </w:rPr>
        <w:t>严格执行《“三重一大”决策制度》，对于重大决策、重要干部任免和奖惩、重要项目安排和大额度资金使用等事项，全部实行集体研究、民主决策，不断提高决策行为的规范化水平。</w:t>
      </w:r>
      <w:r>
        <w:rPr>
          <w:rFonts w:hint="eastAsia" w:ascii="Calibri" w:hAnsi="Calibri" w:eastAsia="仿宋_GB2312" w:cs="Times New Roman"/>
          <w:b/>
          <w:sz w:val="32"/>
          <w:szCs w:val="32"/>
          <w:lang w:val="en-US" w:eastAsia="zh-CN"/>
        </w:rPr>
        <w:t>二是持续建立健全财政管理机制。</w:t>
      </w:r>
      <w:r>
        <w:rPr>
          <w:rFonts w:hint="eastAsia" w:ascii="仿宋_GB2312" w:hAnsi="仿宋_GB2312" w:eastAsia="仿宋_GB2312" w:cs="仿宋_GB2312"/>
          <w:sz w:val="32"/>
          <w:szCs w:val="32"/>
          <w:lang w:val="en-US" w:eastAsia="zh-CN"/>
        </w:rPr>
        <w:t>出台《关于进一步规范行政单位、公益一类事业单位国有资产出租、出借收入管理的通知》，规范和加强国有资产收入管理，防止国有资产流失；印发《曲沃县“三保”风险应急处置预案》，强化风险监测和应急处置，加强分析研判，对可能存在的“三保”风险及时处置、及时上报，确保牢牢兜住“三保”底线；印发《曲沃县财政局财政评审业务操作规程（试行）》，规范财政评审业务工作，充分发挥预算评审在预算管理中的技术支撑作用，提高预算管理的科学性、规范性。</w:t>
      </w:r>
      <w:r>
        <w:rPr>
          <w:rFonts w:hint="eastAsia" w:ascii="Calibri" w:hAnsi="Calibri" w:eastAsia="仿宋_GB2312" w:cs="Times New Roman"/>
          <w:b/>
          <w:sz w:val="32"/>
          <w:szCs w:val="32"/>
          <w:lang w:val="en-US" w:eastAsia="zh-CN"/>
        </w:rPr>
        <w:t>三是优化财政业务流程。</w:t>
      </w:r>
      <w:r>
        <w:rPr>
          <w:rFonts w:hint="eastAsia" w:ascii="仿宋_GB2312" w:hAnsi="仿宋_GB2312" w:eastAsia="仿宋_GB2312" w:cs="仿宋_GB2312"/>
          <w:sz w:val="32"/>
          <w:szCs w:val="32"/>
          <w:lang w:val="en-US" w:eastAsia="zh-CN"/>
        </w:rPr>
        <w:t>聚焦财政业务流程存在的“痛点”“堵点”“难点”问题，进一步压缩资金拨付和工程评审程序，严格执行首问负责、限时办结、服务承诺、责任追究等规章制度，进一步提高政务服务水平。</w:t>
      </w:r>
    </w:p>
    <w:p>
      <w:pPr>
        <w:keepNext/>
        <w:keepLines/>
        <w:widowControl w:val="0"/>
        <w:bidi w:val="0"/>
        <w:spacing w:beforeLines="0" w:beforeAutospacing="0" w:afterLines="0" w:afterAutospacing="0" w:line="240" w:lineRule="auto"/>
        <w:ind w:firstLine="642" w:firstLineChars="200"/>
        <w:jc w:val="both"/>
        <w:outlineLvl w:val="1"/>
        <w:rPr>
          <w:rFonts w:hint="eastAsia" w:ascii="Arial" w:hAnsi="Arial" w:eastAsia="楷体_GB2312" w:cs="仿宋_GB2312"/>
          <w:b/>
          <w:kern w:val="2"/>
          <w:sz w:val="32"/>
          <w:szCs w:val="32"/>
          <w:highlight w:val="none"/>
          <w:lang w:val="en-US" w:eastAsia="zh-CN" w:bidi="ar-SA"/>
        </w:rPr>
      </w:pPr>
      <w:r>
        <w:rPr>
          <w:rFonts w:hint="eastAsia" w:ascii="Arial" w:hAnsi="Arial" w:eastAsia="楷体_GB2312" w:cs="仿宋_GB2312"/>
          <w:b/>
          <w:kern w:val="2"/>
          <w:sz w:val="32"/>
          <w:szCs w:val="32"/>
          <w:highlight w:val="none"/>
          <w:lang w:val="en-US" w:eastAsia="zh-CN" w:bidi="ar-SA"/>
        </w:rPr>
        <w:t>（四）发挥财政职能，强化经费保障</w:t>
      </w:r>
    </w:p>
    <w:p>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2023年，共下达上级法治建设相关经费61.3万元，其中司法救助20万，法律援助13.3万元，社区矫正26万元，人民调解2万元；县级安排预算98万元，其中法律顾问、社区矫正志愿者工作服务70万元，法律援助办案补贴20万元，行政执法人员培训3万元，普法依法治理宣传5万元。在加大财政投入的同时，进一步加强绩效管理，提高资金使用效益，有力保障了我县法治工作的高效开展，为全县法治建设、构建和谐社会提供财力保障。</w:t>
      </w:r>
    </w:p>
    <w:p>
      <w:pPr>
        <w:keepNext/>
        <w:keepLines/>
        <w:widowControl w:val="0"/>
        <w:bidi w:val="0"/>
        <w:spacing w:beforeLines="0" w:beforeAutospacing="0" w:afterLines="0" w:afterAutospacing="0" w:line="240" w:lineRule="auto"/>
        <w:ind w:firstLine="642" w:firstLineChars="200"/>
        <w:jc w:val="both"/>
        <w:outlineLvl w:val="1"/>
        <w:rPr>
          <w:rFonts w:hint="eastAsia" w:ascii="Arial" w:hAnsi="Arial" w:eastAsia="楷体_GB2312" w:cs="仿宋_GB2312"/>
          <w:b/>
          <w:kern w:val="2"/>
          <w:sz w:val="32"/>
          <w:szCs w:val="32"/>
          <w:lang w:val="en-US" w:eastAsia="zh-CN" w:bidi="ar-SA"/>
        </w:rPr>
      </w:pPr>
      <w:r>
        <w:rPr>
          <w:rFonts w:hint="eastAsia" w:ascii="Arial" w:hAnsi="Arial" w:eastAsia="楷体_GB2312" w:cs="仿宋_GB2312"/>
          <w:b/>
          <w:kern w:val="2"/>
          <w:sz w:val="32"/>
          <w:szCs w:val="32"/>
          <w:lang w:val="en-US" w:eastAsia="zh-CN" w:bidi="ar-SA"/>
        </w:rPr>
        <w:t>（五）推行政务公开，打造“阳光财政”</w:t>
      </w:r>
    </w:p>
    <w:p>
      <w:pPr>
        <w:bidi w:val="0"/>
        <w:ind w:firstLine="642" w:firstLineChars="200"/>
        <w:rPr>
          <w:rFonts w:hint="eastAsia" w:ascii="仿宋_GB2312" w:hAnsi="仿宋_GB2312" w:eastAsia="仿宋_GB2312" w:cs="仿宋_GB2312"/>
          <w:sz w:val="32"/>
          <w:szCs w:val="32"/>
          <w:lang w:val="en-US" w:eastAsia="zh-CN"/>
        </w:rPr>
      </w:pPr>
      <w:r>
        <w:rPr>
          <w:rFonts w:hint="eastAsia" w:ascii="Calibri" w:hAnsi="Calibri" w:eastAsia="仿宋_GB2312" w:cs="Times New Roman"/>
          <w:b/>
          <w:sz w:val="32"/>
          <w:szCs w:val="32"/>
          <w:lang w:val="en-US" w:eastAsia="zh-CN"/>
        </w:rPr>
        <w:t>一是</w:t>
      </w:r>
      <w:r>
        <w:rPr>
          <w:rFonts w:hint="eastAsia" w:ascii="仿宋_GB2312" w:hAnsi="仿宋_GB2312" w:eastAsia="仿宋_GB2312" w:cs="仿宋_GB2312"/>
          <w:sz w:val="32"/>
          <w:szCs w:val="32"/>
          <w:lang w:val="en-US" w:eastAsia="zh-CN"/>
        </w:rPr>
        <w:t>严格按照《预算法》规定，在曲沃县人民政府网站上公开全县2023年总预算，并督促指导各预算单位按时、按要求公开部门预算，公开率达到100%，加快我县建立健全全面规范、公开透明的预算制度的步伐。</w:t>
      </w:r>
      <w:r>
        <w:rPr>
          <w:rFonts w:hint="eastAsia" w:ascii="Calibri" w:hAnsi="Calibri" w:eastAsia="仿宋_GB2312" w:cs="Times New Roman"/>
          <w:b/>
          <w:sz w:val="32"/>
          <w:szCs w:val="32"/>
          <w:lang w:val="en-US" w:eastAsia="zh-CN"/>
        </w:rPr>
        <w:t>二是</w:t>
      </w:r>
      <w:r>
        <w:rPr>
          <w:rFonts w:hint="eastAsia" w:ascii="仿宋_GB2312" w:hAnsi="仿宋_GB2312" w:eastAsia="仿宋_GB2312" w:cs="仿宋_GB2312"/>
          <w:sz w:val="32"/>
          <w:szCs w:val="32"/>
          <w:lang w:val="en-US" w:eastAsia="zh-CN"/>
        </w:rPr>
        <w:t>在县政府门户网站及时公开行政事业性收费和政府性基金项目目录清单，按年度动态发布，提高行政事业性收费和政府性基金政策透明度，加强社会监督，有效制止各种乱收费现象。</w:t>
      </w:r>
      <w:r>
        <w:rPr>
          <w:rFonts w:hint="eastAsia" w:ascii="Calibri" w:hAnsi="Calibri" w:eastAsia="仿宋_GB2312" w:cs="Times New Roman"/>
          <w:b/>
          <w:sz w:val="32"/>
          <w:szCs w:val="32"/>
          <w:lang w:val="en-US" w:eastAsia="zh-CN"/>
        </w:rPr>
        <w:t>三是</w:t>
      </w:r>
      <w:r>
        <w:rPr>
          <w:rFonts w:hint="eastAsia" w:ascii="仿宋_GB2312" w:hAnsi="仿宋_GB2312" w:eastAsia="仿宋_GB2312" w:cs="仿宋_GB2312"/>
          <w:sz w:val="32"/>
          <w:szCs w:val="32"/>
          <w:lang w:val="en-US" w:eastAsia="zh-CN"/>
        </w:rPr>
        <w:t>深入推进“双随机、一公开”监管。编制“</w:t>
      </w:r>
      <w:bookmarkStart w:id="0" w:name="_GoBack"/>
      <w:bookmarkEnd w:id="0"/>
      <w:r>
        <w:rPr>
          <w:rFonts w:hint="eastAsia" w:ascii="仿宋_GB2312" w:hAnsi="仿宋_GB2312" w:eastAsia="仿宋_GB2312" w:cs="仿宋_GB2312"/>
          <w:sz w:val="32"/>
          <w:szCs w:val="32"/>
          <w:lang w:val="en-US" w:eastAsia="zh-CN"/>
        </w:rPr>
        <w:t>双随机、一公开”抽查工作计划，制定抽查事项清单，联合市场监管局不定期对全县代理记账机构进行监督检查，实现“进一次门，查多项事”，进一步提高政府监管效能。</w:t>
      </w:r>
    </w:p>
    <w:p>
      <w:pPr>
        <w:keepNext/>
        <w:keepLines/>
        <w:widowControl w:val="0"/>
        <w:bidi w:val="0"/>
        <w:spacing w:beforeLines="0" w:beforeAutospacing="0" w:afterLines="0" w:afterAutospacing="0" w:line="240" w:lineRule="auto"/>
        <w:ind w:firstLine="640" w:firstLineChars="200"/>
        <w:jc w:val="both"/>
        <w:outlineLvl w:val="0"/>
        <w:rPr>
          <w:rFonts w:hint="eastAsia" w:ascii="仿宋_GB2312" w:hAnsi="仿宋_GB2312" w:eastAsia="黑体" w:cs="仿宋_GB2312"/>
          <w:kern w:val="44"/>
          <w:sz w:val="32"/>
          <w:szCs w:val="32"/>
          <w:lang w:val="en-US" w:eastAsia="zh-CN" w:bidi="ar-SA"/>
        </w:rPr>
      </w:pPr>
      <w:r>
        <w:rPr>
          <w:rFonts w:hint="eastAsia" w:ascii="仿宋_GB2312" w:hAnsi="仿宋_GB2312" w:eastAsia="黑体" w:cs="仿宋_GB2312"/>
          <w:kern w:val="44"/>
          <w:sz w:val="32"/>
          <w:szCs w:val="32"/>
          <w:lang w:val="en-US" w:eastAsia="zh-CN" w:bidi="ar-SA"/>
        </w:rPr>
        <w:t>二、推进法治政府建设存在的不足和原因</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我局法治政府建设工作虽然取得了一定成绩，但由于人员等因素所限，工作中也存在许多问题不足，主要表现在：一是在学法用法上存在全面性不强、系统性不深入的问题，干部法治意识还有待进一步提高，财政法治建设任重道远；二是在创造性开展法治建设以及普法工作上有所欠缺，活动内容形式不够丰富，尚需进一步创新完善。</w:t>
      </w:r>
    </w:p>
    <w:p>
      <w:pPr>
        <w:keepNext/>
        <w:keepLines/>
        <w:widowControl w:val="0"/>
        <w:bidi w:val="0"/>
        <w:spacing w:beforeLines="0" w:beforeAutospacing="0" w:afterLines="0" w:afterAutospacing="0" w:line="240" w:lineRule="auto"/>
        <w:ind w:firstLine="640" w:firstLineChars="200"/>
        <w:jc w:val="both"/>
        <w:outlineLvl w:val="0"/>
        <w:rPr>
          <w:rFonts w:hint="eastAsia" w:ascii="仿宋_GB2312" w:hAnsi="仿宋_GB2312" w:eastAsia="黑体" w:cs="仿宋_GB2312"/>
          <w:kern w:val="44"/>
          <w:sz w:val="32"/>
          <w:szCs w:val="32"/>
          <w:lang w:val="en-US" w:eastAsia="zh-CN" w:bidi="ar-SA"/>
        </w:rPr>
      </w:pPr>
      <w:r>
        <w:rPr>
          <w:rFonts w:hint="eastAsia" w:ascii="仿宋_GB2312" w:hAnsi="仿宋_GB2312" w:eastAsia="黑体" w:cs="仿宋_GB2312"/>
          <w:kern w:val="44"/>
          <w:sz w:val="32"/>
          <w:szCs w:val="32"/>
          <w:lang w:val="en-US" w:eastAsia="zh-CN" w:bidi="ar-SA"/>
        </w:rPr>
        <w:t>三、党政主要负责人履行推进法治建设第一责任人职责情况</w:t>
      </w:r>
    </w:p>
    <w:p>
      <w:pPr>
        <w:keepNext/>
        <w:keepLines/>
        <w:widowControl w:val="0"/>
        <w:bidi w:val="0"/>
        <w:spacing w:beforeLines="0" w:beforeAutospacing="0" w:afterLines="0" w:afterAutospacing="0" w:line="240" w:lineRule="auto"/>
        <w:ind w:firstLine="642" w:firstLineChars="200"/>
        <w:jc w:val="both"/>
        <w:outlineLvl w:val="1"/>
        <w:rPr>
          <w:rFonts w:hint="eastAsia" w:ascii="Arial" w:hAnsi="Arial" w:eastAsia="楷体_GB2312" w:cs="仿宋_GB2312"/>
          <w:b/>
          <w:kern w:val="2"/>
          <w:sz w:val="32"/>
          <w:szCs w:val="32"/>
          <w:lang w:val="en-US" w:eastAsia="zh-CN" w:bidi="ar-SA"/>
        </w:rPr>
      </w:pPr>
      <w:r>
        <w:rPr>
          <w:rFonts w:hint="eastAsia" w:ascii="Arial" w:hAnsi="Arial" w:eastAsia="楷体_GB2312" w:cs="仿宋_GB2312"/>
          <w:b/>
          <w:kern w:val="2"/>
          <w:sz w:val="32"/>
          <w:szCs w:val="32"/>
          <w:lang w:val="en-US" w:eastAsia="zh-CN" w:bidi="ar-SA"/>
        </w:rPr>
        <w:t>（一）深入学习贯彻习近平法治思想</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始终坚持以习近平法治思想武装头脑，锤炼执法守规的法治素养，坚持把习近平法治思想贯彻落实到工作全过程各方面，围绕中心、服务大局，履职尽责完成各项决策部署和工作要求，吃透精神实质、领会核心要义，积极学习各项法律法规，带头遵法学法守法用法，树立全面依法行政的法治理念，提升依法决策能力，养成依法履职的习惯。</w:t>
      </w:r>
    </w:p>
    <w:p>
      <w:pPr>
        <w:keepNext/>
        <w:keepLines/>
        <w:widowControl w:val="0"/>
        <w:bidi w:val="0"/>
        <w:spacing w:beforeLines="0" w:beforeAutospacing="0" w:afterLines="0" w:afterAutospacing="0" w:line="240" w:lineRule="auto"/>
        <w:ind w:firstLine="642" w:firstLineChars="200"/>
        <w:jc w:val="both"/>
        <w:outlineLvl w:val="1"/>
        <w:rPr>
          <w:rFonts w:hint="eastAsia" w:ascii="Arial" w:hAnsi="Arial" w:eastAsia="楷体_GB2312" w:cs="仿宋_GB2312"/>
          <w:b/>
          <w:kern w:val="2"/>
          <w:sz w:val="32"/>
          <w:szCs w:val="32"/>
          <w:lang w:val="en-US" w:eastAsia="zh-CN" w:bidi="ar-SA"/>
        </w:rPr>
      </w:pPr>
      <w:r>
        <w:rPr>
          <w:rFonts w:hint="eastAsia" w:ascii="Arial" w:hAnsi="Arial" w:eastAsia="楷体_GB2312" w:cs="仿宋_GB2312"/>
          <w:b/>
          <w:kern w:val="2"/>
          <w:sz w:val="32"/>
          <w:szCs w:val="32"/>
          <w:lang w:val="en-US" w:eastAsia="zh-CN" w:bidi="ar-SA"/>
        </w:rPr>
        <w:t>（二）部署协调法治建设重要工作</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充分发挥局党组在推进财政法治建设中的领导核心作用，科学谋划和落实财政法治建设各项工作任务，将法治建设纳入全局2023年工作要点，与业务工作同部署、同推进、同督促，形成各负其责、各司其职的财政法治建设格局。</w:t>
      </w:r>
    </w:p>
    <w:p>
      <w:pPr>
        <w:keepNext/>
        <w:keepLines/>
        <w:widowControl w:val="0"/>
        <w:bidi w:val="0"/>
        <w:spacing w:beforeLines="0" w:beforeAutospacing="0" w:afterLines="0" w:afterAutospacing="0" w:line="240" w:lineRule="auto"/>
        <w:ind w:firstLine="642" w:firstLineChars="200"/>
        <w:jc w:val="both"/>
        <w:outlineLvl w:val="1"/>
        <w:rPr>
          <w:rFonts w:hint="eastAsia" w:ascii="Arial" w:hAnsi="Arial" w:eastAsia="楷体_GB2312" w:cs="仿宋_GB2312"/>
          <w:b/>
          <w:kern w:val="2"/>
          <w:sz w:val="32"/>
          <w:szCs w:val="32"/>
          <w:lang w:val="en-US" w:eastAsia="zh-CN" w:bidi="ar-SA"/>
        </w:rPr>
      </w:pPr>
      <w:r>
        <w:rPr>
          <w:rFonts w:hint="eastAsia" w:ascii="Arial" w:hAnsi="Arial" w:eastAsia="楷体_GB2312" w:cs="仿宋_GB2312"/>
          <w:b/>
          <w:kern w:val="2"/>
          <w:sz w:val="32"/>
          <w:szCs w:val="32"/>
          <w:lang w:val="en-US" w:eastAsia="zh-CN" w:bidi="ar-SA"/>
        </w:rPr>
        <w:t>（三）完善学习机制，加强队伍建设</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落实各项规章制度，营造普法学法氛围，通过普法宣传、个人学习、平台在线学习等方式提升干部职工的法治意识，打造高素质执法队伍，确保职工切实履行自身职责，严格按照法定程序开展工作，树立财政部门良好形象。</w:t>
      </w:r>
    </w:p>
    <w:p>
      <w:pPr>
        <w:keepNext/>
        <w:keepLines/>
        <w:widowControl w:val="0"/>
        <w:bidi w:val="0"/>
        <w:spacing w:beforeLines="0" w:beforeAutospacing="0" w:afterLines="0" w:afterAutospacing="0" w:line="240" w:lineRule="auto"/>
        <w:ind w:firstLine="640" w:firstLineChars="200"/>
        <w:jc w:val="both"/>
        <w:outlineLvl w:val="0"/>
        <w:rPr>
          <w:rFonts w:hint="default" w:ascii="仿宋_GB2312" w:hAnsi="仿宋_GB2312" w:eastAsia="黑体" w:cs="仿宋_GB2312"/>
          <w:kern w:val="44"/>
          <w:sz w:val="32"/>
          <w:szCs w:val="32"/>
          <w:highlight w:val="none"/>
          <w:lang w:val="en-US" w:eastAsia="zh-CN" w:bidi="ar-SA"/>
        </w:rPr>
      </w:pPr>
      <w:r>
        <w:rPr>
          <w:rFonts w:hint="eastAsia" w:ascii="仿宋_GB2312" w:hAnsi="仿宋_GB2312" w:eastAsia="黑体" w:cs="仿宋_GB2312"/>
          <w:kern w:val="44"/>
          <w:sz w:val="32"/>
          <w:szCs w:val="32"/>
          <w:highlight w:val="none"/>
          <w:lang w:val="en-US" w:eastAsia="zh-CN" w:bidi="ar-SA"/>
        </w:rPr>
        <w:t>四、本地区、本部门履行法院生效裁判情况</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无。</w:t>
      </w:r>
    </w:p>
    <w:p>
      <w:pPr>
        <w:keepNext/>
        <w:keepLines/>
        <w:widowControl w:val="0"/>
        <w:bidi w:val="0"/>
        <w:spacing w:beforeLines="0" w:beforeAutospacing="0" w:afterLines="0" w:afterAutospacing="0" w:line="240" w:lineRule="auto"/>
        <w:ind w:firstLine="640" w:firstLineChars="200"/>
        <w:jc w:val="both"/>
        <w:outlineLvl w:val="0"/>
        <w:rPr>
          <w:rFonts w:hint="eastAsia" w:ascii="仿宋_GB2312" w:hAnsi="仿宋_GB2312" w:eastAsia="黑体" w:cs="仿宋_GB2312"/>
          <w:kern w:val="44"/>
          <w:sz w:val="32"/>
          <w:szCs w:val="32"/>
          <w:lang w:val="en-US" w:eastAsia="zh-CN" w:bidi="ar-SA"/>
        </w:rPr>
      </w:pPr>
      <w:r>
        <w:rPr>
          <w:rFonts w:hint="eastAsia" w:ascii="仿宋_GB2312" w:hAnsi="仿宋_GB2312" w:eastAsia="黑体" w:cs="仿宋_GB2312"/>
          <w:kern w:val="44"/>
          <w:sz w:val="32"/>
          <w:szCs w:val="32"/>
          <w:lang w:val="en-US" w:eastAsia="zh-CN" w:bidi="ar-SA"/>
        </w:rPr>
        <w:t>五、2024年推进法治政府建设的主要计划安排</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2024年，我局将坚持以习近平法治思想为指导，持续深入学习贯彻落实党的二十大关于全面依法治国工作部署，严格按照县委县政府部署要求，扎实推进法治政府建设工作。</w:t>
      </w:r>
    </w:p>
    <w:p>
      <w:pPr>
        <w:bidi w:val="0"/>
        <w:ind w:firstLine="642" w:firstLineChars="200"/>
        <w:rPr>
          <w:rFonts w:hint="eastAsia" w:ascii="仿宋_GB2312" w:hAnsi="仿宋_GB2312" w:eastAsia="仿宋_GB2312" w:cs="仿宋_GB2312"/>
          <w:sz w:val="32"/>
          <w:szCs w:val="32"/>
          <w:lang w:val="en-US" w:eastAsia="zh-CN"/>
        </w:rPr>
      </w:pPr>
      <w:r>
        <w:rPr>
          <w:rFonts w:hint="eastAsia" w:ascii="Arial" w:hAnsi="Arial" w:eastAsia="楷体_GB2312" w:cs="Times New Roman"/>
          <w:b/>
          <w:sz w:val="32"/>
          <w:szCs w:val="32"/>
          <w:lang w:val="en-US" w:eastAsia="zh-CN"/>
        </w:rPr>
        <w:t>（一）坚持理论学习。</w:t>
      </w:r>
      <w:r>
        <w:rPr>
          <w:rFonts w:hint="eastAsia" w:ascii="仿宋_GB2312" w:hAnsi="仿宋_GB2312" w:eastAsia="仿宋_GB2312" w:cs="仿宋_GB2312"/>
          <w:sz w:val="32"/>
          <w:szCs w:val="32"/>
          <w:lang w:val="en-US" w:eastAsia="zh-CN"/>
        </w:rPr>
        <w:t>不断健全党组理论学习中心组学法和领导干部集体学法制度，把学习贯彻习近平新时代中国特色社会主义思想作为党组理论学习中心组学习的首要政治任务和主题主线，把全国、省、市财政工作会议精神等纳入党组理论学习中心组的学习计划，根据财政工作职责及新法新规的出台，开展形式多样的领导干部学法活动。</w:t>
      </w:r>
    </w:p>
    <w:p>
      <w:pPr>
        <w:ind w:firstLine="642" w:firstLineChars="200"/>
        <w:rPr>
          <w:rFonts w:hint="eastAsia" w:ascii="仿宋_GB2312" w:hAnsi="仿宋_GB2312" w:eastAsia="仿宋_GB2312" w:cs="仿宋_GB2312"/>
          <w:sz w:val="32"/>
          <w:szCs w:val="32"/>
          <w:lang w:val="en-US" w:eastAsia="zh-CN"/>
        </w:rPr>
      </w:pPr>
      <w:r>
        <w:rPr>
          <w:rFonts w:hint="eastAsia" w:ascii="Arial" w:hAnsi="Arial" w:eastAsia="楷体_GB2312" w:cs="Times New Roman"/>
          <w:b/>
          <w:sz w:val="32"/>
          <w:szCs w:val="32"/>
          <w:lang w:val="en-US" w:eastAsia="zh-CN"/>
        </w:rPr>
        <w:t>（二）加大宣传力度。</w:t>
      </w:r>
      <w:r>
        <w:rPr>
          <w:rFonts w:hint="eastAsia" w:ascii="仿宋_GB2312" w:hAnsi="仿宋_GB2312" w:eastAsia="仿宋_GB2312" w:cs="仿宋_GB2312"/>
          <w:sz w:val="32"/>
          <w:szCs w:val="32"/>
          <w:lang w:val="en-US" w:eastAsia="zh-CN"/>
        </w:rPr>
        <w:t>围绕新出台、新修订的财税及其他法律法规，积极开展《中华人民共和国预算法》、《中华人民共和国会计法》等政策法规的宣传，深入推进财政法治宣传教育。积极组织干部职工参加法治部门举办的各项普法宣传活动，加大对预算单位和企业的普法宣传，不断提升财会监督意识，确保财政资金安全高效运转，推动财政法治工作向纵深发展，为我县经济社会高质量发展提供坚实的财政保障。</w:t>
      </w:r>
    </w:p>
    <w:p>
      <w:pPr>
        <w:ind w:firstLine="642" w:firstLineChars="200"/>
        <w:rPr>
          <w:rFonts w:hint="eastAsia" w:ascii="仿宋_GB2312" w:hAnsi="仿宋_GB2312" w:eastAsia="仿宋_GB2312" w:cs="仿宋_GB2312"/>
          <w:sz w:val="32"/>
          <w:szCs w:val="32"/>
          <w:lang w:val="en-US" w:eastAsia="zh-CN"/>
        </w:rPr>
      </w:pPr>
      <w:r>
        <w:rPr>
          <w:rFonts w:hint="eastAsia" w:ascii="Arial" w:hAnsi="Arial" w:eastAsia="楷体_GB2312" w:cs="Times New Roman"/>
          <w:b/>
          <w:sz w:val="32"/>
          <w:szCs w:val="32"/>
          <w:lang w:val="en-US" w:eastAsia="zh-CN"/>
        </w:rPr>
        <w:t>（三）加强队伍建设。</w:t>
      </w:r>
      <w:r>
        <w:rPr>
          <w:rFonts w:hint="eastAsia" w:ascii="仿宋_GB2312" w:hAnsi="仿宋_GB2312" w:eastAsia="仿宋_GB2312" w:cs="仿宋_GB2312"/>
          <w:sz w:val="32"/>
          <w:szCs w:val="32"/>
          <w:lang w:val="en-US" w:eastAsia="zh-CN"/>
        </w:rPr>
        <w:t>不断加强对执法队伍的法律法规和执法培训，提高执法人员的法治意识和执法能力，推动财政干部特别是领导干部尊崇法治、敬畏法律、掌握法律，不断提高运用法治思维和法治方式的各项能力，建立一支政治合格、纪律严明、业务精通、作风过硬的财政执法队伍。</w:t>
      </w:r>
    </w:p>
    <w:p>
      <w:pPr>
        <w:keepNext/>
        <w:keepLines/>
        <w:widowControl w:val="0"/>
        <w:bidi w:val="0"/>
        <w:spacing w:beforeLines="0" w:beforeAutospacing="0" w:afterLines="0" w:afterAutospacing="0" w:line="240" w:lineRule="auto"/>
        <w:ind w:firstLine="640" w:firstLineChars="200"/>
        <w:jc w:val="both"/>
        <w:outlineLvl w:val="0"/>
        <w:rPr>
          <w:rFonts w:hint="eastAsia" w:ascii="仿宋_GB2312" w:hAnsi="仿宋_GB2312" w:eastAsia="黑体" w:cs="仿宋_GB2312"/>
          <w:kern w:val="44"/>
          <w:sz w:val="32"/>
          <w:szCs w:val="32"/>
          <w:lang w:val="en-US" w:eastAsia="zh-CN" w:bidi="ar-SA"/>
        </w:rPr>
      </w:pPr>
      <w:r>
        <w:rPr>
          <w:rFonts w:hint="eastAsia" w:ascii="仿宋_GB2312" w:hAnsi="仿宋_GB2312" w:eastAsia="黑体" w:cs="仿宋_GB2312"/>
          <w:kern w:val="44"/>
          <w:sz w:val="32"/>
          <w:szCs w:val="32"/>
          <w:lang w:val="en-US" w:eastAsia="zh-CN" w:bidi="ar-SA"/>
        </w:rPr>
        <w:t>六、对全县加强法治政府建设的意见、建议</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希望能加强指导，如何按照不同的文化层次，不同的职业特点，不同的年龄阶段，制定普法计划和设计普法内容；如何将传统的普法方式和新媒体时代下的互联网+普法方式相结合，充分利用移动网络的方便快捷，调动不同普法对象的学法积极性，扩大普法工作的影响力。</w:t>
      </w:r>
    </w:p>
    <w:p>
      <w:pPr>
        <w:keepNext/>
        <w:keepLines/>
        <w:widowControl w:val="0"/>
        <w:bidi w:val="0"/>
        <w:spacing w:beforeLines="0" w:beforeAutospacing="0" w:afterLines="0" w:afterAutospacing="0" w:line="240" w:lineRule="auto"/>
        <w:ind w:firstLine="640" w:firstLineChars="200"/>
        <w:jc w:val="both"/>
        <w:outlineLvl w:val="0"/>
        <w:rPr>
          <w:rFonts w:hint="eastAsia" w:ascii="仿宋_GB2312" w:hAnsi="仿宋_GB2312" w:eastAsia="黑体" w:cs="仿宋_GB2312"/>
          <w:kern w:val="44"/>
          <w:sz w:val="32"/>
          <w:szCs w:val="32"/>
          <w:lang w:val="en-US" w:eastAsia="zh-CN" w:bidi="ar-SA"/>
        </w:rPr>
      </w:pPr>
      <w:r>
        <w:rPr>
          <w:rFonts w:hint="eastAsia" w:ascii="仿宋_GB2312" w:hAnsi="仿宋_GB2312" w:eastAsia="黑体" w:cs="仿宋_GB2312"/>
          <w:kern w:val="44"/>
          <w:sz w:val="32"/>
          <w:szCs w:val="32"/>
          <w:lang w:val="en-US" w:eastAsia="zh-CN" w:bidi="ar-SA"/>
        </w:rPr>
        <w:t>七、其他需要报告的重要事项</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无。</w:t>
      </w:r>
    </w:p>
    <w:p>
      <w:pPr>
        <w:ind w:firstLine="640" w:firstLineChars="200"/>
        <w:rPr>
          <w:rFonts w:hint="eastAsia" w:ascii="仿宋_GB2312" w:hAnsi="仿宋_GB2312" w:eastAsia="仿宋_GB2312" w:cs="仿宋_GB2312"/>
          <w:sz w:val="32"/>
          <w:szCs w:val="32"/>
          <w:lang w:val="en-US" w:eastAsia="zh-CN"/>
        </w:rPr>
      </w:pPr>
    </w:p>
    <w:p>
      <w:pPr>
        <w:ind w:firstLine="640" w:firstLineChars="200"/>
        <w:rPr>
          <w:rFonts w:hint="eastAsia" w:ascii="仿宋_GB2312" w:hAnsi="仿宋_GB2312" w:eastAsia="仿宋_GB2312" w:cs="仿宋_GB2312"/>
          <w:sz w:val="32"/>
          <w:szCs w:val="32"/>
          <w:lang w:val="en-US" w:eastAsia="zh-CN"/>
        </w:rPr>
      </w:pPr>
    </w:p>
    <w:p>
      <w:pPr>
        <w:ind w:firstLine="640" w:firstLineChars="200"/>
        <w:rPr>
          <w:rFonts w:hint="eastAsia" w:ascii="仿宋_GB2312" w:hAnsi="仿宋_GB2312" w:eastAsia="仿宋_GB2312" w:cs="仿宋_GB2312"/>
          <w:sz w:val="32"/>
          <w:szCs w:val="32"/>
          <w:lang w:val="en-US" w:eastAsia="zh-CN"/>
        </w:rPr>
      </w:pPr>
    </w:p>
    <w:p>
      <w:pPr>
        <w:pageBreakBefore w:val="0"/>
        <w:widowControl w:val="0"/>
        <w:kinsoku/>
        <w:wordWrap w:val="0"/>
        <w:overflowPunct/>
        <w:topLinePunct w:val="0"/>
        <w:autoSpaceDE/>
        <w:autoSpaceDN/>
        <w:bidi w:val="0"/>
        <w:adjustRightInd/>
        <w:snapToGrid/>
        <w:spacing w:line="600" w:lineRule="exact"/>
        <w:ind w:firstLine="640" w:firstLineChars="200"/>
        <w:jc w:val="righ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曲沃县财政局          </w:t>
      </w:r>
    </w:p>
    <w:p>
      <w:pPr>
        <w:pageBreakBefore w:val="0"/>
        <w:widowControl w:val="0"/>
        <w:kinsoku/>
        <w:wordWrap w:val="0"/>
        <w:overflowPunct/>
        <w:topLinePunct w:val="0"/>
        <w:autoSpaceDE/>
        <w:autoSpaceDN/>
        <w:bidi w:val="0"/>
        <w:adjustRightInd/>
        <w:snapToGrid/>
        <w:spacing w:line="600" w:lineRule="exact"/>
        <w:ind w:firstLine="640" w:firstLineChars="200"/>
        <w:jc w:val="righ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2023年12月</w:t>
      </w:r>
      <w:r>
        <w:rPr>
          <w:rFonts w:hint="eastAsia" w:ascii="仿宋_GB2312" w:hAnsi="仿宋_GB2312" w:eastAsia="仿宋_GB2312" w:cs="仿宋_GB2312"/>
          <w:sz w:val="32"/>
          <w:szCs w:val="32"/>
          <w:highlight w:val="none"/>
          <w:lang w:val="en-US" w:eastAsia="zh-CN"/>
        </w:rPr>
        <w:t>15</w:t>
      </w:r>
      <w:r>
        <w:rPr>
          <w:rFonts w:hint="eastAsia" w:ascii="仿宋_GB2312" w:hAnsi="仿宋_GB2312" w:eastAsia="仿宋_GB2312" w:cs="仿宋_GB2312"/>
          <w:sz w:val="32"/>
          <w:szCs w:val="32"/>
          <w:lang w:val="en-US" w:eastAsia="zh-CN"/>
        </w:rPr>
        <w:t>日　　　　</w:t>
      </w:r>
    </w:p>
    <w:p>
      <w:pPr>
        <w:spacing w:line="600" w:lineRule="exact"/>
        <w:rPr>
          <w:rFonts w:ascii="仿宋" w:hAnsi="仿宋" w:eastAsia="仿宋" w:cs="仿宋"/>
          <w:b/>
          <w:bCs/>
          <w:sz w:val="36"/>
          <w:szCs w:val="36"/>
        </w:rPr>
      </w:pPr>
    </w:p>
    <w:p>
      <w:pPr>
        <w:spacing w:line="600" w:lineRule="exact"/>
        <w:rPr>
          <w:rFonts w:ascii="仿宋" w:hAnsi="仿宋" w:eastAsia="仿宋" w:cs="仿宋"/>
          <w:b/>
          <w:bCs/>
          <w:sz w:val="36"/>
          <w:szCs w:val="36"/>
        </w:rPr>
      </w:pPr>
    </w:p>
    <w:p>
      <w:pPr>
        <w:spacing w:line="600" w:lineRule="exact"/>
        <w:rPr>
          <w:rFonts w:ascii="仿宋" w:hAnsi="仿宋" w:eastAsia="仿宋" w:cs="仿宋"/>
          <w:b/>
          <w:bCs/>
          <w:sz w:val="36"/>
          <w:szCs w:val="36"/>
        </w:rPr>
      </w:pPr>
    </w:p>
    <w:p>
      <w:pPr>
        <w:spacing w:line="600" w:lineRule="exact"/>
        <w:rPr>
          <w:rFonts w:ascii="仿宋" w:hAnsi="仿宋" w:eastAsia="仿宋" w:cs="仿宋"/>
          <w:b/>
          <w:bCs/>
          <w:sz w:val="36"/>
          <w:szCs w:val="36"/>
        </w:rPr>
      </w:pPr>
    </w:p>
    <w:p>
      <w:pPr>
        <w:spacing w:line="600" w:lineRule="exact"/>
        <w:rPr>
          <w:rFonts w:ascii="仿宋" w:hAnsi="仿宋" w:eastAsia="仿宋" w:cs="仿宋"/>
          <w:b/>
          <w:bCs/>
          <w:sz w:val="36"/>
          <w:szCs w:val="36"/>
        </w:rPr>
      </w:pPr>
    </w:p>
    <w:p>
      <w:pPr>
        <w:spacing w:line="600" w:lineRule="exact"/>
        <w:rPr>
          <w:rFonts w:ascii="仿宋" w:hAnsi="仿宋" w:eastAsia="仿宋" w:cs="仿宋"/>
          <w:b/>
          <w:bCs/>
          <w:sz w:val="36"/>
          <w:szCs w:val="36"/>
        </w:rPr>
      </w:pPr>
    </w:p>
    <w:p>
      <w:pPr>
        <w:spacing w:line="600" w:lineRule="exact"/>
        <w:rPr>
          <w:rFonts w:ascii="仿宋" w:hAnsi="仿宋" w:eastAsia="仿宋" w:cs="仿宋"/>
          <w:b/>
          <w:bCs/>
          <w:sz w:val="36"/>
          <w:szCs w:val="36"/>
        </w:rPr>
      </w:pPr>
    </w:p>
    <w:p>
      <w:pPr>
        <w:spacing w:line="580" w:lineRule="exact"/>
        <w:jc w:val="right"/>
        <w:rPr>
          <w:rFonts w:hint="eastAsia" w:ascii="仿宋_GB2312" w:hAnsi="仿宋_GB2312" w:eastAsia="仿宋_GB2312" w:cs="仿宋_GB2312"/>
          <w:sz w:val="32"/>
          <w:szCs w:val="32"/>
        </w:rPr>
      </w:pPr>
    </w:p>
    <w:p>
      <w:pPr>
        <w:spacing w:line="580" w:lineRule="exact"/>
        <w:jc w:val="right"/>
        <w:rPr>
          <w:rFonts w:hint="eastAsia" w:ascii="仿宋_GB2312" w:hAnsi="仿宋_GB2312" w:eastAsia="仿宋_GB2312" w:cs="仿宋_GB2312"/>
          <w:sz w:val="32"/>
          <w:szCs w:val="32"/>
        </w:rPr>
      </w:pPr>
    </w:p>
    <w:p>
      <w:pPr>
        <w:pStyle w:val="2"/>
        <w:rPr>
          <w:rFonts w:hint="eastAsia"/>
        </w:rPr>
      </w:pPr>
    </w:p>
    <w:p>
      <w:pPr>
        <w:spacing w:line="580" w:lineRule="exact"/>
        <w:jc w:val="right"/>
        <w:rPr>
          <w:rFonts w:ascii="仿宋_GB2312" w:hAnsi="仿宋_GB2312" w:eastAsia="仿宋_GB2312" w:cs="仿宋_GB2312"/>
          <w:sz w:val="32"/>
          <w:szCs w:val="32"/>
        </w:rPr>
      </w:pPr>
    </w:p>
    <w:p>
      <w:pPr>
        <w:spacing w:line="580" w:lineRule="exact"/>
        <w:jc w:val="right"/>
        <w:rPr>
          <w:rFonts w:ascii="仿宋_GB2312" w:hAnsi="仿宋_GB2312" w:eastAsia="仿宋_GB2312" w:cs="仿宋_GB2312"/>
          <w:sz w:val="32"/>
          <w:szCs w:val="32"/>
        </w:rPr>
      </w:pPr>
      <w:r>
        <w:rPr>
          <w:rFonts w:ascii="仿宋_GB2312" w:hAnsi="仿宋_GB2312" w:eastAsia="仿宋_GB2312" w:cs="仿宋_GB2312"/>
          <w:sz w:val="32"/>
          <w:szCs w:val="32"/>
        </w:rPr>
        <mc:AlternateContent>
          <mc:Choice Requires="wps">
            <w:drawing>
              <wp:anchor distT="0" distB="0" distL="114300" distR="114300" simplePos="0" relativeHeight="251662336" behindDoc="0" locked="0" layoutInCell="1" allowOverlap="1">
                <wp:simplePos x="0" y="0"/>
                <wp:positionH relativeFrom="column">
                  <wp:posOffset>-88900</wp:posOffset>
                </wp:positionH>
                <wp:positionV relativeFrom="paragraph">
                  <wp:posOffset>647065</wp:posOffset>
                </wp:positionV>
                <wp:extent cx="5845810" cy="0"/>
                <wp:effectExtent l="0" t="0" r="21590" b="19050"/>
                <wp:wrapNone/>
                <wp:docPr id="3" name="AutoShape 6"/>
                <wp:cNvGraphicFramePr/>
                <a:graphic xmlns:a="http://schemas.openxmlformats.org/drawingml/2006/main">
                  <a:graphicData uri="http://schemas.microsoft.com/office/word/2010/wordprocessingShape">
                    <wps:wsp>
                      <wps:cNvCnPr/>
                      <wps:spPr>
                        <a:xfrm>
                          <a:off x="0" y="0"/>
                          <a:ext cx="5845810" cy="0"/>
                        </a:xfrm>
                        <a:prstGeom prst="straightConnector1">
                          <a:avLst/>
                        </a:prstGeom>
                        <a:ln w="12700" cap="flat" cmpd="sng">
                          <a:solidFill>
                            <a:srgbClr val="FF0000"/>
                          </a:solidFill>
                          <a:prstDash val="solid"/>
                          <a:headEnd type="none" w="med" len="med"/>
                          <a:tailEnd type="none" w="med" len="med"/>
                        </a:ln>
                      </wps:spPr>
                      <wps:bodyPr/>
                    </wps:wsp>
                  </a:graphicData>
                </a:graphic>
              </wp:anchor>
            </w:drawing>
          </mc:Choice>
          <mc:Fallback>
            <w:pict>
              <v:shape id="AutoShape 6" o:spid="_x0000_s1026" o:spt="32" type="#_x0000_t32" style="position:absolute;left:0pt;margin-left:-7pt;margin-top:50.95pt;height:0pt;width:460.3pt;z-index:251662336;mso-width-relative:page;mso-height-relative:page;" filled="f" stroked="t" coordsize="21600,21600" o:gfxdata="UEsFBgAAAAAAAAAAAAAAAAAAAAAAAFBLAwQKAAAAAACHTuJAAAAAAAAAAAAAAAAABAAAAGRycy9Q&#10;SwMEFAAAAAgAh07iQPV6+4PVAAAACwEAAA8AAABkcnMvZG93bnJldi54bWxNj81OwzAQhO9IvIO1&#10;SNxaO6hENMTpoaLHHgg/ErdtvCSBeB3FbhvenkVCguPOjGa/KTezH9SJptgHtpAtDSjiJrieWwvP&#10;T7vFHaiYkB0OgcnCF0XYVJcXJRYunPmRTnVqlZRwLNBCl9JYaB2bjjzGZRiJxXsPk8ck59RqN+FZ&#10;yv2gb4zJtcee5UOHI207aj7ro7fwsB1nboN7+XBvTLj36bZ+3Vt7fZWZe1CJ5vQXhh98QYdKmA7h&#10;yC6qwcIiW8mWJIbJ1qAksTZ5Durwq+iq1P83VN9QSwMEFAAAAAgAh07iQELVMFHGAQAAkwMAAA4A&#10;AABkcnMvZTJvRG9jLnhtbK1Ty44TMRC8I/EPlu9kJoFdolEmK5QQLggiLXxAx48ZS37J7c0kf0/b&#10;yWZ5XBAiB6ftdld3lWtWDydn2VElNMH3fD5rOVNeBGn80PPv33ZvlpxhBi/BBq96flbIH9avX62m&#10;2KlFGIOVKjEC8dhNsedjzrFrGhSjcoCzEJWnpA7JQaZtGhqZYCJ0Z5tF2943U0gypiAUIp1uL0m+&#10;rvhaK5G/ao0qM9tzmi3XNdX1UNZmvYJuSBBHI65jwD9M4cB4anqD2kIG9pTMH1DOiBQw6DwTwTVB&#10;ayNU5UBs5u1vbB5HiKpyIXEw3mTC/wcrvhz3iRnZ87eceXD0RB+ecqid2X2RZ4rY0a2N36frDuM+&#10;Fa4nnVz5JxbsVCU93yRVp8wEHd4t390t56S8eM41L4UxYf6kgmMl6DnmBGYY8yZ4Tw8X0rxKCsfP&#10;mKk1FT4XlK7Ws4kct3jfFnQg72gLmUIXiQ36oRZjsEbujLWlBNNw2NjEjkBu2O1a+hWGBPzLtdJl&#10;Czhe7tXUxSejAvnRS5bPkXTyZGheZnBKcmYV+b9EBAhdBmP/5ia1tp4mKCJfZC3RIchzVbue08vX&#10;Ga8uLdb6eV+rX76l9Q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D1evuD1QAAAAsBAAAPAAAAAAAA&#10;AAEAIAAAADgAAABkcnMvZG93bnJldi54bWxQSwECFAAUAAAACACHTuJAQtUwUcYBAACTAwAADgAA&#10;AAAAAAABACAAAAA6AQAAZHJzL2Uyb0RvYy54bWxQSwUGAAAAAAYABgBZAQAAcgUAAAAA&#10;">
                <v:fill on="f" focussize="0,0"/>
                <v:stroke weight="1pt" color="#FF0000" joinstyle="round"/>
                <v:imagedata o:title=""/>
                <o:lock v:ext="edit" aspectratio="f"/>
              </v:shape>
            </w:pict>
          </mc:Fallback>
        </mc:AlternateContent>
      </w:r>
      <w:r>
        <w:rPr>
          <w:rFonts w:ascii="仿宋_GB2312" w:hAnsi="仿宋_GB2312" w:eastAsia="仿宋_GB2312" w:cs="仿宋_GB2312"/>
          <w:sz w:val="32"/>
          <w:szCs w:val="32"/>
        </w:rPr>
        <mc:AlternateContent>
          <mc:Choice Requires="wps">
            <w:drawing>
              <wp:anchor distT="0" distB="0" distL="114300" distR="114300" simplePos="0" relativeHeight="251663360" behindDoc="0" locked="0" layoutInCell="1" allowOverlap="1">
                <wp:simplePos x="0" y="0"/>
                <wp:positionH relativeFrom="column">
                  <wp:posOffset>-86360</wp:posOffset>
                </wp:positionH>
                <wp:positionV relativeFrom="paragraph">
                  <wp:posOffset>620395</wp:posOffset>
                </wp:positionV>
                <wp:extent cx="5845810" cy="0"/>
                <wp:effectExtent l="0" t="0" r="21590" b="19050"/>
                <wp:wrapNone/>
                <wp:docPr id="4" name="AutoShape 7"/>
                <wp:cNvGraphicFramePr/>
                <a:graphic xmlns:a="http://schemas.openxmlformats.org/drawingml/2006/main">
                  <a:graphicData uri="http://schemas.microsoft.com/office/word/2010/wordprocessingShape">
                    <wps:wsp>
                      <wps:cNvCnPr/>
                      <wps:spPr>
                        <a:xfrm>
                          <a:off x="0" y="0"/>
                          <a:ext cx="5845810" cy="0"/>
                        </a:xfrm>
                        <a:prstGeom prst="straightConnector1">
                          <a:avLst/>
                        </a:prstGeom>
                        <a:ln w="6350" cap="flat" cmpd="sng">
                          <a:solidFill>
                            <a:srgbClr val="FF0000"/>
                          </a:solidFill>
                          <a:prstDash val="solid"/>
                          <a:headEnd type="none" w="med" len="med"/>
                          <a:tailEnd type="none" w="med" len="med"/>
                        </a:ln>
                      </wps:spPr>
                      <wps:bodyPr/>
                    </wps:wsp>
                  </a:graphicData>
                </a:graphic>
              </wp:anchor>
            </w:drawing>
          </mc:Choice>
          <mc:Fallback>
            <w:pict>
              <v:shape id="AutoShape 7" o:spid="_x0000_s1026" o:spt="32" type="#_x0000_t32" style="position:absolute;left:0pt;margin-left:-6.8pt;margin-top:48.85pt;height:0pt;width:460.3pt;z-index:251663360;mso-width-relative:page;mso-height-relative:page;" filled="f" stroked="t" coordsize="21600,21600" o:gfxdata="UEsFBgAAAAAAAAAAAAAAAAAAAAAAAFBLAwQKAAAAAACHTuJAAAAAAAAAAAAAAAAABAAAAGRycy9Q&#10;SwMEFAAAAAgAh07iQKNsSO3WAAAACQEAAA8AAABkcnMvZG93bnJldi54bWxNj8FOwzAMhu9IvENk&#10;JG5bUkZXVprugMQNgTaQuGaNaao1TmnSrbw9RhzgaPvT7++vtrPvxQnH2AXSkC0VCKQm2I5aDW+v&#10;j4s7EDEZsqYPhBq+MMK2vryoTGnDmXZ42qdWcAjF0mhwKQ2llLFx6E1chgGJbx9h9CbxOLbSjubM&#10;4b6XN0qtpTcd8QdnBnxw2Bz3k9dw2/mVm96P+bPL40tq8vnpc95pfX2VqXsQCef0B8OPPqtDzU6H&#10;MJGNotewyFZrRjVsigIEAxtVcLnD70LWlfzfoP4GUEsDBBQAAAAIAIdO4kDAOep0xgEAAJIDAAAO&#10;AAAAZHJzL2Uyb0RvYy54bWytU9uOEzEMfUfiH6K805ku26UadbpCLeUFQSXgA9xcZiLlpjjbaf8e&#10;J+12ubwgxDxknNg+9jlxVo8nZ9lRJTTB93w+azlTXgRp/NDz7992b5acYQYvwQaven5WyB/Xr1+t&#10;ptipuzAGK1ViBOKxm2LPx5xj1zQoRuUAZyEqT04dkoNM2zQ0MsFE6M42d2370EwhyZiCUIh0ur04&#10;+bria61E/qI1qsxsz6m3XNdU10NZm/UKuiFBHI24tgH/0IUD46noDWoLGdhTMn9AOSNSwKDzTATX&#10;BK2NUJUDsZm3v7H5OkJUlQuJg/EmE/4/WPH5uE/MyJ7fc+bB0RW9f8qhVmbvijxTxI6iNn6frjuM&#10;+1S4nnRy5U8s2KlKer5Jqk6ZCTpcLO8XyzkpL559zUtiTJg/quBYMXqOOYEZxrwJ3tPFhTSvksLx&#10;E2YqTYnPCaWq9Wzq+cPbRQEHGh1tIZPpIpFBP9RcDNbInbG2ZGAaDhub2BFoGHa7lr5CkHB/CStF&#10;toDjJa66LmMyKpAfvGT5HEkmT/PMSwtOSc6sovEvFgFCl8HYv4mk0tZTB0Xji6rFOgR5rmLXc7r4&#10;2uN1SMtk/byv2S9Paf0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FgAAAGRycy9QSwECFAAUAAAACACHTuJAo2xI7dYAAAAJAQAADwAAAAAA&#10;AAABACAAAAA4AAAAZHJzL2Rvd25yZXYueG1sUEsBAhQAFAAAAAgAh07iQMA56nTGAQAAkgMAAA4A&#10;AAAAAAAAAQAgAAAAOwEAAGRycy9lMm9Eb2MueG1sUEsFBgAAAAAGAAYAWQEAAHMFAAAAAA==&#10;">
                <v:fill on="f" focussize="0,0"/>
                <v:stroke weight="0.5pt" color="#FF0000" joinstyle="round"/>
                <v:imagedata o:title=""/>
                <o:lock v:ext="edit" aspectratio="f"/>
              </v:shape>
            </w:pict>
          </mc:Fallback>
        </mc:AlternateContent>
      </w:r>
    </w:p>
    <w:sectPr>
      <w:footerReference r:id="rId3" w:type="default"/>
      <w:pgSz w:w="11906" w:h="16838"/>
      <w:pgMar w:top="1701" w:right="1474" w:bottom="1701" w:left="1474"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穝灿砰">
    <w:altName w:val="Noto Serif CJK JP"/>
    <w:panose1 w:val="00000000000000000000"/>
    <w:charset w:val="00"/>
    <w:family w:val="auto"/>
    <w:pitch w:val="default"/>
    <w:sig w:usb0="00000000" w:usb1="00000000" w:usb2="00000000" w:usb3="00000000" w:csb0="00040001" w:csb1="00000000"/>
  </w:font>
  <w:font w:name="方正小标宋简体">
    <w:altName w:val="方正小标宋_GBK"/>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8TPSHQIAACkEAAAOAAAAZHJz&#10;L2Uyb0RvYy54bWytU82O0zAQviPxDpbvNGlRV1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9eT/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DxM9IdAgAAKQQAAA4AAAAAAAAAAQAgAAAANQEAAGRycy9lMm9Eb2MueG1sUEsF&#10;BgAAAAAGAAYAWQEAAMQFAAAAAA==&#10;">
              <v:fill on="f" focussize="0,0"/>
              <v:stroke on="f" weight="0.5pt"/>
              <v:imagedata o:title=""/>
              <o:lock v:ext="edit" aspectratio="f"/>
              <v:textbox inset="0mm,0mm,0mm,0mm" style="mso-fit-shape-to-text:t;">
                <w:txbxContent>
                  <w:p>
                    <w:pPr>
                      <w:pStyle w:val="6"/>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M4MmI0MzhmY2E0ZTFjNDMyNGZmZThjMDczMzAyNDIifQ=="/>
  </w:docVars>
  <w:rsids>
    <w:rsidRoot w:val="000E120E"/>
    <w:rsid w:val="00003FB8"/>
    <w:rsid w:val="00025283"/>
    <w:rsid w:val="00025ECE"/>
    <w:rsid w:val="00035868"/>
    <w:rsid w:val="000C6092"/>
    <w:rsid w:val="000D5E3B"/>
    <w:rsid w:val="000D5FC3"/>
    <w:rsid w:val="000E120E"/>
    <w:rsid w:val="00103CFB"/>
    <w:rsid w:val="00104FF2"/>
    <w:rsid w:val="00146F36"/>
    <w:rsid w:val="00160464"/>
    <w:rsid w:val="0017233E"/>
    <w:rsid w:val="001734EA"/>
    <w:rsid w:val="0017358C"/>
    <w:rsid w:val="0020117D"/>
    <w:rsid w:val="00201376"/>
    <w:rsid w:val="00202513"/>
    <w:rsid w:val="00227DA3"/>
    <w:rsid w:val="00251265"/>
    <w:rsid w:val="00274AC6"/>
    <w:rsid w:val="00285249"/>
    <w:rsid w:val="002C5607"/>
    <w:rsid w:val="002D0642"/>
    <w:rsid w:val="002D6215"/>
    <w:rsid w:val="002E6FAF"/>
    <w:rsid w:val="0036093D"/>
    <w:rsid w:val="0036501F"/>
    <w:rsid w:val="00387FC2"/>
    <w:rsid w:val="003A54DD"/>
    <w:rsid w:val="003E56B3"/>
    <w:rsid w:val="00406013"/>
    <w:rsid w:val="00406047"/>
    <w:rsid w:val="004141E3"/>
    <w:rsid w:val="004313D3"/>
    <w:rsid w:val="0043220E"/>
    <w:rsid w:val="00485228"/>
    <w:rsid w:val="004A6FCE"/>
    <w:rsid w:val="004D7F47"/>
    <w:rsid w:val="005018C2"/>
    <w:rsid w:val="0054246D"/>
    <w:rsid w:val="00550F07"/>
    <w:rsid w:val="00554971"/>
    <w:rsid w:val="00580135"/>
    <w:rsid w:val="005856B6"/>
    <w:rsid w:val="00586D0D"/>
    <w:rsid w:val="005B4FBB"/>
    <w:rsid w:val="00612A46"/>
    <w:rsid w:val="00622FE0"/>
    <w:rsid w:val="00631F72"/>
    <w:rsid w:val="00660BB9"/>
    <w:rsid w:val="0067441C"/>
    <w:rsid w:val="006970A1"/>
    <w:rsid w:val="006D0DF5"/>
    <w:rsid w:val="006D2191"/>
    <w:rsid w:val="00702FFC"/>
    <w:rsid w:val="0070455F"/>
    <w:rsid w:val="007077A7"/>
    <w:rsid w:val="0074109E"/>
    <w:rsid w:val="0076405C"/>
    <w:rsid w:val="00775A71"/>
    <w:rsid w:val="00781E77"/>
    <w:rsid w:val="007846B2"/>
    <w:rsid w:val="007B746F"/>
    <w:rsid w:val="007C27E0"/>
    <w:rsid w:val="007C49A2"/>
    <w:rsid w:val="007E4D41"/>
    <w:rsid w:val="007F6C54"/>
    <w:rsid w:val="008113FF"/>
    <w:rsid w:val="00883BF6"/>
    <w:rsid w:val="008A7E22"/>
    <w:rsid w:val="00913E7A"/>
    <w:rsid w:val="0093357E"/>
    <w:rsid w:val="00953FAB"/>
    <w:rsid w:val="009703C7"/>
    <w:rsid w:val="00987EE6"/>
    <w:rsid w:val="009B25B3"/>
    <w:rsid w:val="00A07DFC"/>
    <w:rsid w:val="00A35CD7"/>
    <w:rsid w:val="00A53E17"/>
    <w:rsid w:val="00A651D8"/>
    <w:rsid w:val="00A90619"/>
    <w:rsid w:val="00AC13F5"/>
    <w:rsid w:val="00AF43EB"/>
    <w:rsid w:val="00B150B3"/>
    <w:rsid w:val="00B23041"/>
    <w:rsid w:val="00B24E13"/>
    <w:rsid w:val="00B43976"/>
    <w:rsid w:val="00B84D77"/>
    <w:rsid w:val="00B932DE"/>
    <w:rsid w:val="00BA7926"/>
    <w:rsid w:val="00BC04C2"/>
    <w:rsid w:val="00BD3C29"/>
    <w:rsid w:val="00C31B06"/>
    <w:rsid w:val="00C767BD"/>
    <w:rsid w:val="00D248F1"/>
    <w:rsid w:val="00D30117"/>
    <w:rsid w:val="00D376D4"/>
    <w:rsid w:val="00D37A4E"/>
    <w:rsid w:val="00D4723A"/>
    <w:rsid w:val="00D860F7"/>
    <w:rsid w:val="00DC1849"/>
    <w:rsid w:val="00DC3AC1"/>
    <w:rsid w:val="00E12961"/>
    <w:rsid w:val="00E31A04"/>
    <w:rsid w:val="00E4602A"/>
    <w:rsid w:val="00E634D2"/>
    <w:rsid w:val="00EA2193"/>
    <w:rsid w:val="00EA78DB"/>
    <w:rsid w:val="00EF0150"/>
    <w:rsid w:val="00EF0AE0"/>
    <w:rsid w:val="00EF0F15"/>
    <w:rsid w:val="00EF2BCF"/>
    <w:rsid w:val="00EF5019"/>
    <w:rsid w:val="00F01400"/>
    <w:rsid w:val="00F27EB5"/>
    <w:rsid w:val="00F400B1"/>
    <w:rsid w:val="00F50EBB"/>
    <w:rsid w:val="00F6642B"/>
    <w:rsid w:val="00F739C8"/>
    <w:rsid w:val="00F762E7"/>
    <w:rsid w:val="00FA5F6E"/>
    <w:rsid w:val="00FE1CF7"/>
    <w:rsid w:val="01EB0DF8"/>
    <w:rsid w:val="05676166"/>
    <w:rsid w:val="0DA06123"/>
    <w:rsid w:val="0E835B7C"/>
    <w:rsid w:val="104B533F"/>
    <w:rsid w:val="1A405BC6"/>
    <w:rsid w:val="1F3F789D"/>
    <w:rsid w:val="20AB6E7D"/>
    <w:rsid w:val="20B67505"/>
    <w:rsid w:val="215374F9"/>
    <w:rsid w:val="2B3002E1"/>
    <w:rsid w:val="2E8001FF"/>
    <w:rsid w:val="303B2A62"/>
    <w:rsid w:val="32475296"/>
    <w:rsid w:val="33FC61DD"/>
    <w:rsid w:val="34091263"/>
    <w:rsid w:val="34400F0B"/>
    <w:rsid w:val="35A63D7A"/>
    <w:rsid w:val="35AD46F6"/>
    <w:rsid w:val="3997636A"/>
    <w:rsid w:val="3CFE53F7"/>
    <w:rsid w:val="3EC838C4"/>
    <w:rsid w:val="3FD44393"/>
    <w:rsid w:val="41726AB7"/>
    <w:rsid w:val="47DB432A"/>
    <w:rsid w:val="4A1A1650"/>
    <w:rsid w:val="4DA1235D"/>
    <w:rsid w:val="4FFD0694"/>
    <w:rsid w:val="50347A46"/>
    <w:rsid w:val="521A2B22"/>
    <w:rsid w:val="5329442A"/>
    <w:rsid w:val="53BE16FC"/>
    <w:rsid w:val="562A14DA"/>
    <w:rsid w:val="573339B8"/>
    <w:rsid w:val="5A3770F2"/>
    <w:rsid w:val="5A682868"/>
    <w:rsid w:val="634342A2"/>
    <w:rsid w:val="645A3FDC"/>
    <w:rsid w:val="653C2A02"/>
    <w:rsid w:val="65673B93"/>
    <w:rsid w:val="666334E2"/>
    <w:rsid w:val="66FA7867"/>
    <w:rsid w:val="6B3D425E"/>
    <w:rsid w:val="6C9D5F1E"/>
    <w:rsid w:val="6EAB3F69"/>
    <w:rsid w:val="6F9658D6"/>
    <w:rsid w:val="74AA048A"/>
    <w:rsid w:val="766F7295"/>
    <w:rsid w:val="7A647305"/>
    <w:rsid w:val="7DB76A0F"/>
    <w:rsid w:val="7E6264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spacing w:before="104" w:after="104" w:line="0" w:lineRule="atLeast"/>
      <w:jc w:val="center"/>
      <w:outlineLvl w:val="0"/>
    </w:pPr>
    <w:rPr>
      <w:rFonts w:ascii="Arial" w:hAnsi="Arial" w:eastAsia="穝灿砰"/>
      <w:sz w:val="32"/>
    </w:rPr>
  </w:style>
  <w:style w:type="paragraph" w:styleId="3">
    <w:name w:val="heading 2"/>
    <w:basedOn w:val="1"/>
    <w:next w:val="1"/>
    <w:link w:val="14"/>
    <w:unhideWhenUsed/>
    <w:qFormat/>
    <w:uiPriority w:val="0"/>
    <w:pPr>
      <w:keepNext/>
      <w:keepLines/>
      <w:spacing w:before="260" w:after="260" w:line="412" w:lineRule="auto"/>
      <w:outlineLvl w:val="1"/>
    </w:pPr>
    <w:rPr>
      <w:rFonts w:ascii="Arial" w:hAnsi="Arial" w:eastAsia="黑体" w:cs="Times New Roman"/>
      <w:b/>
      <w:sz w:val="32"/>
      <w:szCs w:val="24"/>
    </w:rPr>
  </w:style>
  <w:style w:type="paragraph" w:styleId="4">
    <w:name w:val="heading 4"/>
    <w:basedOn w:val="1"/>
    <w:next w:val="1"/>
    <w:unhideWhenUsed/>
    <w:qFormat/>
    <w:uiPriority w:val="0"/>
    <w:pPr>
      <w:keepNext/>
      <w:keepLines/>
      <w:spacing w:beforeLines="0" w:beforeAutospacing="0" w:afterLines="0" w:afterAutospacing="0" w:line="240" w:lineRule="auto"/>
      <w:ind w:firstLine="0" w:firstLineChars="0"/>
      <w:jc w:val="center"/>
      <w:outlineLvl w:val="3"/>
    </w:pPr>
    <w:rPr>
      <w:rFonts w:ascii="Arial" w:hAnsi="Arial" w:eastAsia="方正小标宋简体"/>
      <w:sz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Date"/>
    <w:basedOn w:val="1"/>
    <w:next w:val="1"/>
    <w:link w:val="15"/>
    <w:unhideWhenUsed/>
    <w:qFormat/>
    <w:uiPriority w:val="99"/>
    <w:pPr>
      <w:ind w:left="100" w:leftChars="2500"/>
    </w:p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jc w:val="left"/>
    </w:pPr>
    <w:rPr>
      <w:kern w:val="0"/>
      <w:sz w:val="24"/>
    </w:rPr>
  </w:style>
  <w:style w:type="table" w:styleId="10">
    <w:name w:val="Table Grid"/>
    <w:basedOn w:val="9"/>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2">
    <w:name w:val="页眉 Char"/>
    <w:basedOn w:val="11"/>
    <w:link w:val="7"/>
    <w:semiHidden/>
    <w:qFormat/>
    <w:uiPriority w:val="99"/>
    <w:rPr>
      <w:sz w:val="18"/>
      <w:szCs w:val="18"/>
    </w:rPr>
  </w:style>
  <w:style w:type="character" w:customStyle="1" w:styleId="13">
    <w:name w:val="页脚 Char"/>
    <w:basedOn w:val="11"/>
    <w:link w:val="6"/>
    <w:semiHidden/>
    <w:qFormat/>
    <w:uiPriority w:val="99"/>
    <w:rPr>
      <w:sz w:val="18"/>
      <w:szCs w:val="18"/>
    </w:rPr>
  </w:style>
  <w:style w:type="character" w:customStyle="1" w:styleId="14">
    <w:name w:val="标题 2 Char"/>
    <w:basedOn w:val="11"/>
    <w:link w:val="3"/>
    <w:semiHidden/>
    <w:qFormat/>
    <w:uiPriority w:val="0"/>
    <w:rPr>
      <w:rFonts w:ascii="Arial" w:hAnsi="Arial" w:eastAsia="黑体" w:cs="Times New Roman"/>
      <w:b/>
      <w:sz w:val="32"/>
      <w:szCs w:val="24"/>
    </w:rPr>
  </w:style>
  <w:style w:type="character" w:customStyle="1" w:styleId="15">
    <w:name w:val="日期 Char"/>
    <w:basedOn w:val="11"/>
    <w:link w:val="5"/>
    <w:semiHidden/>
    <w:qFormat/>
    <w:uiPriority w:val="99"/>
  </w:style>
  <w:style w:type="paragraph" w:customStyle="1" w:styleId="16">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Pages>
  <Words>207</Words>
  <Characters>211</Characters>
  <Lines>5</Lines>
  <Paragraphs>1</Paragraphs>
  <TotalTime>2</TotalTime>
  <ScaleCrop>false</ScaleCrop>
  <LinksUpToDate>false</LinksUpToDate>
  <CharactersWithSpaces>235</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2019-05-27T17:12:00Z</dcterms:created>
  <dc:creator>微软用户</dc:creator>
  <cp:lastModifiedBy>baixin</cp:lastModifiedBy>
  <cp:lastPrinted>2023-09-28T09:01:00Z</cp:lastPrinted>
  <dcterms:modified xsi:type="dcterms:W3CDTF">2025-10-28T15:36:01Z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0E6EA2C5DA184736AA108A55484DFFA9_13</vt:lpwstr>
  </property>
</Properties>
</file>