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13226" w:type="dxa"/>
        <w:tblInd w:w="-15" w:type="dxa"/>
        <w:tblLayout w:type="fixed"/>
        <w:tblCellMar>
          <w:top w:w="15" w:type="dxa"/>
          <w:left w:w="15" w:type="dxa"/>
          <w:bottom w:w="15" w:type="dxa"/>
          <w:right w:w="15" w:type="dxa"/>
        </w:tblCellMar>
      </w:tblPr>
      <w:tblGrid>
        <w:gridCol w:w="13226"/>
      </w:tblGrid>
      <w:tr>
        <w:tblPrEx>
          <w:tblCellMar>
            <w:top w:w="15" w:type="dxa"/>
            <w:left w:w="15" w:type="dxa"/>
            <w:bottom w:w="15" w:type="dxa"/>
            <w:right w:w="15" w:type="dxa"/>
          </w:tblCellMar>
        </w:tblPrEx>
        <w:trPr>
          <w:trHeight w:val="98" w:hRule="atLeast"/>
        </w:trPr>
        <w:tc>
          <w:tcPr>
            <w:tcW w:w="13226" w:type="dxa"/>
            <w:noWrap w:val="0"/>
            <w:vAlign w:val="top"/>
          </w:tcPr>
          <w:p>
            <w:pPr>
              <w:pStyle w:val="7"/>
              <w:ind w:left="0" w:leftChars="0" w:firstLine="0" w:firstLineChars="0"/>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rPr>
              <w:t>附</w:t>
            </w:r>
            <w:r>
              <w:rPr>
                <w:rFonts w:hint="eastAsia" w:ascii="黑体" w:hAnsi="黑体" w:eastAsia="黑体" w:cs="黑体"/>
                <w:color w:val="auto"/>
                <w:sz w:val="32"/>
                <w:szCs w:val="32"/>
                <w:highlight w:val="none"/>
                <w:lang w:eastAsia="zh-CN"/>
              </w:rPr>
              <w:t>件</w:t>
            </w:r>
            <w:r>
              <w:rPr>
                <w:rFonts w:hint="eastAsia" w:ascii="黑体" w:hAnsi="黑体" w:eastAsia="黑体" w:cs="黑体"/>
                <w:color w:val="auto"/>
                <w:sz w:val="32"/>
                <w:szCs w:val="32"/>
                <w:highlight w:val="none"/>
                <w:lang w:val="en-US" w:eastAsia="zh-CN"/>
              </w:rPr>
              <w:t>2</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_GBK" w:hAnsi="方正小标宋_GBK" w:eastAsia="方正小标宋_GBK" w:cs="方正小标宋_GBK"/>
                <w:b w:val="0"/>
                <w:bCs w:val="0"/>
                <w:color w:val="auto"/>
                <w:sz w:val="44"/>
                <w:szCs w:val="44"/>
                <w:highlight w:val="none"/>
              </w:rPr>
            </w:pPr>
            <w:r>
              <w:rPr>
                <w:rFonts w:hint="eastAsia" w:ascii="方正小标宋_GBK" w:hAnsi="方正小标宋_GBK" w:eastAsia="方正小标宋_GBK" w:cs="方正小标宋_GBK"/>
                <w:b w:val="0"/>
                <w:bCs w:val="0"/>
                <w:color w:val="auto"/>
                <w:sz w:val="44"/>
                <w:szCs w:val="44"/>
                <w:highlight w:val="none"/>
                <w:lang w:val="en-US" w:eastAsia="zh-CN"/>
              </w:rPr>
              <w:t>非煤矿山生产安全事故县级应急指挥机构及职责</w:t>
            </w:r>
          </w:p>
          <w:tbl>
            <w:tblPr>
              <w:tblStyle w:val="5"/>
              <w:tblW w:w="13202" w:type="dxa"/>
              <w:jc w:val="center"/>
              <w:tblLayout w:type="fixed"/>
              <w:tblCellMar>
                <w:top w:w="0" w:type="dxa"/>
                <w:left w:w="0" w:type="dxa"/>
                <w:bottom w:w="0" w:type="dxa"/>
                <w:right w:w="0" w:type="dxa"/>
              </w:tblCellMar>
            </w:tblPr>
            <w:tblGrid>
              <w:gridCol w:w="629"/>
              <w:gridCol w:w="2730"/>
              <w:gridCol w:w="9843"/>
            </w:tblGrid>
            <w:tr>
              <w:tblPrEx>
                <w:tblCellMar>
                  <w:top w:w="0" w:type="dxa"/>
                  <w:left w:w="0" w:type="dxa"/>
                  <w:bottom w:w="0" w:type="dxa"/>
                  <w:right w:w="0" w:type="dxa"/>
                </w:tblCellMar>
              </w:tblPrEx>
              <w:trPr>
                <w:trHeight w:val="402" w:hRule="atLeast"/>
                <w:jc w:val="center"/>
              </w:trPr>
              <w:tc>
                <w:tcPr>
                  <w:tcW w:w="3359"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widowControl/>
                    <w:jc w:val="center"/>
                    <w:textAlignment w:val="center"/>
                    <w:rPr>
                      <w:rFonts w:ascii="黑体" w:hAnsi="宋体" w:eastAsia="黑体" w:cs="黑体"/>
                      <w:color w:val="auto"/>
                      <w:sz w:val="28"/>
                      <w:szCs w:val="28"/>
                      <w:highlight w:val="none"/>
                    </w:rPr>
                  </w:pPr>
                  <w:r>
                    <w:rPr>
                      <w:rFonts w:hint="eastAsia" w:ascii="黑体" w:hAnsi="宋体" w:eastAsia="黑体" w:cs="黑体"/>
                      <w:color w:val="auto"/>
                      <w:kern w:val="0"/>
                      <w:sz w:val="28"/>
                      <w:szCs w:val="28"/>
                      <w:highlight w:val="none"/>
                      <w:lang w:bidi="ar"/>
                    </w:rPr>
                    <w:t>人员</w:t>
                  </w:r>
                </w:p>
              </w:tc>
              <w:tc>
                <w:tcPr>
                  <w:tcW w:w="98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黑体" w:hAnsi="宋体" w:eastAsia="黑体" w:cs="黑体"/>
                      <w:color w:val="auto"/>
                      <w:sz w:val="28"/>
                      <w:szCs w:val="28"/>
                      <w:highlight w:val="none"/>
                    </w:rPr>
                  </w:pPr>
                  <w:r>
                    <w:rPr>
                      <w:rFonts w:hint="eastAsia" w:ascii="黑体" w:hAnsi="宋体" w:eastAsia="黑体" w:cs="黑体"/>
                      <w:color w:val="auto"/>
                      <w:kern w:val="0"/>
                      <w:sz w:val="28"/>
                      <w:szCs w:val="28"/>
                      <w:highlight w:val="none"/>
                      <w:lang w:bidi="ar"/>
                    </w:rPr>
                    <w:t>职责</w:t>
                  </w:r>
                </w:p>
              </w:tc>
            </w:tr>
            <w:tr>
              <w:tblPrEx>
                <w:tblCellMar>
                  <w:top w:w="0" w:type="dxa"/>
                  <w:left w:w="0" w:type="dxa"/>
                  <w:bottom w:w="0" w:type="dxa"/>
                  <w:right w:w="0" w:type="dxa"/>
                </w:tblCellMar>
              </w:tblPrEx>
              <w:trPr>
                <w:trHeight w:val="1695" w:hRule="atLeast"/>
                <w:jc w:val="center"/>
              </w:trPr>
              <w:tc>
                <w:tcPr>
                  <w:tcW w:w="629" w:type="dxa"/>
                  <w:vMerge w:val="restart"/>
                  <w:tcBorders>
                    <w:top w:val="single" w:color="auto" w:sz="4" w:space="0"/>
                    <w:left w:val="single" w:color="auto" w:sz="4" w:space="0"/>
                    <w:bottom w:val="single" w:color="auto" w:sz="4" w:space="0"/>
                    <w:right w:val="single" w:color="000000" w:sz="4" w:space="0"/>
                  </w:tcBorders>
                  <w:noWrap w:val="0"/>
                  <w:tcMar>
                    <w:top w:w="15" w:type="dxa"/>
                    <w:left w:w="15" w:type="dxa"/>
                    <w:right w:w="15" w:type="dxa"/>
                  </w:tcMar>
                  <w:vAlign w:val="center"/>
                </w:tcPr>
                <w:p>
                  <w:pPr>
                    <w:widowControl/>
                    <w:spacing w:line="480" w:lineRule="exact"/>
                    <w:jc w:val="center"/>
                    <w:textAlignment w:val="center"/>
                    <w:rPr>
                      <w:rFonts w:hint="eastAsia" w:ascii="仿宋_GB2312" w:hAnsi="仿宋_GB2312" w:eastAsia="仿宋_GB2312" w:cs="仿宋_GB2312"/>
                      <w:color w:val="auto"/>
                      <w:kern w:val="0"/>
                      <w:sz w:val="28"/>
                      <w:szCs w:val="28"/>
                      <w:highlight w:val="none"/>
                      <w:lang w:bidi="ar"/>
                    </w:rPr>
                  </w:pPr>
                  <w:r>
                    <w:rPr>
                      <w:rFonts w:hint="eastAsia" w:ascii="仿宋_GB2312" w:hAnsi="仿宋_GB2312" w:eastAsia="仿宋_GB2312" w:cs="仿宋_GB2312"/>
                      <w:color w:val="auto"/>
                      <w:kern w:val="0"/>
                      <w:sz w:val="28"/>
                      <w:szCs w:val="28"/>
                      <w:highlight w:val="none"/>
                      <w:lang w:bidi="ar"/>
                    </w:rPr>
                    <w:t>指</w:t>
                  </w:r>
                </w:p>
                <w:p>
                  <w:pPr>
                    <w:widowControl/>
                    <w:spacing w:line="480" w:lineRule="exact"/>
                    <w:jc w:val="center"/>
                    <w:textAlignment w:val="center"/>
                    <w:rPr>
                      <w:rFonts w:hint="eastAsia" w:ascii="仿宋_GB2312" w:hAnsi="仿宋_GB2312" w:eastAsia="仿宋_GB2312" w:cs="仿宋_GB2312"/>
                      <w:color w:val="auto"/>
                      <w:kern w:val="0"/>
                      <w:sz w:val="28"/>
                      <w:szCs w:val="28"/>
                      <w:highlight w:val="none"/>
                      <w:lang w:bidi="ar"/>
                    </w:rPr>
                  </w:pPr>
                  <w:r>
                    <w:rPr>
                      <w:rFonts w:hint="eastAsia" w:ascii="仿宋_GB2312" w:hAnsi="仿宋_GB2312" w:eastAsia="仿宋_GB2312" w:cs="仿宋_GB2312"/>
                      <w:color w:val="auto"/>
                      <w:kern w:val="0"/>
                      <w:sz w:val="28"/>
                      <w:szCs w:val="28"/>
                      <w:highlight w:val="none"/>
                      <w:lang w:bidi="ar"/>
                    </w:rPr>
                    <w:t>挥</w:t>
                  </w:r>
                </w:p>
                <w:p>
                  <w:pPr>
                    <w:widowControl/>
                    <w:spacing w:line="480" w:lineRule="exact"/>
                    <w:jc w:val="center"/>
                    <w:textAlignment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kern w:val="0"/>
                      <w:sz w:val="28"/>
                      <w:szCs w:val="28"/>
                      <w:highlight w:val="none"/>
                      <w:lang w:bidi="ar"/>
                    </w:rPr>
                    <w:t>长</w:t>
                  </w:r>
                </w:p>
              </w:tc>
              <w:tc>
                <w:tcPr>
                  <w:tcW w:w="2730" w:type="dxa"/>
                  <w:tcBorders>
                    <w:top w:val="single" w:color="auto" w:sz="4" w:space="0"/>
                    <w:left w:val="single" w:color="000000"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仿宋_GB2312" w:hAnsi="仿宋_GB2312" w:eastAsia="仿宋_GB2312" w:cs="仿宋_GB2312"/>
                      <w:b w:val="0"/>
                      <w:bCs w:val="0"/>
                      <w:i w:val="0"/>
                      <w:color w:val="000000"/>
                      <w:kern w:val="0"/>
                      <w:sz w:val="24"/>
                      <w:szCs w:val="24"/>
                      <w:highlight w:val="none"/>
                      <w:u w:val="none"/>
                      <w:lang w:val="en-US" w:eastAsia="zh-CN" w:bidi="ar"/>
                    </w:rPr>
                  </w:pPr>
                  <w:r>
                    <w:rPr>
                      <w:rFonts w:hint="eastAsia" w:ascii="仿宋_GB2312" w:hAnsi="仿宋_GB2312" w:eastAsia="仿宋_GB2312" w:cs="仿宋_GB2312"/>
                      <w:b w:val="0"/>
                      <w:bCs w:val="0"/>
                      <w:i w:val="0"/>
                      <w:color w:val="000000"/>
                      <w:kern w:val="0"/>
                      <w:sz w:val="24"/>
                      <w:szCs w:val="24"/>
                      <w:highlight w:val="none"/>
                      <w:u w:val="none"/>
                      <w:lang w:val="en-US" w:eastAsia="zh-CN" w:bidi="ar"/>
                    </w:rPr>
                    <w:t>县政府</w:t>
                  </w:r>
                </w:p>
                <w:p>
                  <w:pPr>
                    <w:jc w:val="center"/>
                    <w:textAlignment w:val="center"/>
                    <w:rPr>
                      <w:rFonts w:hint="eastAsia" w:ascii="仿宋_GB2312" w:hAnsi="仿宋_GB2312" w:eastAsia="仿宋_GB2312" w:cs="仿宋_GB2312"/>
                      <w:b w:val="0"/>
                      <w:bCs w:val="0"/>
                      <w:i w:val="0"/>
                      <w:color w:val="000000"/>
                      <w:kern w:val="0"/>
                      <w:sz w:val="24"/>
                      <w:szCs w:val="24"/>
                      <w:highlight w:val="none"/>
                      <w:u w:val="none"/>
                      <w:lang w:val="en-US" w:eastAsia="zh-CN" w:bidi="ar"/>
                    </w:rPr>
                  </w:pPr>
                  <w:r>
                    <w:rPr>
                      <w:rFonts w:hint="eastAsia" w:ascii="仿宋_GB2312" w:hAnsi="仿宋_GB2312" w:eastAsia="仿宋_GB2312" w:cs="仿宋_GB2312"/>
                      <w:b w:val="0"/>
                      <w:bCs w:val="0"/>
                      <w:i w:val="0"/>
                      <w:color w:val="000000"/>
                      <w:kern w:val="0"/>
                      <w:sz w:val="24"/>
                      <w:szCs w:val="24"/>
                      <w:highlight w:val="none"/>
                      <w:u w:val="none"/>
                      <w:lang w:val="en-US" w:eastAsia="zh-CN" w:bidi="ar"/>
                    </w:rPr>
                    <w:t>分管应急管理工作</w:t>
                  </w:r>
                </w:p>
                <w:p>
                  <w:pPr>
                    <w:jc w:val="center"/>
                    <w:textAlignment w:val="center"/>
                    <w:rPr>
                      <w:rFonts w:hint="eastAsia" w:ascii="仿宋_GB2312" w:hAnsi="仿宋_GB2312" w:eastAsia="仿宋_GB2312" w:cs="仿宋_GB2312"/>
                      <w:color w:val="auto"/>
                      <w:kern w:val="0"/>
                      <w:sz w:val="24"/>
                      <w:highlight w:val="yellow"/>
                      <w:lang w:bidi="ar"/>
                    </w:rPr>
                  </w:pPr>
                  <w:r>
                    <w:rPr>
                      <w:rFonts w:hint="eastAsia" w:ascii="仿宋_GB2312" w:hAnsi="仿宋_GB2312" w:eastAsia="仿宋_GB2312" w:cs="仿宋_GB2312"/>
                      <w:b w:val="0"/>
                      <w:bCs w:val="0"/>
                      <w:i w:val="0"/>
                      <w:color w:val="000000"/>
                      <w:kern w:val="0"/>
                      <w:sz w:val="24"/>
                      <w:szCs w:val="24"/>
                      <w:highlight w:val="none"/>
                      <w:u w:val="none"/>
                      <w:lang w:val="en-US" w:eastAsia="zh-CN" w:bidi="ar"/>
                    </w:rPr>
                    <w:t>副县长</w:t>
                  </w:r>
                </w:p>
              </w:tc>
              <w:tc>
                <w:tcPr>
                  <w:tcW w:w="9843" w:type="dxa"/>
                  <w:vMerge w:val="restart"/>
                  <w:tcBorders>
                    <w:top w:val="single" w:color="000000" w:sz="4" w:space="0"/>
                    <w:left w:val="single" w:color="auto" w:sz="4" w:space="0"/>
                    <w:right w:val="single" w:color="000000" w:sz="4" w:space="0"/>
                  </w:tcBorders>
                  <w:noWrap w:val="0"/>
                  <w:tcMar>
                    <w:top w:w="15" w:type="dxa"/>
                    <w:left w:w="15" w:type="dxa"/>
                    <w:right w:w="15" w:type="dxa"/>
                  </w:tcMar>
                  <w:vAlign w:val="center"/>
                </w:tcPr>
                <w:p>
                  <w:pPr>
                    <w:pStyle w:val="4"/>
                    <w:keepNext w:val="0"/>
                    <w:keepLines w:val="0"/>
                    <w:pageBreakBefore w:val="0"/>
                    <w:kinsoku/>
                    <w:wordWrap/>
                    <w:overflowPunct/>
                    <w:topLinePunct w:val="0"/>
                    <w:autoSpaceDE/>
                    <w:autoSpaceDN/>
                    <w:bidi w:val="0"/>
                    <w:adjustRightInd w:val="0"/>
                    <w:snapToGrid w:val="0"/>
                    <w:spacing w:before="0" w:beforeAutospacing="0" w:after="0" w:afterAutospacing="0" w:line="500" w:lineRule="exact"/>
                    <w:ind w:firstLine="480" w:firstLineChars="200"/>
                    <w:rPr>
                      <w:rFonts w:hint="eastAsia" w:ascii="仿宋_GB2312" w:hAnsi="仿宋_GB2312" w:eastAsia="仿宋_GB2312" w:cs="仿宋_GB2312"/>
                      <w:kern w:val="0"/>
                      <w:sz w:val="24"/>
                      <w:szCs w:val="24"/>
                      <w:highlight w:val="none"/>
                      <w:lang w:val="en-US" w:eastAsia="zh-CN" w:bidi="ar"/>
                    </w:rPr>
                  </w:pPr>
                  <w:r>
                    <w:rPr>
                      <w:rFonts w:hint="eastAsia" w:ascii="仿宋_GB2312" w:hAnsi="仿宋_GB2312" w:eastAsia="仿宋_GB2312" w:cs="仿宋_GB2312"/>
                      <w:kern w:val="0"/>
                      <w:sz w:val="24"/>
                      <w:szCs w:val="24"/>
                      <w:highlight w:val="none"/>
                      <w:lang w:val="en-US" w:eastAsia="zh-CN" w:bidi="ar"/>
                    </w:rPr>
                    <w:t>县生产安全事故应急指挥部职责：贯彻落实党中央、国务院及省委、省政府、市委、市政府、县委、县政府关于非煤矿山安全生产工作的决策部署；统筹协调全县非煤矿山生产安全事故预防和隐患排查治理工作；组织指挥一般非煤矿山生产安全事故应急处置工作，指导协调一般非煤矿山生产安全事故调查评估和善后处置工作，落实县委、县政府和县应急救援总指挥部交办的非煤矿山生产安全事故应急处置的其他重大事项。</w:t>
                  </w:r>
                </w:p>
                <w:p>
                  <w:pPr>
                    <w:keepNext w:val="0"/>
                    <w:keepLines w:val="0"/>
                    <w:pageBreakBefore w:val="0"/>
                    <w:widowControl/>
                    <w:kinsoku/>
                    <w:wordWrap/>
                    <w:overflowPunct/>
                    <w:topLinePunct w:val="0"/>
                    <w:autoSpaceDE/>
                    <w:autoSpaceDN/>
                    <w:bidi w:val="0"/>
                    <w:spacing w:beforeAutospacing="0" w:afterAutospacing="0" w:line="500" w:lineRule="exact"/>
                    <w:ind w:firstLine="480" w:firstLineChars="200"/>
                    <w:textAlignment w:val="center"/>
                    <w:rPr>
                      <w:rFonts w:hint="eastAsia" w:ascii="仿宋_GB2312" w:hAnsi="仿宋_GB2312" w:eastAsia="仿宋_GB2312" w:cs="仿宋_GB2312"/>
                      <w:color w:val="auto"/>
                      <w:sz w:val="24"/>
                      <w:szCs w:val="24"/>
                      <w:highlight w:val="yellow"/>
                    </w:rPr>
                  </w:pPr>
                  <w:r>
                    <w:rPr>
                      <w:rFonts w:hint="eastAsia" w:ascii="仿宋_GB2312" w:hAnsi="仿宋_GB2312" w:eastAsia="仿宋_GB2312" w:cs="仿宋_GB2312"/>
                      <w:kern w:val="0"/>
                      <w:sz w:val="24"/>
                      <w:szCs w:val="24"/>
                      <w:highlight w:val="none"/>
                      <w:lang w:val="en-US" w:eastAsia="zh-CN" w:bidi="ar"/>
                    </w:rPr>
                    <w:t>县生产安全事故应急指挥部办公室职责：制定、修订非煤矿山生产安全事故应急预案，协助县委、县政府指定的负责同志组织开展非煤矿山生产安全事故应急处置工作，提出县级层面应急响应等级建议，并指导协调落实响应措施；组织调动有关应急力量参加非煤矿山生产安全事故应急处置行动；协调组织非煤矿山生产安全事故调查和善后处置工作；按规定报告和协助发布事故及应急救援信息；指导各乡镇非煤矿山生产安全事故应对等工作；负责建立专家信息库。</w:t>
                  </w:r>
                </w:p>
              </w:tc>
            </w:tr>
            <w:tr>
              <w:tblPrEx>
                <w:tblCellMar>
                  <w:top w:w="0" w:type="dxa"/>
                  <w:left w:w="0" w:type="dxa"/>
                  <w:bottom w:w="0" w:type="dxa"/>
                  <w:right w:w="0" w:type="dxa"/>
                </w:tblCellMar>
              </w:tblPrEx>
              <w:trPr>
                <w:trHeight w:val="831" w:hRule="atLeast"/>
                <w:jc w:val="center"/>
              </w:trPr>
              <w:tc>
                <w:tcPr>
                  <w:tcW w:w="629"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480" w:lineRule="exact"/>
                    <w:jc w:val="center"/>
                    <w:textAlignment w:val="center"/>
                    <w:rPr>
                      <w:rFonts w:hint="eastAsia" w:ascii="仿宋_GB2312" w:hAnsi="仿宋_GB2312" w:eastAsia="仿宋_GB2312" w:cs="仿宋_GB2312"/>
                      <w:color w:val="auto"/>
                      <w:kern w:val="0"/>
                      <w:sz w:val="28"/>
                      <w:szCs w:val="28"/>
                      <w:highlight w:val="none"/>
                      <w:lang w:bidi="ar"/>
                    </w:rPr>
                  </w:pPr>
                  <w:r>
                    <w:rPr>
                      <w:rFonts w:hint="eastAsia" w:ascii="仿宋_GB2312" w:hAnsi="仿宋_GB2312" w:eastAsia="仿宋_GB2312" w:cs="仿宋_GB2312"/>
                      <w:color w:val="auto"/>
                      <w:kern w:val="0"/>
                      <w:sz w:val="28"/>
                      <w:szCs w:val="28"/>
                      <w:highlight w:val="none"/>
                      <w:lang w:bidi="ar"/>
                    </w:rPr>
                    <w:t>副</w:t>
                  </w:r>
                </w:p>
                <w:p>
                  <w:pPr>
                    <w:widowControl/>
                    <w:spacing w:line="480" w:lineRule="exact"/>
                    <w:jc w:val="center"/>
                    <w:textAlignment w:val="center"/>
                    <w:rPr>
                      <w:rFonts w:hint="eastAsia" w:ascii="仿宋_GB2312" w:hAnsi="仿宋_GB2312" w:eastAsia="仿宋_GB2312" w:cs="仿宋_GB2312"/>
                      <w:color w:val="auto"/>
                      <w:kern w:val="0"/>
                      <w:sz w:val="28"/>
                      <w:szCs w:val="28"/>
                      <w:highlight w:val="none"/>
                      <w:lang w:bidi="ar"/>
                    </w:rPr>
                  </w:pPr>
                  <w:r>
                    <w:rPr>
                      <w:rFonts w:hint="eastAsia" w:ascii="仿宋_GB2312" w:hAnsi="仿宋_GB2312" w:eastAsia="仿宋_GB2312" w:cs="仿宋_GB2312"/>
                      <w:color w:val="auto"/>
                      <w:kern w:val="0"/>
                      <w:sz w:val="28"/>
                      <w:szCs w:val="28"/>
                      <w:highlight w:val="none"/>
                      <w:lang w:bidi="ar"/>
                    </w:rPr>
                    <w:t>指</w:t>
                  </w:r>
                </w:p>
                <w:p>
                  <w:pPr>
                    <w:widowControl/>
                    <w:spacing w:line="480" w:lineRule="exact"/>
                    <w:jc w:val="center"/>
                    <w:textAlignment w:val="center"/>
                    <w:rPr>
                      <w:rFonts w:hint="eastAsia" w:ascii="仿宋_GB2312" w:hAnsi="仿宋_GB2312" w:eastAsia="仿宋_GB2312" w:cs="仿宋_GB2312"/>
                      <w:color w:val="auto"/>
                      <w:kern w:val="0"/>
                      <w:sz w:val="28"/>
                      <w:szCs w:val="28"/>
                      <w:highlight w:val="none"/>
                      <w:lang w:bidi="ar"/>
                    </w:rPr>
                  </w:pPr>
                  <w:r>
                    <w:rPr>
                      <w:rFonts w:hint="eastAsia" w:ascii="仿宋_GB2312" w:hAnsi="仿宋_GB2312" w:eastAsia="仿宋_GB2312" w:cs="仿宋_GB2312"/>
                      <w:color w:val="auto"/>
                      <w:kern w:val="0"/>
                      <w:sz w:val="28"/>
                      <w:szCs w:val="28"/>
                      <w:highlight w:val="none"/>
                      <w:lang w:bidi="ar"/>
                    </w:rPr>
                    <w:t>挥</w:t>
                  </w:r>
                </w:p>
                <w:p>
                  <w:pPr>
                    <w:widowControl/>
                    <w:spacing w:line="480" w:lineRule="exact"/>
                    <w:jc w:val="center"/>
                    <w:textAlignment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kern w:val="0"/>
                      <w:sz w:val="28"/>
                      <w:szCs w:val="28"/>
                      <w:highlight w:val="none"/>
                      <w:lang w:bidi="ar"/>
                    </w:rPr>
                    <w:t>长</w:t>
                  </w:r>
                </w:p>
              </w:tc>
              <w:tc>
                <w:tcPr>
                  <w:tcW w:w="273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仿宋_GB2312" w:hAnsi="仿宋_GB2312" w:eastAsia="仿宋_GB2312" w:cs="仿宋_GB2312"/>
                      <w:color w:val="000000"/>
                      <w:kern w:val="0"/>
                      <w:sz w:val="24"/>
                      <w:highlight w:val="none"/>
                      <w:lang w:val="en-US" w:eastAsia="zh-CN" w:bidi="ar"/>
                    </w:rPr>
                  </w:pPr>
                  <w:r>
                    <w:rPr>
                      <w:rFonts w:hint="eastAsia" w:ascii="仿宋_GB2312" w:hAnsi="仿宋_GB2312" w:eastAsia="仿宋_GB2312" w:cs="仿宋_GB2312"/>
                      <w:color w:val="000000"/>
                      <w:kern w:val="0"/>
                      <w:sz w:val="24"/>
                      <w:highlight w:val="none"/>
                      <w:lang w:eastAsia="zh-CN" w:bidi="ar"/>
                    </w:rPr>
                    <w:t>县</w:t>
                  </w:r>
                  <w:r>
                    <w:rPr>
                      <w:rFonts w:hint="eastAsia" w:ascii="仿宋_GB2312" w:hAnsi="仿宋_GB2312" w:eastAsia="仿宋_GB2312" w:cs="仿宋_GB2312"/>
                      <w:color w:val="000000"/>
                      <w:kern w:val="0"/>
                      <w:sz w:val="24"/>
                      <w:highlight w:val="none"/>
                      <w:lang w:bidi="ar"/>
                    </w:rPr>
                    <w:t>政府</w:t>
                  </w:r>
                  <w:r>
                    <w:rPr>
                      <w:rFonts w:hint="eastAsia" w:ascii="仿宋_GB2312" w:hAnsi="仿宋_GB2312" w:eastAsia="仿宋_GB2312" w:cs="仿宋_GB2312"/>
                      <w:color w:val="000000"/>
                      <w:kern w:val="0"/>
                      <w:sz w:val="24"/>
                      <w:highlight w:val="none"/>
                      <w:lang w:val="en-US" w:eastAsia="zh-CN" w:bidi="ar"/>
                    </w:rPr>
                    <w:t>办协助工作</w:t>
                  </w:r>
                </w:p>
                <w:p>
                  <w:pPr>
                    <w:widowControl/>
                    <w:jc w:val="center"/>
                    <w:textAlignment w:val="center"/>
                    <w:rPr>
                      <w:rFonts w:hint="eastAsia" w:ascii="仿宋_GB2312" w:hAnsi="仿宋_GB2312" w:eastAsia="仿宋_GB2312" w:cs="仿宋_GB2312"/>
                      <w:color w:val="auto"/>
                      <w:sz w:val="24"/>
                      <w:highlight w:val="yellow"/>
                      <w:lang w:val="en-US" w:eastAsia="zh-CN"/>
                    </w:rPr>
                  </w:pPr>
                  <w:r>
                    <w:rPr>
                      <w:rFonts w:hint="eastAsia" w:ascii="仿宋_GB2312" w:hAnsi="仿宋_GB2312" w:eastAsia="仿宋_GB2312" w:cs="仿宋_GB2312"/>
                      <w:color w:val="000000"/>
                      <w:kern w:val="0"/>
                      <w:sz w:val="24"/>
                      <w:highlight w:val="none"/>
                      <w:lang w:bidi="ar"/>
                    </w:rPr>
                    <w:t>副</w:t>
                  </w:r>
                  <w:r>
                    <w:rPr>
                      <w:rFonts w:hint="eastAsia" w:ascii="仿宋_GB2312" w:hAnsi="仿宋_GB2312" w:eastAsia="仿宋_GB2312" w:cs="仿宋_GB2312"/>
                      <w:color w:val="000000"/>
                      <w:kern w:val="0"/>
                      <w:sz w:val="24"/>
                      <w:highlight w:val="none"/>
                      <w:lang w:val="en-US" w:eastAsia="zh-CN" w:bidi="ar"/>
                    </w:rPr>
                    <w:t>主任</w:t>
                  </w:r>
                </w:p>
              </w:tc>
              <w:tc>
                <w:tcPr>
                  <w:tcW w:w="9843" w:type="dxa"/>
                  <w:vMerge w:val="continue"/>
                  <w:tcBorders>
                    <w:left w:val="single" w:color="000000" w:sz="4" w:space="0"/>
                    <w:right w:val="single" w:color="000000" w:sz="4" w:space="0"/>
                  </w:tcBorders>
                  <w:noWrap w:val="0"/>
                  <w:tcMar>
                    <w:top w:w="15" w:type="dxa"/>
                    <w:left w:w="15" w:type="dxa"/>
                    <w:right w:w="15" w:type="dxa"/>
                  </w:tcMar>
                  <w:vAlign w:val="center"/>
                </w:tcPr>
                <w:p>
                  <w:pPr>
                    <w:widowControl/>
                    <w:textAlignment w:val="center"/>
                    <w:rPr>
                      <w:rFonts w:hint="eastAsia" w:ascii="仿宋_GB2312" w:hAnsi="仿宋_GB2312" w:eastAsia="仿宋_GB2312" w:cs="仿宋_GB2312"/>
                      <w:b/>
                      <w:color w:val="auto"/>
                      <w:sz w:val="24"/>
                      <w:szCs w:val="24"/>
                      <w:highlight w:val="yellow"/>
                    </w:rPr>
                  </w:pPr>
                </w:p>
              </w:tc>
            </w:tr>
            <w:tr>
              <w:tblPrEx>
                <w:tblCellMar>
                  <w:top w:w="0" w:type="dxa"/>
                  <w:left w:w="0" w:type="dxa"/>
                  <w:bottom w:w="0" w:type="dxa"/>
                  <w:right w:w="0" w:type="dxa"/>
                </w:tblCellMar>
              </w:tblPrEx>
              <w:trPr>
                <w:trHeight w:val="1013" w:hRule="atLeast"/>
                <w:jc w:val="center"/>
              </w:trPr>
              <w:tc>
                <w:tcPr>
                  <w:tcW w:w="629" w:type="dxa"/>
                  <w:vMerge w:val="continue"/>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480" w:lineRule="exact"/>
                    <w:jc w:val="center"/>
                    <w:rPr>
                      <w:rFonts w:hint="eastAsia" w:ascii="仿宋_GB2312" w:hAnsi="仿宋_GB2312" w:eastAsia="仿宋_GB2312" w:cs="仿宋_GB2312"/>
                      <w:color w:val="auto"/>
                      <w:sz w:val="24"/>
                      <w:highlight w:val="none"/>
                    </w:rPr>
                  </w:pPr>
                </w:p>
              </w:tc>
              <w:tc>
                <w:tcPr>
                  <w:tcW w:w="27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仿宋_GB2312" w:hAnsi="仿宋_GB2312" w:eastAsia="仿宋_GB2312" w:cs="仿宋_GB2312"/>
                      <w:color w:val="000000"/>
                      <w:kern w:val="0"/>
                      <w:sz w:val="24"/>
                      <w:highlight w:val="none"/>
                      <w:lang w:eastAsia="zh-CN" w:bidi="ar"/>
                    </w:rPr>
                  </w:pPr>
                  <w:r>
                    <w:rPr>
                      <w:rFonts w:hint="eastAsia" w:ascii="仿宋_GB2312" w:hAnsi="仿宋_GB2312" w:eastAsia="仿宋_GB2312" w:cs="仿宋_GB2312"/>
                      <w:color w:val="000000"/>
                      <w:kern w:val="0"/>
                      <w:sz w:val="24"/>
                      <w:highlight w:val="none"/>
                      <w:lang w:eastAsia="zh-CN" w:bidi="ar"/>
                    </w:rPr>
                    <w:t>县应急管理局</w:t>
                  </w:r>
                </w:p>
                <w:p>
                  <w:pPr>
                    <w:widowControl/>
                    <w:jc w:val="center"/>
                    <w:textAlignment w:val="center"/>
                    <w:rPr>
                      <w:rFonts w:hint="eastAsia" w:ascii="仿宋_GB2312" w:hAnsi="仿宋_GB2312" w:eastAsia="仿宋_GB2312" w:cs="仿宋_GB2312"/>
                      <w:color w:val="auto"/>
                      <w:sz w:val="24"/>
                      <w:highlight w:val="yellow"/>
                    </w:rPr>
                  </w:pPr>
                  <w:r>
                    <w:rPr>
                      <w:rFonts w:hint="eastAsia" w:ascii="仿宋_GB2312" w:hAnsi="仿宋_GB2312" w:eastAsia="仿宋_GB2312" w:cs="仿宋_GB2312"/>
                      <w:color w:val="000000"/>
                      <w:sz w:val="24"/>
                      <w:highlight w:val="none"/>
                      <w:lang w:val="en-US" w:eastAsia="zh-CN"/>
                    </w:rPr>
                    <w:t>主要负责人</w:t>
                  </w:r>
                </w:p>
              </w:tc>
              <w:tc>
                <w:tcPr>
                  <w:tcW w:w="9843" w:type="dxa"/>
                  <w:vMerge w:val="continue"/>
                  <w:tcBorders>
                    <w:left w:val="single" w:color="000000" w:sz="4" w:space="0"/>
                    <w:right w:val="single" w:color="000000" w:sz="4" w:space="0"/>
                  </w:tcBorders>
                  <w:noWrap w:val="0"/>
                  <w:tcMar>
                    <w:top w:w="15" w:type="dxa"/>
                    <w:left w:w="15" w:type="dxa"/>
                    <w:right w:w="15" w:type="dxa"/>
                  </w:tcMar>
                  <w:vAlign w:val="center"/>
                </w:tcPr>
                <w:p>
                  <w:pPr>
                    <w:rPr>
                      <w:rFonts w:hint="eastAsia" w:ascii="仿宋_GB2312" w:hAnsi="仿宋_GB2312" w:eastAsia="仿宋_GB2312" w:cs="仿宋_GB2312"/>
                      <w:b/>
                      <w:color w:val="auto"/>
                      <w:sz w:val="24"/>
                      <w:szCs w:val="24"/>
                      <w:highlight w:val="yellow"/>
                    </w:rPr>
                  </w:pPr>
                </w:p>
              </w:tc>
            </w:tr>
            <w:tr>
              <w:tblPrEx>
                <w:tblCellMar>
                  <w:top w:w="0" w:type="dxa"/>
                  <w:left w:w="0" w:type="dxa"/>
                  <w:bottom w:w="0" w:type="dxa"/>
                  <w:right w:w="0" w:type="dxa"/>
                </w:tblCellMar>
              </w:tblPrEx>
              <w:trPr>
                <w:trHeight w:val="1094" w:hRule="atLeast"/>
                <w:jc w:val="center"/>
              </w:trPr>
              <w:tc>
                <w:tcPr>
                  <w:tcW w:w="629" w:type="dxa"/>
                  <w:vMerge w:val="continue"/>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480" w:lineRule="exact"/>
                    <w:jc w:val="center"/>
                    <w:rPr>
                      <w:rFonts w:hint="eastAsia" w:ascii="仿宋_GB2312" w:hAnsi="仿宋_GB2312" w:eastAsia="仿宋_GB2312" w:cs="仿宋_GB2312"/>
                      <w:color w:val="auto"/>
                      <w:sz w:val="24"/>
                      <w:highlight w:val="none"/>
                    </w:rPr>
                  </w:pPr>
                </w:p>
              </w:tc>
              <w:tc>
                <w:tcPr>
                  <w:tcW w:w="27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仿宋_GB2312" w:hAnsi="仿宋_GB2312" w:eastAsia="仿宋_GB2312" w:cs="仿宋_GB2312"/>
                      <w:color w:val="000000"/>
                      <w:kern w:val="0"/>
                      <w:sz w:val="24"/>
                      <w:highlight w:val="none"/>
                      <w:lang w:eastAsia="zh-CN" w:bidi="ar"/>
                    </w:rPr>
                  </w:pPr>
                  <w:r>
                    <w:rPr>
                      <w:rFonts w:hint="eastAsia" w:ascii="仿宋_GB2312" w:hAnsi="仿宋_GB2312" w:eastAsia="仿宋_GB2312" w:cs="仿宋_GB2312"/>
                      <w:color w:val="000000"/>
                      <w:kern w:val="0"/>
                      <w:sz w:val="24"/>
                      <w:highlight w:val="none"/>
                      <w:lang w:eastAsia="zh-CN" w:bidi="ar"/>
                    </w:rPr>
                    <w:t>县</w:t>
                  </w:r>
                  <w:r>
                    <w:rPr>
                      <w:rFonts w:hint="eastAsia" w:ascii="仿宋_GB2312" w:hAnsi="仿宋_GB2312" w:eastAsia="仿宋_GB2312" w:cs="仿宋_GB2312"/>
                      <w:color w:val="000000"/>
                      <w:kern w:val="0"/>
                      <w:sz w:val="24"/>
                      <w:highlight w:val="none"/>
                      <w:lang w:bidi="ar"/>
                    </w:rPr>
                    <w:t>工信</w:t>
                  </w:r>
                  <w:r>
                    <w:rPr>
                      <w:rFonts w:hint="eastAsia" w:ascii="仿宋_GB2312" w:hAnsi="仿宋_GB2312" w:eastAsia="仿宋_GB2312" w:cs="仿宋_GB2312"/>
                      <w:color w:val="000000"/>
                      <w:kern w:val="0"/>
                      <w:sz w:val="24"/>
                      <w:highlight w:val="none"/>
                      <w:lang w:eastAsia="zh-CN" w:bidi="ar"/>
                    </w:rPr>
                    <w:t>局</w:t>
                  </w:r>
                </w:p>
                <w:p>
                  <w:pPr>
                    <w:widowControl/>
                    <w:jc w:val="center"/>
                    <w:textAlignment w:val="center"/>
                    <w:rPr>
                      <w:rFonts w:hint="eastAsia" w:ascii="仿宋_GB2312" w:hAnsi="仿宋_GB2312" w:eastAsia="仿宋_GB2312" w:cs="仿宋_GB2312"/>
                      <w:color w:val="auto"/>
                      <w:sz w:val="24"/>
                      <w:highlight w:val="yellow"/>
                    </w:rPr>
                  </w:pPr>
                  <w:r>
                    <w:rPr>
                      <w:rFonts w:hint="eastAsia" w:ascii="仿宋_GB2312" w:hAnsi="仿宋_GB2312" w:eastAsia="仿宋_GB2312" w:cs="仿宋_GB2312"/>
                      <w:color w:val="000000"/>
                      <w:sz w:val="24"/>
                      <w:highlight w:val="none"/>
                      <w:lang w:val="en-US" w:eastAsia="zh-CN"/>
                    </w:rPr>
                    <w:t>主要负责人</w:t>
                  </w:r>
                </w:p>
              </w:tc>
              <w:tc>
                <w:tcPr>
                  <w:tcW w:w="9843" w:type="dxa"/>
                  <w:vMerge w:val="continue"/>
                  <w:tcBorders>
                    <w:left w:val="single" w:color="000000" w:sz="4" w:space="0"/>
                    <w:right w:val="single" w:color="000000" w:sz="4" w:space="0"/>
                  </w:tcBorders>
                  <w:noWrap w:val="0"/>
                  <w:tcMar>
                    <w:top w:w="15" w:type="dxa"/>
                    <w:left w:w="15" w:type="dxa"/>
                    <w:right w:w="15" w:type="dxa"/>
                  </w:tcMar>
                  <w:vAlign w:val="center"/>
                </w:tcPr>
                <w:p>
                  <w:pPr>
                    <w:widowControl/>
                    <w:textAlignment w:val="center"/>
                    <w:rPr>
                      <w:rFonts w:hint="eastAsia" w:ascii="仿宋_GB2312" w:hAnsi="仿宋_GB2312" w:eastAsia="仿宋_GB2312" w:cs="仿宋_GB2312"/>
                      <w:color w:val="auto"/>
                      <w:sz w:val="24"/>
                      <w:szCs w:val="24"/>
                      <w:highlight w:val="yellow"/>
                    </w:rPr>
                  </w:pPr>
                </w:p>
              </w:tc>
            </w:tr>
            <w:tr>
              <w:tblPrEx>
                <w:tblCellMar>
                  <w:top w:w="0" w:type="dxa"/>
                  <w:left w:w="0" w:type="dxa"/>
                  <w:bottom w:w="0" w:type="dxa"/>
                  <w:right w:w="0" w:type="dxa"/>
                </w:tblCellMar>
              </w:tblPrEx>
              <w:trPr>
                <w:trHeight w:val="90" w:hRule="atLeast"/>
                <w:jc w:val="center"/>
              </w:trPr>
              <w:tc>
                <w:tcPr>
                  <w:tcW w:w="629" w:type="dxa"/>
                  <w:vMerge w:val="continue"/>
                  <w:tcBorders>
                    <w:top w:val="nil"/>
                    <w:left w:val="single" w:color="000000" w:sz="4" w:space="0"/>
                    <w:bottom w:val="single" w:color="auto" w:sz="4" w:space="0"/>
                    <w:right w:val="single" w:color="000000" w:sz="4" w:space="0"/>
                  </w:tcBorders>
                  <w:noWrap w:val="0"/>
                  <w:tcMar>
                    <w:top w:w="15" w:type="dxa"/>
                    <w:left w:w="15" w:type="dxa"/>
                    <w:right w:w="15" w:type="dxa"/>
                  </w:tcMar>
                  <w:vAlign w:val="center"/>
                </w:tcPr>
                <w:p>
                  <w:pPr>
                    <w:widowControl/>
                    <w:spacing w:line="480" w:lineRule="exact"/>
                    <w:jc w:val="center"/>
                    <w:rPr>
                      <w:rFonts w:hint="eastAsia" w:ascii="仿宋_GB2312" w:hAnsi="仿宋_GB2312" w:eastAsia="仿宋_GB2312" w:cs="仿宋_GB2312"/>
                      <w:color w:val="auto"/>
                      <w:sz w:val="24"/>
                      <w:highlight w:val="none"/>
                    </w:rPr>
                  </w:pPr>
                </w:p>
              </w:tc>
              <w:tc>
                <w:tcPr>
                  <w:tcW w:w="273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widowControl/>
                    <w:jc w:val="center"/>
                    <w:textAlignment w:val="center"/>
                    <w:rPr>
                      <w:rFonts w:hint="eastAsia" w:ascii="仿宋_GB2312" w:hAnsi="仿宋_GB2312" w:eastAsia="仿宋_GB2312" w:cs="仿宋_GB2312"/>
                      <w:color w:val="000000"/>
                      <w:kern w:val="0"/>
                      <w:sz w:val="24"/>
                      <w:highlight w:val="none"/>
                      <w:lang w:bidi="ar"/>
                    </w:rPr>
                  </w:pPr>
                  <w:r>
                    <w:rPr>
                      <w:rFonts w:hint="eastAsia" w:ascii="仿宋_GB2312" w:hAnsi="仿宋_GB2312" w:eastAsia="仿宋_GB2312" w:cs="仿宋_GB2312"/>
                      <w:color w:val="000000"/>
                      <w:kern w:val="0"/>
                      <w:sz w:val="24"/>
                      <w:highlight w:val="none"/>
                      <w:lang w:eastAsia="zh-CN" w:bidi="ar"/>
                    </w:rPr>
                    <w:t>县</w:t>
                  </w:r>
                  <w:r>
                    <w:rPr>
                      <w:rFonts w:hint="eastAsia" w:ascii="仿宋_GB2312" w:hAnsi="仿宋_GB2312" w:eastAsia="仿宋_GB2312" w:cs="仿宋_GB2312"/>
                      <w:color w:val="000000"/>
                      <w:kern w:val="0"/>
                      <w:sz w:val="24"/>
                      <w:highlight w:val="none"/>
                      <w:lang w:bidi="ar"/>
                    </w:rPr>
                    <w:t>消防救援</w:t>
                  </w:r>
                  <w:r>
                    <w:rPr>
                      <w:rFonts w:hint="eastAsia" w:ascii="仿宋_GB2312" w:hAnsi="仿宋_GB2312" w:eastAsia="仿宋_GB2312" w:cs="仿宋_GB2312"/>
                      <w:color w:val="000000"/>
                      <w:kern w:val="0"/>
                      <w:sz w:val="24"/>
                      <w:highlight w:val="none"/>
                      <w:lang w:val="en-US" w:eastAsia="zh-CN" w:bidi="ar"/>
                    </w:rPr>
                    <w:t>大</w:t>
                  </w:r>
                  <w:r>
                    <w:rPr>
                      <w:rFonts w:hint="eastAsia" w:ascii="仿宋_GB2312" w:hAnsi="仿宋_GB2312" w:eastAsia="仿宋_GB2312" w:cs="仿宋_GB2312"/>
                      <w:color w:val="000000"/>
                      <w:kern w:val="0"/>
                      <w:sz w:val="24"/>
                      <w:highlight w:val="none"/>
                      <w:lang w:bidi="ar"/>
                    </w:rPr>
                    <w:t>队</w:t>
                  </w:r>
                </w:p>
                <w:p>
                  <w:pPr>
                    <w:widowControl/>
                    <w:jc w:val="center"/>
                    <w:textAlignment w:val="center"/>
                    <w:rPr>
                      <w:rFonts w:hint="eastAsia" w:ascii="仿宋_GB2312" w:hAnsi="仿宋_GB2312" w:eastAsia="仿宋_GB2312" w:cs="仿宋_GB2312"/>
                      <w:color w:val="auto"/>
                      <w:sz w:val="24"/>
                      <w:highlight w:val="yellow"/>
                    </w:rPr>
                  </w:pPr>
                  <w:r>
                    <w:rPr>
                      <w:rFonts w:hint="eastAsia" w:ascii="仿宋_GB2312" w:hAnsi="仿宋_GB2312" w:eastAsia="仿宋_GB2312" w:cs="仿宋_GB2312"/>
                      <w:color w:val="000000"/>
                      <w:kern w:val="0"/>
                      <w:sz w:val="24"/>
                      <w:highlight w:val="none"/>
                      <w:lang w:val="en-US" w:eastAsia="zh-CN" w:bidi="ar"/>
                    </w:rPr>
                    <w:t>大</w:t>
                  </w:r>
                  <w:r>
                    <w:rPr>
                      <w:rFonts w:hint="eastAsia" w:ascii="仿宋_GB2312" w:hAnsi="仿宋_GB2312" w:eastAsia="仿宋_GB2312" w:cs="仿宋_GB2312"/>
                      <w:color w:val="000000"/>
                      <w:kern w:val="0"/>
                      <w:sz w:val="24"/>
                      <w:highlight w:val="none"/>
                      <w:lang w:bidi="ar"/>
                    </w:rPr>
                    <w:t>队长</w:t>
                  </w:r>
                </w:p>
              </w:tc>
              <w:tc>
                <w:tcPr>
                  <w:tcW w:w="9843" w:type="dxa"/>
                  <w:vMerge w:val="continue"/>
                  <w:tcBorders>
                    <w:left w:val="single" w:color="000000" w:sz="4" w:space="0"/>
                    <w:bottom w:val="single" w:color="auto" w:sz="4" w:space="0"/>
                    <w:right w:val="single" w:color="000000" w:sz="4" w:space="0"/>
                  </w:tcBorders>
                  <w:noWrap w:val="0"/>
                  <w:tcMar>
                    <w:top w:w="15" w:type="dxa"/>
                    <w:left w:w="15" w:type="dxa"/>
                    <w:right w:w="15" w:type="dxa"/>
                  </w:tcMar>
                  <w:vAlign w:val="center"/>
                </w:tcPr>
                <w:p>
                  <w:pPr>
                    <w:widowControl/>
                    <w:textAlignment w:val="center"/>
                    <w:rPr>
                      <w:rFonts w:hint="eastAsia" w:ascii="仿宋_GB2312" w:hAnsi="仿宋_GB2312" w:eastAsia="仿宋_GB2312" w:cs="仿宋_GB2312"/>
                      <w:color w:val="auto"/>
                      <w:sz w:val="24"/>
                      <w:szCs w:val="24"/>
                      <w:highlight w:val="yellow"/>
                    </w:rPr>
                  </w:pPr>
                </w:p>
              </w:tc>
            </w:tr>
            <w:tr>
              <w:tblPrEx>
                <w:tblCellMar>
                  <w:top w:w="0" w:type="dxa"/>
                  <w:left w:w="0" w:type="dxa"/>
                  <w:bottom w:w="0" w:type="dxa"/>
                  <w:right w:w="0" w:type="dxa"/>
                </w:tblCellMar>
              </w:tblPrEx>
              <w:trPr>
                <w:trHeight w:val="631" w:hRule="atLeast"/>
                <w:jc w:val="center"/>
              </w:trPr>
              <w:tc>
                <w:tcPr>
                  <w:tcW w:w="62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80" w:lineRule="exact"/>
                    <w:jc w:val="center"/>
                    <w:textAlignment w:val="center"/>
                    <w:rPr>
                      <w:rFonts w:hint="eastAsia" w:ascii="仿宋_GB2312" w:hAnsi="仿宋_GB2312" w:eastAsia="仿宋_GB2312" w:cs="仿宋_GB2312"/>
                      <w:color w:val="auto"/>
                      <w:sz w:val="28"/>
                      <w:szCs w:val="28"/>
                      <w:highlight w:val="none"/>
                    </w:rPr>
                  </w:pPr>
                </w:p>
                <w:p>
                  <w:pPr>
                    <w:widowControl/>
                    <w:spacing w:line="480" w:lineRule="exact"/>
                    <w:jc w:val="both"/>
                    <w:textAlignment w:val="center"/>
                    <w:rPr>
                      <w:rFonts w:hint="eastAsia" w:ascii="仿宋_GB2312" w:hAnsi="仿宋_GB2312" w:eastAsia="仿宋_GB2312" w:cs="仿宋_GB2312"/>
                      <w:color w:val="auto"/>
                      <w:sz w:val="28"/>
                      <w:szCs w:val="28"/>
                      <w:highlight w:val="none"/>
                    </w:rPr>
                  </w:pPr>
                </w:p>
                <w:p>
                  <w:pPr>
                    <w:keepNext w:val="0"/>
                    <w:keepLines w:val="0"/>
                    <w:pageBreakBefore w:val="0"/>
                    <w:widowControl/>
                    <w:kinsoku/>
                    <w:wordWrap/>
                    <w:overflowPunct/>
                    <w:topLinePunct w:val="0"/>
                    <w:autoSpaceDE/>
                    <w:autoSpaceDN/>
                    <w:bidi w:val="0"/>
                    <w:adjustRightInd/>
                    <w:snapToGrid/>
                    <w:spacing w:line="200" w:lineRule="exact"/>
                    <w:jc w:val="both"/>
                    <w:textAlignment w:val="center"/>
                    <w:rPr>
                      <w:rFonts w:hint="eastAsia" w:ascii="仿宋_GB2312" w:hAnsi="仿宋_GB2312" w:eastAsia="仿宋_GB2312" w:cs="仿宋_GB2312"/>
                      <w:color w:val="auto"/>
                      <w:sz w:val="28"/>
                      <w:szCs w:val="28"/>
                      <w:highlight w:val="none"/>
                    </w:rPr>
                  </w:pPr>
                </w:p>
                <w:p>
                  <w:pPr>
                    <w:pStyle w:val="7"/>
                    <w:rPr>
                      <w:rFonts w:hint="eastAsia"/>
                    </w:rPr>
                  </w:pPr>
                </w:p>
                <w:p>
                  <w:pPr>
                    <w:widowControl/>
                    <w:spacing w:line="480" w:lineRule="exact"/>
                    <w:jc w:val="center"/>
                    <w:textAlignment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成</w:t>
                  </w:r>
                </w:p>
                <w:p>
                  <w:pPr>
                    <w:widowControl/>
                    <w:spacing w:line="480" w:lineRule="exact"/>
                    <w:jc w:val="center"/>
                    <w:textAlignment w:val="center"/>
                    <w:rPr>
                      <w:rFonts w:hint="eastAsia" w:eastAsia="仿宋_GB2312"/>
                      <w:lang w:val="en-US" w:eastAsia="zh-CN"/>
                    </w:rPr>
                  </w:pPr>
                  <w:r>
                    <w:rPr>
                      <w:rFonts w:hint="eastAsia" w:ascii="仿宋_GB2312" w:hAnsi="仿宋_GB2312" w:eastAsia="仿宋_GB2312" w:cs="仿宋_GB2312"/>
                      <w:color w:val="auto"/>
                      <w:sz w:val="28"/>
                      <w:szCs w:val="28"/>
                      <w:highlight w:val="none"/>
                    </w:rPr>
                    <w:t>员</w:t>
                  </w:r>
                </w:p>
                <w:p>
                  <w:pPr>
                    <w:widowControl/>
                    <w:spacing w:line="480" w:lineRule="exact"/>
                    <w:jc w:val="center"/>
                    <w:textAlignment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单</w:t>
                  </w:r>
                </w:p>
                <w:p>
                  <w:pPr>
                    <w:widowControl/>
                    <w:spacing w:line="480" w:lineRule="exact"/>
                    <w:jc w:val="center"/>
                    <w:textAlignment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位</w:t>
                  </w:r>
                </w:p>
                <w:p>
                  <w:pPr>
                    <w:pStyle w:val="7"/>
                    <w:ind w:left="420" w:firstLine="480"/>
                    <w:jc w:val="center"/>
                    <w:rPr>
                      <w:rFonts w:hint="eastAsia" w:ascii="仿宋_GB2312" w:hAnsi="仿宋_GB2312" w:eastAsia="仿宋_GB2312" w:cs="仿宋_GB2312"/>
                      <w:color w:val="auto"/>
                      <w:highlight w:val="none"/>
                    </w:rPr>
                  </w:pPr>
                </w:p>
                <w:p>
                  <w:pPr>
                    <w:pStyle w:val="4"/>
                    <w:jc w:val="center"/>
                    <w:rPr>
                      <w:rFonts w:hint="eastAsia" w:ascii="仿宋_GB2312" w:hAnsi="仿宋_GB2312" w:eastAsia="仿宋_GB2312" w:cs="仿宋_GB2312"/>
                      <w:color w:val="auto"/>
                      <w:highlight w:val="none"/>
                    </w:rPr>
                  </w:pPr>
                </w:p>
                <w:p>
                  <w:pPr>
                    <w:jc w:val="center"/>
                    <w:rPr>
                      <w:rFonts w:hint="eastAsia" w:ascii="仿宋_GB2312" w:hAnsi="仿宋_GB2312" w:eastAsia="仿宋_GB2312" w:cs="仿宋_GB2312"/>
                      <w:color w:val="auto"/>
                      <w:highlight w:val="none"/>
                    </w:rPr>
                  </w:pPr>
                </w:p>
                <w:p>
                  <w:pPr>
                    <w:pStyle w:val="7"/>
                    <w:ind w:left="420" w:firstLine="480"/>
                    <w:jc w:val="center"/>
                    <w:rPr>
                      <w:rFonts w:hint="eastAsia" w:ascii="仿宋_GB2312" w:hAnsi="仿宋_GB2312" w:eastAsia="仿宋_GB2312" w:cs="仿宋_GB2312"/>
                      <w:color w:val="auto"/>
                      <w:highlight w:val="none"/>
                    </w:rPr>
                  </w:pPr>
                </w:p>
                <w:p>
                  <w:pPr>
                    <w:pStyle w:val="4"/>
                    <w:jc w:val="center"/>
                    <w:rPr>
                      <w:rFonts w:hint="eastAsia" w:ascii="仿宋_GB2312" w:hAnsi="仿宋_GB2312" w:eastAsia="仿宋_GB2312" w:cs="仿宋_GB2312"/>
                      <w:color w:val="auto"/>
                      <w:highlight w:val="none"/>
                    </w:rPr>
                  </w:pPr>
                </w:p>
                <w:p>
                  <w:pPr>
                    <w:jc w:val="center"/>
                    <w:rPr>
                      <w:rFonts w:hint="eastAsia" w:ascii="仿宋_GB2312" w:hAnsi="仿宋_GB2312" w:eastAsia="仿宋_GB2312" w:cs="仿宋_GB2312"/>
                      <w:color w:val="auto"/>
                      <w:highlight w:val="none"/>
                    </w:rPr>
                  </w:pPr>
                </w:p>
                <w:p>
                  <w:pPr>
                    <w:jc w:val="both"/>
                    <w:rPr>
                      <w:rFonts w:hint="eastAsia" w:ascii="仿宋_GB2312" w:hAnsi="仿宋_GB2312" w:eastAsia="仿宋_GB2312" w:cs="仿宋_GB2312"/>
                      <w:color w:val="auto"/>
                      <w:sz w:val="28"/>
                      <w:szCs w:val="28"/>
                      <w:highlight w:val="none"/>
                    </w:rPr>
                  </w:pPr>
                </w:p>
                <w:p>
                  <w:pPr>
                    <w:jc w:val="center"/>
                    <w:rPr>
                      <w:rFonts w:hint="eastAsia" w:ascii="仿宋_GB2312" w:hAnsi="仿宋_GB2312" w:eastAsia="仿宋_GB2312" w:cs="仿宋_GB2312"/>
                      <w:color w:val="auto"/>
                      <w:sz w:val="28"/>
                      <w:szCs w:val="28"/>
                      <w:highlight w:val="none"/>
                    </w:rPr>
                  </w:pPr>
                  <w:r>
                    <w:rPr>
                      <w:sz w:val="28"/>
                    </w:rPr>
                    <mc:AlternateContent>
                      <mc:Choice Requires="wps">
                        <w:drawing>
                          <wp:anchor distT="0" distB="0" distL="114300" distR="114300" simplePos="0" relativeHeight="251754496" behindDoc="0" locked="0" layoutInCell="1" allowOverlap="1">
                            <wp:simplePos x="0" y="0"/>
                            <wp:positionH relativeFrom="column">
                              <wp:posOffset>-888365</wp:posOffset>
                            </wp:positionH>
                            <wp:positionV relativeFrom="paragraph">
                              <wp:posOffset>-4137660</wp:posOffset>
                            </wp:positionV>
                            <wp:extent cx="513080" cy="915670"/>
                            <wp:effectExtent l="5080" t="5080" r="15240" b="12700"/>
                            <wp:wrapNone/>
                            <wp:docPr id="156" name="文本框 156"/>
                            <wp:cNvGraphicFramePr/>
                            <a:graphic xmlns:a="http://schemas.openxmlformats.org/drawingml/2006/main">
                              <a:graphicData uri="http://schemas.microsoft.com/office/word/2010/wordprocessingShape">
                                <wps:wsp>
                                  <wps:cNvSpPr txBox="true"/>
                                  <wps:spPr>
                                    <a:xfrm>
                                      <a:off x="0" y="0"/>
                                      <a:ext cx="513080" cy="915670"/>
                                    </a:xfrm>
                                    <a:prstGeom prst="rect">
                                      <a:avLst/>
                                    </a:prstGeom>
                                    <a:solidFill>
                                      <a:srgbClr val="FFFFFF">
                                        <a:alpha val="0"/>
                                      </a:srgbClr>
                                    </a:solidFill>
                                    <a:ln w="9525" cap="flat" cmpd="sng">
                                      <a:solidFill>
                                        <a:srgbClr val="FFFFFF"/>
                                      </a:solidFill>
                                      <a:prstDash val="solid"/>
                                      <a:miter/>
                                      <a:headEnd type="none" w="med" len="med"/>
                                      <a:tailEnd type="none" w="med" len="med"/>
                                    </a:ln>
                                    <a:effectLst/>
                                  </wps:spPr>
                                  <wps:txbx>
                                    <w:txbxContent>
                                      <w:p>
                                        <w:pPr>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17</w:t>
                                        </w:r>
                                        <w:r>
                                          <w:rPr>
                                            <w:rFonts w:hint="eastAsia" w:ascii="宋体" w:hAnsi="宋体" w:eastAsia="宋体" w:cs="宋体"/>
                                            <w:sz w:val="28"/>
                                            <w:szCs w:val="28"/>
                                            <w:lang w:eastAsia="zh-CN"/>
                                          </w:rPr>
                                          <w:t>—</w:t>
                                        </w:r>
                                      </w:p>
                                    </w:txbxContent>
                                  </wps:txbx>
                                  <wps:bodyPr vert="eaVert" upright="true"/>
                                </wps:wsp>
                              </a:graphicData>
                            </a:graphic>
                          </wp:anchor>
                        </w:drawing>
                      </mc:Choice>
                      <mc:Fallback>
                        <w:pict>
                          <v:shape id="_x0000_s1026" o:spid="_x0000_s1026" o:spt="202" type="#_x0000_t202" style="position:absolute;left:0pt;margin-left:-69.95pt;margin-top:-325.8pt;height:72.1pt;width:40.4pt;z-index:251754496;mso-width-relative:page;mso-height-relative:page;" fillcolor="#FFFFFF" filled="t" stroked="t" coordsize="21600,21600" o:gfxdata="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Dn&#10;k97F3AAAAA4BAAAPAAAAAAAAAAEAIAAAADgAAABkcnMvZG93bnJldi54bWxQSwECFAAUAAAACACH&#10;TuJAu74wrQoCAAAqBAAADgAAAAAAAAABACAAAABBAQAAZHJzL2Uyb0RvYy54bWxQSwUGAAAAAAYA&#10;BgBZAQAAvQUAAAAA&#10;">
                            <v:fill on="t" opacity="0f" focussize="0,0"/>
                            <v:stroke color="#FFFFFF" joinstyle="miter"/>
                            <v:imagedata o:title=""/>
                            <o:lock v:ext="edit" aspectratio="f"/>
                            <v:textbox style="layout-flow:vertical-ideographic;">
                              <w:txbxContent>
                                <w:p>
                                  <w:pPr>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17</w:t>
                                  </w:r>
                                  <w:r>
                                    <w:rPr>
                                      <w:rFonts w:hint="eastAsia" w:ascii="宋体" w:hAnsi="宋体" w:eastAsia="宋体" w:cs="宋体"/>
                                      <w:sz w:val="28"/>
                                      <w:szCs w:val="28"/>
                                      <w:lang w:eastAsia="zh-CN"/>
                                    </w:rPr>
                                    <w:t>—</w:t>
                                  </w:r>
                                </w:p>
                              </w:txbxContent>
                            </v:textbox>
                          </v:shape>
                        </w:pict>
                      </mc:Fallback>
                    </mc:AlternateContent>
                  </w:r>
                  <w:r>
                    <w:rPr>
                      <w:sz w:val="28"/>
                    </w:rPr>
                    <mc:AlternateContent>
                      <mc:Choice Requires="wps">
                        <w:drawing>
                          <wp:anchor distT="0" distB="0" distL="114300" distR="114300" simplePos="0" relativeHeight="251753472" behindDoc="0" locked="0" layoutInCell="1" allowOverlap="1">
                            <wp:simplePos x="0" y="0"/>
                            <wp:positionH relativeFrom="column">
                              <wp:posOffset>387985</wp:posOffset>
                            </wp:positionH>
                            <wp:positionV relativeFrom="paragraph">
                              <wp:posOffset>-4593590</wp:posOffset>
                            </wp:positionV>
                            <wp:extent cx="513080" cy="915670"/>
                            <wp:effectExtent l="5080" t="5080" r="15240" b="12700"/>
                            <wp:wrapNone/>
                            <wp:docPr id="153" name="文本框 153"/>
                            <wp:cNvGraphicFramePr/>
                            <a:graphic xmlns:a="http://schemas.openxmlformats.org/drawingml/2006/main">
                              <a:graphicData uri="http://schemas.microsoft.com/office/word/2010/wordprocessingShape">
                                <wps:wsp>
                                  <wps:cNvSpPr txBox="true"/>
                                  <wps:spPr>
                                    <a:xfrm>
                                      <a:off x="0" y="0"/>
                                      <a:ext cx="513080" cy="915670"/>
                                    </a:xfrm>
                                    <a:prstGeom prst="rect">
                                      <a:avLst/>
                                    </a:prstGeom>
                                    <a:solidFill>
                                      <a:srgbClr val="FFFFFF">
                                        <a:alpha val="0"/>
                                      </a:srgbClr>
                                    </a:solidFill>
                                    <a:ln w="9525" cap="flat" cmpd="sng">
                                      <a:solidFill>
                                        <a:srgbClr val="FFFFFF"/>
                                      </a:solidFill>
                                      <a:prstDash val="solid"/>
                                      <a:miter/>
                                      <a:headEnd type="none" w="med" len="med"/>
                                      <a:tailEnd type="none" w="med" len="med"/>
                                    </a:ln>
                                    <a:effectLst/>
                                  </wps:spPr>
                                  <wps:txbx>
                                    <w:txbxContent>
                                      <w:p>
                                        <w:pPr>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17</w:t>
                                        </w:r>
                                        <w:r>
                                          <w:rPr>
                                            <w:rFonts w:hint="eastAsia" w:ascii="宋体" w:hAnsi="宋体" w:eastAsia="宋体" w:cs="宋体"/>
                                            <w:sz w:val="28"/>
                                            <w:szCs w:val="28"/>
                                            <w:lang w:eastAsia="zh-CN"/>
                                          </w:rPr>
                                          <w:t>—</w:t>
                                        </w:r>
                                      </w:p>
                                    </w:txbxContent>
                                  </wps:txbx>
                                  <wps:bodyPr vert="eaVert" upright="true"/>
                                </wps:wsp>
                              </a:graphicData>
                            </a:graphic>
                          </wp:anchor>
                        </w:drawing>
                      </mc:Choice>
                      <mc:Fallback>
                        <w:pict>
                          <v:shape id="_x0000_s1026" o:spid="_x0000_s1026" o:spt="202" type="#_x0000_t202" style="position:absolute;left:0pt;margin-left:30.55pt;margin-top:-361.7pt;height:72.1pt;width:40.4pt;z-index:251753472;mso-width-relative:page;mso-height-relative:page;" fillcolor="#FFFFFF" filled="t" stroked="t" coordsize="21600,21600" o:gfxdata="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BYAAABkcnMvUEsBAhQAFAAAAAgAh07i&#10;QKtLkeXbAAAADAEAAA8AAAAAAAAAAQAgAAAAOAAAAGRycy9kb3ducmV2LnhtbFBLAQIUABQAAAAI&#10;AIdO4kBjIuguDQIAACoEAAAOAAAAAAAAAAEAIAAAAEABAABkcnMvZTJvRG9jLnhtbFBLBQYAAAAA&#10;BgAGAFkBAAC/BQAAAAA=&#10;">
                            <v:fill on="t" opacity="0f" focussize="0,0"/>
                            <v:stroke color="#FFFFFF" joinstyle="miter"/>
                            <v:imagedata o:title=""/>
                            <o:lock v:ext="edit" aspectratio="f"/>
                            <v:textbox style="layout-flow:vertical-ideographic;">
                              <w:txbxContent>
                                <w:p>
                                  <w:pPr>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17</w:t>
                                  </w:r>
                                  <w:r>
                                    <w:rPr>
                                      <w:rFonts w:hint="eastAsia" w:ascii="宋体" w:hAnsi="宋体" w:eastAsia="宋体" w:cs="宋体"/>
                                      <w:sz w:val="28"/>
                                      <w:szCs w:val="28"/>
                                      <w:lang w:eastAsia="zh-CN"/>
                                    </w:rPr>
                                    <w:t>—</w:t>
                                  </w:r>
                                </w:p>
                              </w:txbxContent>
                            </v:textbox>
                          </v:shape>
                        </w:pict>
                      </mc:Fallback>
                    </mc:AlternateContent>
                  </w:r>
                  <w:r>
                    <w:rPr>
                      <w:sz w:val="28"/>
                    </w:rPr>
                    <mc:AlternateContent>
                      <mc:Choice Requires="wps">
                        <w:drawing>
                          <wp:anchor distT="0" distB="0" distL="114300" distR="114300" simplePos="0" relativeHeight="251752448" behindDoc="0" locked="0" layoutInCell="1" allowOverlap="1">
                            <wp:simplePos x="0" y="0"/>
                            <wp:positionH relativeFrom="column">
                              <wp:posOffset>892810</wp:posOffset>
                            </wp:positionH>
                            <wp:positionV relativeFrom="paragraph">
                              <wp:posOffset>-4869180</wp:posOffset>
                            </wp:positionV>
                            <wp:extent cx="513080" cy="915670"/>
                            <wp:effectExtent l="5080" t="5080" r="15240" b="12700"/>
                            <wp:wrapNone/>
                            <wp:docPr id="167" name="文本框 167"/>
                            <wp:cNvGraphicFramePr/>
                            <a:graphic xmlns:a="http://schemas.openxmlformats.org/drawingml/2006/main">
                              <a:graphicData uri="http://schemas.microsoft.com/office/word/2010/wordprocessingShape">
                                <wps:wsp>
                                  <wps:cNvSpPr txBox="true"/>
                                  <wps:spPr>
                                    <a:xfrm>
                                      <a:off x="0" y="0"/>
                                      <a:ext cx="513080" cy="915670"/>
                                    </a:xfrm>
                                    <a:prstGeom prst="rect">
                                      <a:avLst/>
                                    </a:prstGeom>
                                    <a:solidFill>
                                      <a:srgbClr val="FFFFFF">
                                        <a:alpha val="0"/>
                                      </a:srgbClr>
                                    </a:solidFill>
                                    <a:ln w="9525" cap="flat" cmpd="sng">
                                      <a:solidFill>
                                        <a:srgbClr val="FFFFFF"/>
                                      </a:solidFill>
                                      <a:prstDash val="solid"/>
                                      <a:miter/>
                                      <a:headEnd type="none" w="med" len="med"/>
                                      <a:tailEnd type="none" w="med" len="med"/>
                                    </a:ln>
                                    <a:effectLst/>
                                  </wps:spPr>
                                  <wps:txbx>
                                    <w:txbxContent>
                                      <w:p>
                                        <w:pPr>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17</w:t>
                                        </w:r>
                                        <w:r>
                                          <w:rPr>
                                            <w:rFonts w:hint="eastAsia" w:ascii="宋体" w:hAnsi="宋体" w:eastAsia="宋体" w:cs="宋体"/>
                                            <w:sz w:val="28"/>
                                            <w:szCs w:val="28"/>
                                            <w:lang w:eastAsia="zh-CN"/>
                                          </w:rPr>
                                          <w:t>—</w:t>
                                        </w:r>
                                      </w:p>
                                    </w:txbxContent>
                                  </wps:txbx>
                                  <wps:bodyPr vert="eaVert" upright="true"/>
                                </wps:wsp>
                              </a:graphicData>
                            </a:graphic>
                          </wp:anchor>
                        </w:drawing>
                      </mc:Choice>
                      <mc:Fallback>
                        <w:pict>
                          <v:shape id="_x0000_s1026" o:spid="_x0000_s1026" o:spt="202" type="#_x0000_t202" style="position:absolute;left:0pt;margin-left:70.3pt;margin-top:-383.4pt;height:72.1pt;width:40.4pt;z-index:251752448;mso-width-relative:page;mso-height-relative:page;" fillcolor="#FFFFFF" filled="t" stroked="t" coordsize="21600,21600" o:gfxdata="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Aw&#10;T2Q42gAAAA0BAAAPAAAAAAAAAAEAIAAAADgAAABkcnMvZG93bnJldi54bWxQSwECFAAUAAAACACH&#10;TuJAQO2UkgwCAAAqBAAADgAAAAAAAAABACAAAAA/AQAAZHJzL2Uyb0RvYy54bWxQSwUGAAAAAAYA&#10;BgBZAQAAvQUAAAAA&#10;">
                            <v:fill on="t" opacity="0f" focussize="0,0"/>
                            <v:stroke color="#FFFFFF" joinstyle="miter"/>
                            <v:imagedata o:title=""/>
                            <o:lock v:ext="edit" aspectratio="f"/>
                            <v:textbox style="layout-flow:vertical-ideographic;">
                              <w:txbxContent>
                                <w:p>
                                  <w:pPr>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17</w:t>
                                  </w:r>
                                  <w:r>
                                    <w:rPr>
                                      <w:rFonts w:hint="eastAsia" w:ascii="宋体" w:hAnsi="宋体" w:eastAsia="宋体" w:cs="宋体"/>
                                      <w:sz w:val="28"/>
                                      <w:szCs w:val="28"/>
                                      <w:lang w:eastAsia="zh-CN"/>
                                    </w:rPr>
                                    <w:t>—</w:t>
                                  </w:r>
                                </w:p>
                              </w:txbxContent>
                            </v:textbox>
                          </v:shape>
                        </w:pict>
                      </mc:Fallback>
                    </mc:AlternateContent>
                  </w:r>
                </w:p>
                <w:p>
                  <w:pPr>
                    <w:jc w:val="center"/>
                    <w:rPr>
                      <w:rFonts w:hint="eastAsia" w:ascii="仿宋_GB2312" w:hAnsi="仿宋_GB2312" w:eastAsia="仿宋_GB2312" w:cs="仿宋_GB2312"/>
                      <w:color w:val="auto"/>
                      <w:sz w:val="28"/>
                      <w:szCs w:val="28"/>
                      <w:highlight w:val="none"/>
                    </w:rPr>
                  </w:pPr>
                </w:p>
                <w:p>
                  <w:pPr>
                    <w:jc w:val="center"/>
                    <w:rPr>
                      <w:rFonts w:hint="eastAsia" w:ascii="仿宋_GB2312" w:hAnsi="仿宋_GB2312" w:eastAsia="仿宋_GB2312" w:cs="仿宋_GB2312"/>
                      <w:color w:val="auto"/>
                      <w:sz w:val="28"/>
                      <w:szCs w:val="28"/>
                      <w:highlight w:val="none"/>
                    </w:rPr>
                  </w:pPr>
                </w:p>
                <w:p>
                  <w:pPr>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成</w:t>
                  </w:r>
                </w:p>
                <w:p>
                  <w:pPr>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员</w:t>
                  </w:r>
                </w:p>
                <w:p>
                  <w:pPr>
                    <w:jc w:val="center"/>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单</w:t>
                  </w:r>
                </w:p>
                <w:p>
                  <w:pPr>
                    <w:jc w:val="center"/>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sz w:val="28"/>
                      <w:szCs w:val="28"/>
                      <w:highlight w:val="none"/>
                      <w:lang w:eastAsia="zh-CN"/>
                    </w:rPr>
                    <w:t>位</w:t>
                  </w:r>
                </w:p>
              </w:tc>
              <w:tc>
                <w:tcPr>
                  <w:tcW w:w="27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auto"/>
                      <w:sz w:val="24"/>
                      <w:highlight w:val="none"/>
                      <w:lang w:eastAsia="zh-CN"/>
                    </w:rPr>
                  </w:pPr>
                  <w:r>
                    <w:rPr>
                      <w:rFonts w:hint="eastAsia" w:ascii="仿宋_GB2312" w:hAnsi="仿宋_GB2312" w:eastAsia="仿宋_GB2312" w:cs="仿宋_GB2312"/>
                      <w:color w:val="auto"/>
                      <w:sz w:val="24"/>
                      <w:highlight w:val="none"/>
                      <w:lang w:eastAsia="zh-CN"/>
                    </w:rPr>
                    <w:t>县</w:t>
                  </w:r>
                  <w:r>
                    <w:rPr>
                      <w:rFonts w:hint="eastAsia" w:ascii="仿宋_GB2312" w:hAnsi="仿宋_GB2312" w:eastAsia="仿宋_GB2312" w:cs="仿宋_GB2312"/>
                      <w:color w:val="auto"/>
                      <w:sz w:val="24"/>
                      <w:highlight w:val="none"/>
                    </w:rPr>
                    <w:t>委宣传部</w:t>
                  </w:r>
                  <w:r>
                    <w:rPr>
                      <w:rFonts w:hint="eastAsia" w:ascii="仿宋_GB2312" w:hAnsi="仿宋_GB2312" w:eastAsia="仿宋_GB2312" w:cs="仿宋_GB2312"/>
                      <w:color w:val="auto"/>
                      <w:sz w:val="24"/>
                      <w:highlight w:val="none"/>
                      <w:lang w:eastAsia="zh-CN"/>
                    </w:rPr>
                    <w:t>、</w:t>
                  </w:r>
                </w:p>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auto"/>
                      <w:sz w:val="24"/>
                      <w:highlight w:val="yellow"/>
                      <w:lang w:eastAsia="zh-CN"/>
                    </w:rPr>
                  </w:pPr>
                  <w:r>
                    <w:rPr>
                      <w:rFonts w:hint="eastAsia" w:ascii="仿宋_GB2312" w:hAnsi="仿宋_GB2312" w:eastAsia="仿宋_GB2312" w:cs="仿宋_GB2312"/>
                      <w:color w:val="auto"/>
                      <w:sz w:val="24"/>
                      <w:highlight w:val="none"/>
                      <w:lang w:eastAsia="zh-CN"/>
                    </w:rPr>
                    <w:t>县融媒体中心</w:t>
                  </w:r>
                </w:p>
              </w:tc>
              <w:tc>
                <w:tcPr>
                  <w:tcW w:w="984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ind w:firstLine="480" w:firstLineChars="200"/>
                    <w:jc w:val="left"/>
                    <w:rPr>
                      <w:rFonts w:hint="eastAsia" w:ascii="仿宋_GB2312" w:hAnsi="仿宋_GB2312" w:eastAsia="仿宋_GB2312" w:cs="仿宋_GB2312"/>
                      <w:kern w:val="0"/>
                      <w:sz w:val="24"/>
                      <w:szCs w:val="24"/>
                      <w:highlight w:val="yellow"/>
                      <w:lang w:val="en-US" w:eastAsia="zh-CN" w:bidi="ar"/>
                    </w:rPr>
                  </w:pPr>
                  <w:r>
                    <w:rPr>
                      <w:rFonts w:hint="eastAsia" w:ascii="仿宋_GB2312" w:hAnsi="仿宋_GB2312" w:eastAsia="仿宋_GB2312" w:cs="仿宋_GB2312"/>
                      <w:kern w:val="0"/>
                      <w:sz w:val="24"/>
                      <w:szCs w:val="24"/>
                      <w:highlight w:val="none"/>
                      <w:lang w:val="en-US" w:eastAsia="zh-CN" w:bidi="ar"/>
                    </w:rPr>
                    <w:t>根据县现场指挥部的统一部署，组织协调新闻媒体开展应急新闻报道，积极引导舆论。</w:t>
                  </w:r>
                </w:p>
              </w:tc>
            </w:tr>
            <w:tr>
              <w:tblPrEx>
                <w:tblCellMar>
                  <w:top w:w="0" w:type="dxa"/>
                  <w:left w:w="0" w:type="dxa"/>
                  <w:bottom w:w="0" w:type="dxa"/>
                  <w:right w:w="0" w:type="dxa"/>
                </w:tblCellMar>
              </w:tblPrEx>
              <w:trPr>
                <w:trHeight w:val="887" w:hRule="atLeast"/>
                <w:jc w:val="center"/>
              </w:trPr>
              <w:tc>
                <w:tcPr>
                  <w:tcW w:w="62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80" w:lineRule="exact"/>
                    <w:jc w:val="center"/>
                    <w:rPr>
                      <w:rFonts w:hint="eastAsia" w:ascii="仿宋_GB2312" w:hAnsi="仿宋_GB2312" w:eastAsia="仿宋_GB2312" w:cs="仿宋_GB2312"/>
                      <w:color w:val="auto"/>
                      <w:sz w:val="24"/>
                      <w:highlight w:val="none"/>
                    </w:rPr>
                  </w:pPr>
                </w:p>
              </w:tc>
              <w:tc>
                <w:tcPr>
                  <w:tcW w:w="27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80" w:lineRule="exact"/>
                    <w:jc w:val="center"/>
                    <w:textAlignment w:val="center"/>
                    <w:rPr>
                      <w:rFonts w:hint="eastAsia" w:ascii="仿宋_GB2312" w:hAnsi="仿宋_GB2312" w:eastAsia="仿宋_GB2312" w:cs="仿宋_GB2312"/>
                      <w:color w:val="auto"/>
                      <w:sz w:val="24"/>
                      <w:highlight w:val="none"/>
                      <w:lang w:val="en-US" w:eastAsia="zh-CN"/>
                    </w:rPr>
                  </w:pPr>
                  <w:r>
                    <w:rPr>
                      <w:rFonts w:hint="eastAsia" w:ascii="仿宋_GB2312" w:hAnsi="仿宋_GB2312" w:eastAsia="仿宋_GB2312" w:cs="仿宋_GB2312"/>
                      <w:color w:val="auto"/>
                      <w:kern w:val="0"/>
                      <w:sz w:val="24"/>
                      <w:highlight w:val="none"/>
                      <w:lang w:eastAsia="zh-CN" w:bidi="ar"/>
                    </w:rPr>
                    <w:t>县</w:t>
                  </w:r>
                  <w:r>
                    <w:rPr>
                      <w:rFonts w:hint="eastAsia" w:ascii="仿宋_GB2312" w:hAnsi="仿宋_GB2312" w:eastAsia="仿宋_GB2312" w:cs="仿宋_GB2312"/>
                      <w:color w:val="auto"/>
                      <w:kern w:val="0"/>
                      <w:sz w:val="24"/>
                      <w:highlight w:val="none"/>
                      <w:lang w:bidi="ar"/>
                    </w:rPr>
                    <w:t>发改</w:t>
                  </w:r>
                  <w:r>
                    <w:rPr>
                      <w:rFonts w:hint="eastAsia" w:ascii="仿宋_GB2312" w:hAnsi="仿宋_GB2312" w:eastAsia="仿宋_GB2312" w:cs="仿宋_GB2312"/>
                      <w:color w:val="auto"/>
                      <w:kern w:val="0"/>
                      <w:sz w:val="24"/>
                      <w:highlight w:val="none"/>
                      <w:lang w:val="en-US" w:eastAsia="zh-CN" w:bidi="ar"/>
                    </w:rPr>
                    <w:t>局</w:t>
                  </w:r>
                </w:p>
              </w:tc>
              <w:tc>
                <w:tcPr>
                  <w:tcW w:w="984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ind w:firstLine="480" w:firstLineChars="200"/>
                    <w:rPr>
                      <w:rFonts w:hint="eastAsia" w:ascii="仿宋_GB2312" w:hAnsi="仿宋_GB2312" w:eastAsia="仿宋_GB2312" w:cs="仿宋_GB2312"/>
                      <w:kern w:val="0"/>
                      <w:sz w:val="24"/>
                      <w:szCs w:val="24"/>
                      <w:highlight w:val="none"/>
                      <w:lang w:val="en-US" w:eastAsia="zh-CN" w:bidi="ar"/>
                    </w:rPr>
                  </w:pPr>
                  <w:r>
                    <w:rPr>
                      <w:rFonts w:hint="eastAsia" w:ascii="仿宋_GB2312" w:hAnsi="仿宋_GB2312" w:eastAsia="仿宋_GB2312" w:cs="仿宋_GB2312"/>
                      <w:kern w:val="0"/>
                      <w:sz w:val="24"/>
                      <w:szCs w:val="24"/>
                      <w:highlight w:val="none"/>
                      <w:lang w:val="en-US" w:eastAsia="zh-CN" w:bidi="ar"/>
                    </w:rPr>
                    <w:t>负责落实县级重要物资和应急储备物资动用计划和指令。</w:t>
                  </w:r>
                </w:p>
              </w:tc>
            </w:tr>
            <w:tr>
              <w:tblPrEx>
                <w:tblCellMar>
                  <w:top w:w="0" w:type="dxa"/>
                  <w:left w:w="0" w:type="dxa"/>
                  <w:bottom w:w="0" w:type="dxa"/>
                  <w:right w:w="0" w:type="dxa"/>
                </w:tblCellMar>
              </w:tblPrEx>
              <w:trPr>
                <w:trHeight w:val="797" w:hRule="atLeast"/>
                <w:jc w:val="center"/>
              </w:trPr>
              <w:tc>
                <w:tcPr>
                  <w:tcW w:w="62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80" w:lineRule="exact"/>
                    <w:jc w:val="center"/>
                    <w:rPr>
                      <w:rFonts w:hint="eastAsia" w:ascii="仿宋_GB2312" w:hAnsi="仿宋_GB2312" w:eastAsia="仿宋_GB2312" w:cs="仿宋_GB2312"/>
                      <w:color w:val="auto"/>
                      <w:sz w:val="24"/>
                      <w:highlight w:val="none"/>
                    </w:rPr>
                  </w:pPr>
                </w:p>
              </w:tc>
              <w:tc>
                <w:tcPr>
                  <w:tcW w:w="27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80" w:lineRule="exact"/>
                    <w:jc w:val="center"/>
                    <w:textAlignment w:val="center"/>
                    <w:rPr>
                      <w:rFonts w:hint="eastAsia" w:ascii="仿宋_GB2312" w:hAnsi="仿宋_GB2312" w:eastAsia="仿宋_GB2312" w:cs="仿宋_GB2312"/>
                      <w:color w:val="auto"/>
                      <w:sz w:val="24"/>
                      <w:highlight w:val="none"/>
                      <w:lang w:eastAsia="zh-CN"/>
                    </w:rPr>
                  </w:pPr>
                  <w:r>
                    <w:rPr>
                      <w:rFonts w:hint="eastAsia" w:ascii="仿宋_GB2312" w:hAnsi="仿宋_GB2312" w:eastAsia="仿宋_GB2312" w:cs="仿宋_GB2312"/>
                      <w:color w:val="auto"/>
                      <w:kern w:val="0"/>
                      <w:sz w:val="24"/>
                      <w:highlight w:val="none"/>
                      <w:lang w:eastAsia="zh-CN" w:bidi="ar"/>
                    </w:rPr>
                    <w:t>县</w:t>
                  </w:r>
                  <w:r>
                    <w:rPr>
                      <w:rFonts w:hint="eastAsia" w:ascii="仿宋_GB2312" w:hAnsi="仿宋_GB2312" w:eastAsia="仿宋_GB2312" w:cs="仿宋_GB2312"/>
                      <w:color w:val="auto"/>
                      <w:kern w:val="0"/>
                      <w:sz w:val="24"/>
                      <w:highlight w:val="none"/>
                      <w:lang w:bidi="ar"/>
                    </w:rPr>
                    <w:t>工信</w:t>
                  </w:r>
                  <w:r>
                    <w:rPr>
                      <w:rFonts w:hint="eastAsia" w:ascii="仿宋_GB2312" w:hAnsi="仿宋_GB2312" w:eastAsia="仿宋_GB2312" w:cs="仿宋_GB2312"/>
                      <w:color w:val="auto"/>
                      <w:kern w:val="0"/>
                      <w:sz w:val="24"/>
                      <w:highlight w:val="none"/>
                      <w:lang w:eastAsia="zh-CN" w:bidi="ar"/>
                    </w:rPr>
                    <w:t>局</w:t>
                  </w:r>
                </w:p>
              </w:tc>
              <w:tc>
                <w:tcPr>
                  <w:tcW w:w="984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ind w:firstLine="480" w:firstLineChars="200"/>
                    <w:rPr>
                      <w:rFonts w:hint="eastAsia" w:ascii="仿宋_GB2312" w:hAnsi="仿宋_GB2312" w:eastAsia="仿宋_GB2312" w:cs="仿宋_GB2312"/>
                      <w:kern w:val="0"/>
                      <w:sz w:val="24"/>
                      <w:szCs w:val="24"/>
                      <w:highlight w:val="none"/>
                      <w:lang w:val="en-US" w:eastAsia="zh-CN" w:bidi="ar"/>
                    </w:rPr>
                  </w:pPr>
                  <w:r>
                    <w:rPr>
                      <w:rFonts w:hint="eastAsia" w:ascii="仿宋_GB2312" w:hAnsi="仿宋_GB2312" w:eastAsia="仿宋_GB2312" w:cs="仿宋_GB2312"/>
                      <w:kern w:val="0"/>
                      <w:sz w:val="24"/>
                      <w:szCs w:val="24"/>
                      <w:highlight w:val="none"/>
                      <w:lang w:val="en-US" w:eastAsia="zh-CN" w:bidi="ar"/>
                    </w:rPr>
                    <w:t>承担指挥部办公室有关职责；负责紧急状态下紧缺物资生产组织工作；负责医药储备应急调拨；组织协调各电信运营企业做好应急通信保障工作，保障通信指挥畅通。</w:t>
                  </w:r>
                </w:p>
              </w:tc>
            </w:tr>
            <w:tr>
              <w:tblPrEx>
                <w:tblCellMar>
                  <w:top w:w="0" w:type="dxa"/>
                  <w:left w:w="0" w:type="dxa"/>
                  <w:bottom w:w="0" w:type="dxa"/>
                  <w:right w:w="0" w:type="dxa"/>
                </w:tblCellMar>
              </w:tblPrEx>
              <w:trPr>
                <w:trHeight w:val="912" w:hRule="atLeast"/>
                <w:jc w:val="center"/>
              </w:trPr>
              <w:tc>
                <w:tcPr>
                  <w:tcW w:w="62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80" w:lineRule="exact"/>
                    <w:jc w:val="center"/>
                    <w:rPr>
                      <w:rFonts w:hint="eastAsia" w:ascii="仿宋_GB2312" w:hAnsi="仿宋_GB2312" w:eastAsia="仿宋_GB2312" w:cs="仿宋_GB2312"/>
                      <w:color w:val="auto"/>
                      <w:sz w:val="24"/>
                      <w:highlight w:val="none"/>
                    </w:rPr>
                  </w:pPr>
                </w:p>
              </w:tc>
              <w:tc>
                <w:tcPr>
                  <w:tcW w:w="27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80" w:lineRule="exact"/>
                    <w:jc w:val="center"/>
                    <w:textAlignment w:val="center"/>
                    <w:rPr>
                      <w:rFonts w:hint="eastAsia" w:ascii="仿宋_GB2312" w:hAnsi="仿宋_GB2312" w:eastAsia="仿宋_GB2312" w:cs="仿宋_GB2312"/>
                      <w:color w:val="auto"/>
                      <w:sz w:val="24"/>
                      <w:highlight w:val="none"/>
                      <w:lang w:eastAsia="zh-CN"/>
                    </w:rPr>
                  </w:pPr>
                  <w:r>
                    <w:rPr>
                      <w:rFonts w:hint="eastAsia" w:ascii="仿宋_GB2312" w:hAnsi="仿宋_GB2312" w:eastAsia="仿宋_GB2312" w:cs="仿宋_GB2312"/>
                      <w:color w:val="auto"/>
                      <w:kern w:val="0"/>
                      <w:sz w:val="24"/>
                      <w:highlight w:val="none"/>
                      <w:lang w:eastAsia="zh-CN" w:bidi="ar"/>
                    </w:rPr>
                    <w:t>县</w:t>
                  </w:r>
                  <w:r>
                    <w:rPr>
                      <w:rFonts w:hint="eastAsia" w:ascii="仿宋_GB2312" w:hAnsi="仿宋_GB2312" w:eastAsia="仿宋_GB2312" w:cs="仿宋_GB2312"/>
                      <w:color w:val="auto"/>
                      <w:kern w:val="0"/>
                      <w:sz w:val="24"/>
                      <w:highlight w:val="none"/>
                      <w:lang w:bidi="ar"/>
                    </w:rPr>
                    <w:t>公安</w:t>
                  </w:r>
                  <w:r>
                    <w:rPr>
                      <w:rFonts w:hint="eastAsia" w:ascii="仿宋_GB2312" w:hAnsi="仿宋_GB2312" w:eastAsia="仿宋_GB2312" w:cs="仿宋_GB2312"/>
                      <w:color w:val="auto"/>
                      <w:kern w:val="0"/>
                      <w:sz w:val="24"/>
                      <w:highlight w:val="none"/>
                      <w:lang w:eastAsia="zh-CN" w:bidi="ar"/>
                    </w:rPr>
                    <w:t>局</w:t>
                  </w:r>
                </w:p>
              </w:tc>
              <w:tc>
                <w:tcPr>
                  <w:tcW w:w="984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ind w:firstLine="480" w:firstLineChars="200"/>
                    <w:rPr>
                      <w:rFonts w:hint="eastAsia" w:ascii="仿宋_GB2312" w:hAnsi="仿宋_GB2312" w:eastAsia="仿宋_GB2312" w:cs="仿宋_GB2312"/>
                      <w:kern w:val="0"/>
                      <w:sz w:val="24"/>
                      <w:szCs w:val="24"/>
                      <w:highlight w:val="none"/>
                      <w:lang w:val="en-US" w:eastAsia="zh-CN" w:bidi="ar"/>
                    </w:rPr>
                  </w:pPr>
                  <w:r>
                    <w:rPr>
                      <w:rFonts w:hint="eastAsia" w:ascii="仿宋_GB2312" w:hAnsi="仿宋_GB2312" w:eastAsia="仿宋_GB2312" w:cs="仿宋_GB2312"/>
                      <w:kern w:val="0"/>
                      <w:sz w:val="24"/>
                      <w:szCs w:val="24"/>
                      <w:highlight w:val="none"/>
                      <w:lang w:val="en-US" w:eastAsia="zh-CN" w:bidi="ar"/>
                    </w:rPr>
                    <w:t>负责组织和指导属地公安机关做好事故现场警戒、人员摸排、治安维护；负责组织和指导属地公安交警部门做好事故现场周边的道路交通管理工作。</w:t>
                  </w:r>
                </w:p>
              </w:tc>
            </w:tr>
            <w:tr>
              <w:tblPrEx>
                <w:tblCellMar>
                  <w:top w:w="0" w:type="dxa"/>
                  <w:left w:w="0" w:type="dxa"/>
                  <w:bottom w:w="0" w:type="dxa"/>
                  <w:right w:w="0" w:type="dxa"/>
                </w:tblCellMar>
              </w:tblPrEx>
              <w:trPr>
                <w:trHeight w:val="668" w:hRule="atLeast"/>
                <w:jc w:val="center"/>
              </w:trPr>
              <w:tc>
                <w:tcPr>
                  <w:tcW w:w="62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80" w:lineRule="exact"/>
                    <w:jc w:val="center"/>
                    <w:rPr>
                      <w:rFonts w:hint="eastAsia" w:ascii="仿宋_GB2312" w:hAnsi="仿宋_GB2312" w:eastAsia="仿宋_GB2312" w:cs="仿宋_GB2312"/>
                      <w:color w:val="auto"/>
                      <w:sz w:val="24"/>
                      <w:highlight w:val="none"/>
                    </w:rPr>
                  </w:pPr>
                </w:p>
              </w:tc>
              <w:tc>
                <w:tcPr>
                  <w:tcW w:w="27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80" w:lineRule="exact"/>
                    <w:jc w:val="center"/>
                    <w:textAlignment w:val="center"/>
                    <w:rPr>
                      <w:rFonts w:hint="eastAsia" w:ascii="仿宋_GB2312" w:hAnsi="仿宋_GB2312" w:eastAsia="仿宋_GB2312" w:cs="仿宋_GB2312"/>
                      <w:color w:val="auto"/>
                      <w:sz w:val="24"/>
                      <w:highlight w:val="yellow"/>
                      <w:lang w:eastAsia="zh-CN"/>
                    </w:rPr>
                  </w:pPr>
                  <w:r>
                    <w:rPr>
                      <w:rFonts w:hint="eastAsia" w:ascii="仿宋_GB2312" w:hAnsi="仿宋_GB2312" w:eastAsia="仿宋_GB2312" w:cs="仿宋_GB2312"/>
                      <w:color w:val="auto"/>
                      <w:sz w:val="24"/>
                      <w:highlight w:val="none"/>
                      <w:lang w:eastAsia="zh-CN"/>
                    </w:rPr>
                    <w:t>县</w:t>
                  </w:r>
                  <w:r>
                    <w:rPr>
                      <w:rFonts w:hint="eastAsia" w:ascii="仿宋_GB2312" w:hAnsi="仿宋_GB2312" w:eastAsia="仿宋_GB2312" w:cs="仿宋_GB2312"/>
                      <w:color w:val="auto"/>
                      <w:sz w:val="24"/>
                      <w:highlight w:val="none"/>
                    </w:rPr>
                    <w:t>民政</w:t>
                  </w:r>
                  <w:r>
                    <w:rPr>
                      <w:rFonts w:hint="eastAsia" w:ascii="仿宋_GB2312" w:hAnsi="仿宋_GB2312" w:eastAsia="仿宋_GB2312" w:cs="仿宋_GB2312"/>
                      <w:color w:val="auto"/>
                      <w:sz w:val="24"/>
                      <w:highlight w:val="none"/>
                      <w:lang w:eastAsia="zh-CN"/>
                    </w:rPr>
                    <w:t>局</w:t>
                  </w:r>
                </w:p>
              </w:tc>
              <w:tc>
                <w:tcPr>
                  <w:tcW w:w="984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ind w:firstLine="480" w:firstLineChars="200"/>
                    <w:rPr>
                      <w:rFonts w:hint="eastAsia" w:ascii="仿宋_GB2312" w:hAnsi="仿宋_GB2312" w:eastAsia="仿宋_GB2312" w:cs="仿宋_GB2312"/>
                      <w:kern w:val="0"/>
                      <w:sz w:val="24"/>
                      <w:szCs w:val="24"/>
                      <w:highlight w:val="none"/>
                      <w:lang w:val="en-US" w:eastAsia="zh-CN" w:bidi="ar"/>
                    </w:rPr>
                  </w:pPr>
                  <w:r>
                    <w:rPr>
                      <w:rFonts w:hint="eastAsia" w:ascii="仿宋_GB2312" w:hAnsi="仿宋_GB2312" w:eastAsia="仿宋_GB2312" w:cs="仿宋_GB2312"/>
                      <w:kern w:val="0"/>
                      <w:sz w:val="24"/>
                      <w:szCs w:val="24"/>
                      <w:highlight w:val="none"/>
                      <w:lang w:val="en-US" w:eastAsia="zh-CN" w:bidi="ar"/>
                    </w:rPr>
                    <w:t>负责组织协调遇难人员遗体火化工作。</w:t>
                  </w:r>
                </w:p>
              </w:tc>
            </w:tr>
            <w:tr>
              <w:tblPrEx>
                <w:tblCellMar>
                  <w:top w:w="0" w:type="dxa"/>
                  <w:left w:w="0" w:type="dxa"/>
                  <w:bottom w:w="0" w:type="dxa"/>
                  <w:right w:w="0" w:type="dxa"/>
                </w:tblCellMar>
              </w:tblPrEx>
              <w:trPr>
                <w:trHeight w:val="90" w:hRule="atLeast"/>
                <w:jc w:val="center"/>
              </w:trPr>
              <w:tc>
                <w:tcPr>
                  <w:tcW w:w="62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80" w:lineRule="exact"/>
                    <w:jc w:val="center"/>
                    <w:rPr>
                      <w:rFonts w:hint="eastAsia" w:ascii="仿宋_GB2312" w:hAnsi="仿宋_GB2312" w:eastAsia="仿宋_GB2312" w:cs="仿宋_GB2312"/>
                      <w:color w:val="auto"/>
                      <w:sz w:val="24"/>
                      <w:highlight w:val="none"/>
                    </w:rPr>
                  </w:pPr>
                </w:p>
              </w:tc>
              <w:tc>
                <w:tcPr>
                  <w:tcW w:w="27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80" w:lineRule="exact"/>
                    <w:jc w:val="center"/>
                    <w:textAlignment w:val="center"/>
                    <w:rPr>
                      <w:rFonts w:hint="eastAsia" w:ascii="仿宋_GB2312" w:hAnsi="仿宋_GB2312" w:eastAsia="仿宋_GB2312" w:cs="仿宋_GB2312"/>
                      <w:color w:val="auto"/>
                      <w:sz w:val="24"/>
                      <w:highlight w:val="yellow"/>
                      <w:lang w:eastAsia="zh-CN"/>
                    </w:rPr>
                  </w:pPr>
                  <w:r>
                    <w:rPr>
                      <w:rFonts w:hint="eastAsia" w:ascii="仿宋_GB2312" w:hAnsi="仿宋_GB2312" w:eastAsia="仿宋_GB2312" w:cs="仿宋_GB2312"/>
                      <w:color w:val="auto"/>
                      <w:sz w:val="24"/>
                      <w:highlight w:val="none"/>
                      <w:lang w:eastAsia="zh-CN"/>
                    </w:rPr>
                    <w:t>县</w:t>
                  </w:r>
                  <w:r>
                    <w:rPr>
                      <w:rFonts w:hint="eastAsia" w:ascii="仿宋_GB2312" w:hAnsi="仿宋_GB2312" w:eastAsia="仿宋_GB2312" w:cs="仿宋_GB2312"/>
                      <w:color w:val="auto"/>
                      <w:sz w:val="24"/>
                      <w:highlight w:val="none"/>
                    </w:rPr>
                    <w:t>财政</w:t>
                  </w:r>
                  <w:r>
                    <w:rPr>
                      <w:rFonts w:hint="eastAsia" w:ascii="仿宋_GB2312" w:hAnsi="仿宋_GB2312" w:eastAsia="仿宋_GB2312" w:cs="仿宋_GB2312"/>
                      <w:color w:val="auto"/>
                      <w:sz w:val="24"/>
                      <w:highlight w:val="none"/>
                      <w:lang w:eastAsia="zh-CN"/>
                    </w:rPr>
                    <w:t>局</w:t>
                  </w:r>
                </w:p>
              </w:tc>
              <w:tc>
                <w:tcPr>
                  <w:tcW w:w="984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ind w:firstLine="480" w:firstLineChars="200"/>
                    <w:rPr>
                      <w:rFonts w:hint="eastAsia" w:ascii="仿宋_GB2312" w:hAnsi="仿宋_GB2312" w:eastAsia="仿宋_GB2312" w:cs="仿宋_GB2312"/>
                      <w:kern w:val="0"/>
                      <w:sz w:val="24"/>
                      <w:szCs w:val="24"/>
                      <w:highlight w:val="yellow"/>
                      <w:lang w:val="en-US" w:eastAsia="zh-CN" w:bidi="ar"/>
                    </w:rPr>
                  </w:pPr>
                  <w:r>
                    <w:rPr>
                      <w:rFonts w:hint="eastAsia" w:ascii="仿宋_GB2312" w:hAnsi="仿宋_GB2312" w:eastAsia="仿宋_GB2312" w:cs="仿宋_GB2312"/>
                      <w:kern w:val="0"/>
                      <w:sz w:val="24"/>
                      <w:szCs w:val="24"/>
                      <w:highlight w:val="none"/>
                      <w:lang w:val="en-US" w:eastAsia="zh-CN" w:bidi="ar"/>
                    </w:rPr>
                    <w:t>按照分级负担原则，负责落实生产安全事故所需经费和生产安全事故应急救援项目配套资金；负责及时支付经县指挥部协调救援工作发生的医疗救助、事故评估等县级应急救援费用；做好应急资金使用的监督管理工</w:t>
                  </w:r>
                  <w:bookmarkStart w:id="0" w:name="_GoBack"/>
                  <w:bookmarkEnd w:id="0"/>
                  <w:r>
                    <w:rPr>
                      <w:rFonts w:hint="eastAsia" w:ascii="仿宋_GB2312" w:hAnsi="仿宋_GB2312" w:eastAsia="仿宋_GB2312" w:cs="仿宋_GB2312"/>
                      <w:kern w:val="0"/>
                      <w:sz w:val="24"/>
                      <w:szCs w:val="24"/>
                      <w:highlight w:val="none"/>
                      <w:lang w:val="en-US" w:eastAsia="zh-CN" w:bidi="ar"/>
                    </w:rPr>
                    <w:t>作。</w:t>
                  </w:r>
                </w:p>
              </w:tc>
            </w:tr>
            <w:tr>
              <w:tblPrEx>
                <w:tblCellMar>
                  <w:top w:w="0" w:type="dxa"/>
                  <w:left w:w="0" w:type="dxa"/>
                  <w:bottom w:w="0" w:type="dxa"/>
                  <w:right w:w="0" w:type="dxa"/>
                </w:tblCellMar>
              </w:tblPrEx>
              <w:trPr>
                <w:trHeight w:val="680" w:hRule="atLeast"/>
                <w:jc w:val="center"/>
              </w:trPr>
              <w:tc>
                <w:tcPr>
                  <w:tcW w:w="62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80" w:lineRule="exact"/>
                    <w:jc w:val="center"/>
                    <w:rPr>
                      <w:rFonts w:hint="eastAsia" w:ascii="仿宋_GB2312" w:hAnsi="仿宋_GB2312" w:eastAsia="仿宋_GB2312" w:cs="仿宋_GB2312"/>
                      <w:color w:val="auto"/>
                      <w:sz w:val="24"/>
                      <w:highlight w:val="none"/>
                    </w:rPr>
                  </w:pPr>
                </w:p>
              </w:tc>
              <w:tc>
                <w:tcPr>
                  <w:tcW w:w="27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80" w:lineRule="exact"/>
                    <w:jc w:val="center"/>
                    <w:textAlignment w:val="center"/>
                    <w:rPr>
                      <w:rFonts w:hint="default" w:ascii="仿宋_GB2312" w:hAnsi="仿宋_GB2312" w:eastAsia="仿宋_GB2312" w:cs="仿宋_GB2312"/>
                      <w:color w:val="auto"/>
                      <w:sz w:val="24"/>
                      <w:highlight w:val="none"/>
                      <w:lang w:val="en-US" w:eastAsia="zh-CN"/>
                    </w:rPr>
                  </w:pPr>
                  <w:r>
                    <w:rPr>
                      <w:rFonts w:hint="eastAsia" w:ascii="仿宋_GB2312" w:hAnsi="仿宋_GB2312" w:eastAsia="仿宋_GB2312" w:cs="仿宋_GB2312"/>
                      <w:color w:val="auto"/>
                      <w:kern w:val="0"/>
                      <w:sz w:val="24"/>
                      <w:highlight w:val="none"/>
                      <w:lang w:val="en-US" w:eastAsia="zh-CN" w:bidi="ar"/>
                    </w:rPr>
                    <w:t>市</w:t>
                  </w:r>
                  <w:r>
                    <w:rPr>
                      <w:rFonts w:hint="eastAsia" w:ascii="仿宋_GB2312" w:hAnsi="仿宋_GB2312" w:eastAsia="仿宋_GB2312" w:cs="仿宋_GB2312"/>
                      <w:color w:val="auto"/>
                      <w:kern w:val="0"/>
                      <w:sz w:val="24"/>
                      <w:highlight w:val="none"/>
                      <w:lang w:bidi="ar"/>
                    </w:rPr>
                    <w:t>生态环境</w:t>
                  </w:r>
                  <w:r>
                    <w:rPr>
                      <w:rFonts w:hint="eastAsia" w:ascii="仿宋_GB2312" w:hAnsi="仿宋_GB2312" w:eastAsia="仿宋_GB2312" w:cs="仿宋_GB2312"/>
                      <w:color w:val="auto"/>
                      <w:kern w:val="0"/>
                      <w:sz w:val="24"/>
                      <w:highlight w:val="none"/>
                      <w:lang w:eastAsia="zh-CN" w:bidi="ar"/>
                    </w:rPr>
                    <w:t>局</w:t>
                  </w:r>
                  <w:r>
                    <w:rPr>
                      <w:rFonts w:hint="eastAsia" w:ascii="仿宋_GB2312" w:hAnsi="仿宋_GB2312" w:eastAsia="仿宋_GB2312" w:cs="仿宋_GB2312"/>
                      <w:color w:val="auto"/>
                      <w:kern w:val="0"/>
                      <w:sz w:val="24"/>
                      <w:highlight w:val="none"/>
                      <w:lang w:val="en-US" w:eastAsia="zh-CN" w:bidi="ar"/>
                    </w:rPr>
                    <w:t>曲沃分局</w:t>
                  </w:r>
                </w:p>
              </w:tc>
              <w:tc>
                <w:tcPr>
                  <w:tcW w:w="984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ind w:firstLine="480" w:firstLineChars="200"/>
                    <w:rPr>
                      <w:rFonts w:hint="eastAsia" w:ascii="仿宋_GB2312" w:hAnsi="仿宋_GB2312" w:eastAsia="仿宋_GB2312" w:cs="仿宋_GB2312"/>
                      <w:kern w:val="0"/>
                      <w:sz w:val="24"/>
                      <w:szCs w:val="24"/>
                      <w:highlight w:val="none"/>
                      <w:lang w:val="en-US" w:eastAsia="zh-CN" w:bidi="ar"/>
                    </w:rPr>
                  </w:pPr>
                  <w:r>
                    <w:rPr>
                      <w:rFonts w:hint="eastAsia" w:ascii="仿宋_GB2312" w:hAnsi="仿宋_GB2312" w:eastAsia="仿宋_GB2312" w:cs="仿宋_GB2312"/>
                      <w:kern w:val="0"/>
                      <w:sz w:val="24"/>
                      <w:szCs w:val="24"/>
                      <w:highlight w:val="none"/>
                      <w:lang w:val="en-US" w:eastAsia="zh-CN" w:bidi="ar"/>
                    </w:rPr>
                    <w:t>负责非煤矿山生产安全事故对大气、水体、土壤环境污染影响的环境应急监测工作，并根据监测结果及时提出次生环境污染事件的防控建议。</w:t>
                  </w:r>
                </w:p>
              </w:tc>
            </w:tr>
            <w:tr>
              <w:tblPrEx>
                <w:tblCellMar>
                  <w:top w:w="0" w:type="dxa"/>
                  <w:left w:w="0" w:type="dxa"/>
                  <w:bottom w:w="0" w:type="dxa"/>
                  <w:right w:w="0" w:type="dxa"/>
                </w:tblCellMar>
              </w:tblPrEx>
              <w:trPr>
                <w:trHeight w:val="774" w:hRule="atLeast"/>
                <w:jc w:val="center"/>
              </w:trPr>
              <w:tc>
                <w:tcPr>
                  <w:tcW w:w="62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80" w:lineRule="exact"/>
                    <w:jc w:val="center"/>
                    <w:rPr>
                      <w:rFonts w:hint="eastAsia" w:ascii="仿宋_GB2312" w:hAnsi="仿宋_GB2312" w:eastAsia="仿宋_GB2312" w:cs="仿宋_GB2312"/>
                      <w:color w:val="auto"/>
                      <w:sz w:val="24"/>
                      <w:highlight w:val="none"/>
                    </w:rPr>
                  </w:pPr>
                </w:p>
              </w:tc>
              <w:tc>
                <w:tcPr>
                  <w:tcW w:w="27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80" w:lineRule="exact"/>
                    <w:jc w:val="center"/>
                    <w:textAlignment w:val="center"/>
                    <w:rPr>
                      <w:rFonts w:hint="eastAsia" w:ascii="仿宋_GB2312" w:hAnsi="仿宋_GB2312" w:eastAsia="仿宋_GB2312" w:cs="仿宋_GB2312"/>
                      <w:color w:val="auto"/>
                      <w:sz w:val="24"/>
                      <w:highlight w:val="none"/>
                      <w:lang w:eastAsia="zh-CN"/>
                    </w:rPr>
                  </w:pPr>
                  <w:r>
                    <w:rPr>
                      <w:rFonts w:hint="eastAsia" w:ascii="仿宋_GB2312" w:hAnsi="仿宋_GB2312" w:eastAsia="仿宋_GB2312" w:cs="仿宋_GB2312"/>
                      <w:color w:val="auto"/>
                      <w:kern w:val="0"/>
                      <w:sz w:val="24"/>
                      <w:highlight w:val="none"/>
                      <w:lang w:eastAsia="zh-CN" w:bidi="ar"/>
                    </w:rPr>
                    <w:t>县</w:t>
                  </w:r>
                  <w:r>
                    <w:rPr>
                      <w:rFonts w:hint="eastAsia" w:ascii="仿宋_GB2312" w:hAnsi="仿宋_GB2312" w:eastAsia="仿宋_GB2312" w:cs="仿宋_GB2312"/>
                      <w:color w:val="auto"/>
                      <w:kern w:val="0"/>
                      <w:sz w:val="24"/>
                      <w:highlight w:val="none"/>
                      <w:lang w:bidi="ar"/>
                    </w:rPr>
                    <w:t>自然资源</w:t>
                  </w:r>
                  <w:r>
                    <w:rPr>
                      <w:rFonts w:hint="eastAsia" w:ascii="仿宋_GB2312" w:hAnsi="仿宋_GB2312" w:eastAsia="仿宋_GB2312" w:cs="仿宋_GB2312"/>
                      <w:color w:val="auto"/>
                      <w:kern w:val="0"/>
                      <w:sz w:val="24"/>
                      <w:highlight w:val="none"/>
                      <w:lang w:eastAsia="zh-CN" w:bidi="ar"/>
                    </w:rPr>
                    <w:t>局</w:t>
                  </w:r>
                </w:p>
              </w:tc>
              <w:tc>
                <w:tcPr>
                  <w:tcW w:w="984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ind w:firstLine="480" w:firstLineChars="200"/>
                    <w:rPr>
                      <w:rFonts w:hint="eastAsia" w:ascii="仿宋_GB2312" w:hAnsi="仿宋_GB2312" w:eastAsia="仿宋_GB2312" w:cs="仿宋_GB2312"/>
                      <w:kern w:val="0"/>
                      <w:sz w:val="24"/>
                      <w:szCs w:val="24"/>
                      <w:highlight w:val="none"/>
                      <w:lang w:val="en-US" w:eastAsia="zh-CN" w:bidi="ar"/>
                    </w:rPr>
                  </w:pPr>
                  <w:r>
                    <w:rPr>
                      <w:rFonts w:hint="eastAsia" w:ascii="仿宋_GB2312" w:hAnsi="仿宋_GB2312" w:eastAsia="仿宋_GB2312" w:cs="仿宋_GB2312"/>
                      <w:kern w:val="0"/>
                      <w:sz w:val="24"/>
                      <w:szCs w:val="24"/>
                      <w:highlight w:val="none"/>
                      <w:lang w:val="en-US" w:eastAsia="zh-CN" w:bidi="ar"/>
                    </w:rPr>
                    <w:t>会同气象部门联合发布地质灾害气象风险预警，为非煤矿山生产安全事故引发的地质灾害的应急救援提供技术支撑,提供非煤矿山生产安全事故现场地形、地势和山势信息等基础工作。</w:t>
                  </w:r>
                </w:p>
              </w:tc>
            </w:tr>
            <w:tr>
              <w:tblPrEx>
                <w:tblCellMar>
                  <w:top w:w="0" w:type="dxa"/>
                  <w:left w:w="0" w:type="dxa"/>
                  <w:bottom w:w="0" w:type="dxa"/>
                  <w:right w:w="0" w:type="dxa"/>
                </w:tblCellMar>
              </w:tblPrEx>
              <w:trPr>
                <w:trHeight w:val="780" w:hRule="atLeast"/>
                <w:jc w:val="center"/>
              </w:trPr>
              <w:tc>
                <w:tcPr>
                  <w:tcW w:w="62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80" w:lineRule="exact"/>
                    <w:jc w:val="center"/>
                    <w:rPr>
                      <w:rFonts w:hint="eastAsia" w:ascii="仿宋_GB2312" w:hAnsi="仿宋_GB2312" w:eastAsia="仿宋_GB2312" w:cs="仿宋_GB2312"/>
                      <w:color w:val="auto"/>
                      <w:sz w:val="24"/>
                      <w:highlight w:val="none"/>
                    </w:rPr>
                  </w:pPr>
                </w:p>
              </w:tc>
              <w:tc>
                <w:tcPr>
                  <w:tcW w:w="27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80" w:lineRule="exact"/>
                    <w:jc w:val="center"/>
                    <w:textAlignment w:val="center"/>
                    <w:rPr>
                      <w:rFonts w:hint="eastAsia" w:ascii="仿宋_GB2312" w:hAnsi="仿宋_GB2312" w:eastAsia="仿宋_GB2312" w:cs="仿宋_GB2312"/>
                      <w:color w:val="auto"/>
                      <w:sz w:val="24"/>
                      <w:highlight w:val="none"/>
                      <w:lang w:eastAsia="zh-CN"/>
                    </w:rPr>
                  </w:pPr>
                  <w:r>
                    <w:rPr>
                      <w:rFonts w:hint="eastAsia" w:ascii="仿宋_GB2312" w:hAnsi="仿宋_GB2312" w:eastAsia="仿宋_GB2312" w:cs="仿宋_GB2312"/>
                      <w:color w:val="auto"/>
                      <w:kern w:val="0"/>
                      <w:sz w:val="24"/>
                      <w:highlight w:val="none"/>
                      <w:lang w:eastAsia="zh-CN" w:bidi="ar"/>
                    </w:rPr>
                    <w:t>县</w:t>
                  </w:r>
                  <w:r>
                    <w:rPr>
                      <w:rFonts w:hint="eastAsia" w:ascii="仿宋_GB2312" w:hAnsi="仿宋_GB2312" w:eastAsia="仿宋_GB2312" w:cs="仿宋_GB2312"/>
                      <w:color w:val="auto"/>
                      <w:kern w:val="0"/>
                      <w:sz w:val="24"/>
                      <w:highlight w:val="none"/>
                      <w:lang w:bidi="ar"/>
                    </w:rPr>
                    <w:t>交通</w:t>
                  </w:r>
                  <w:r>
                    <w:rPr>
                      <w:rFonts w:hint="eastAsia" w:ascii="仿宋_GB2312" w:hAnsi="仿宋_GB2312" w:eastAsia="仿宋_GB2312" w:cs="仿宋_GB2312"/>
                      <w:color w:val="auto"/>
                      <w:kern w:val="0"/>
                      <w:sz w:val="24"/>
                      <w:highlight w:val="none"/>
                      <w:lang w:eastAsia="zh-CN" w:bidi="ar"/>
                    </w:rPr>
                    <w:t>局</w:t>
                  </w:r>
                </w:p>
              </w:tc>
              <w:tc>
                <w:tcPr>
                  <w:tcW w:w="984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ind w:firstLine="480" w:firstLineChars="200"/>
                    <w:rPr>
                      <w:rFonts w:hint="eastAsia" w:ascii="仿宋_GB2312" w:hAnsi="仿宋_GB2312" w:eastAsia="仿宋_GB2312" w:cs="仿宋_GB2312"/>
                      <w:kern w:val="0"/>
                      <w:sz w:val="24"/>
                      <w:szCs w:val="24"/>
                      <w:highlight w:val="none"/>
                      <w:lang w:val="en-US" w:eastAsia="zh-CN" w:bidi="ar"/>
                    </w:rPr>
                  </w:pPr>
                  <w:r>
                    <w:rPr>
                      <w:rFonts w:hint="eastAsia" w:ascii="仿宋_GB2312" w:hAnsi="仿宋_GB2312" w:eastAsia="仿宋_GB2312" w:cs="仿宋_GB2312"/>
                      <w:kern w:val="0"/>
                      <w:sz w:val="24"/>
                      <w:szCs w:val="24"/>
                      <w:highlight w:val="none"/>
                      <w:lang w:val="en-US" w:eastAsia="zh-CN" w:bidi="ar"/>
                    </w:rPr>
                    <w:t>负责组织协调交通运力，做好应急救援物资的运输工作；为应急救援车辆提供绿色通道，免收车辆通行费。</w:t>
                  </w:r>
                </w:p>
              </w:tc>
            </w:tr>
            <w:tr>
              <w:tblPrEx>
                <w:tblCellMar>
                  <w:top w:w="0" w:type="dxa"/>
                  <w:left w:w="0" w:type="dxa"/>
                  <w:bottom w:w="0" w:type="dxa"/>
                  <w:right w:w="0" w:type="dxa"/>
                </w:tblCellMar>
              </w:tblPrEx>
              <w:trPr>
                <w:trHeight w:val="641" w:hRule="atLeast"/>
                <w:jc w:val="center"/>
              </w:trPr>
              <w:tc>
                <w:tcPr>
                  <w:tcW w:w="62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80" w:lineRule="exact"/>
                    <w:jc w:val="center"/>
                    <w:rPr>
                      <w:rFonts w:hint="eastAsia" w:ascii="仿宋_GB2312" w:hAnsi="仿宋_GB2312" w:eastAsia="仿宋_GB2312" w:cs="仿宋_GB2312"/>
                      <w:color w:val="auto"/>
                      <w:sz w:val="24"/>
                      <w:highlight w:val="none"/>
                    </w:rPr>
                  </w:pPr>
                </w:p>
              </w:tc>
              <w:tc>
                <w:tcPr>
                  <w:tcW w:w="27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80" w:lineRule="exact"/>
                    <w:jc w:val="center"/>
                    <w:textAlignment w:val="center"/>
                    <w:rPr>
                      <w:rFonts w:hint="default" w:ascii="仿宋_GB2312" w:hAnsi="仿宋_GB2312" w:eastAsia="仿宋_GB2312" w:cs="仿宋_GB2312"/>
                      <w:color w:val="auto"/>
                      <w:sz w:val="24"/>
                      <w:highlight w:val="none"/>
                      <w:lang w:val="en-US" w:eastAsia="zh-CN"/>
                    </w:rPr>
                  </w:pPr>
                  <w:r>
                    <w:rPr>
                      <w:rFonts w:hint="eastAsia" w:ascii="仿宋_GB2312" w:hAnsi="仿宋_GB2312" w:eastAsia="仿宋_GB2312" w:cs="仿宋_GB2312"/>
                      <w:color w:val="auto"/>
                      <w:kern w:val="0"/>
                      <w:sz w:val="24"/>
                      <w:highlight w:val="none"/>
                      <w:lang w:eastAsia="zh-CN" w:bidi="ar"/>
                    </w:rPr>
                    <w:t>县</w:t>
                  </w:r>
                  <w:r>
                    <w:rPr>
                      <w:rFonts w:hint="eastAsia" w:ascii="仿宋_GB2312" w:hAnsi="仿宋_GB2312" w:eastAsia="仿宋_GB2312" w:cs="仿宋_GB2312"/>
                      <w:color w:val="auto"/>
                      <w:kern w:val="0"/>
                      <w:sz w:val="24"/>
                      <w:highlight w:val="none"/>
                      <w:lang w:bidi="ar"/>
                    </w:rPr>
                    <w:t>卫</w:t>
                  </w:r>
                  <w:r>
                    <w:rPr>
                      <w:rFonts w:hint="eastAsia" w:ascii="仿宋_GB2312" w:hAnsi="仿宋_GB2312" w:eastAsia="仿宋_GB2312" w:cs="仿宋_GB2312"/>
                      <w:color w:val="auto"/>
                      <w:kern w:val="0"/>
                      <w:sz w:val="24"/>
                      <w:highlight w:val="none"/>
                      <w:lang w:val="en-US" w:eastAsia="zh-CN" w:bidi="ar"/>
                    </w:rPr>
                    <w:t>体局</w:t>
                  </w:r>
                </w:p>
              </w:tc>
              <w:tc>
                <w:tcPr>
                  <w:tcW w:w="984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ind w:firstLine="480" w:firstLineChars="200"/>
                    <w:rPr>
                      <w:rFonts w:hint="eastAsia" w:ascii="仿宋_GB2312" w:hAnsi="仿宋_GB2312" w:eastAsia="仿宋_GB2312" w:cs="仿宋_GB2312"/>
                      <w:kern w:val="0"/>
                      <w:sz w:val="24"/>
                      <w:szCs w:val="24"/>
                      <w:highlight w:val="none"/>
                      <w:lang w:val="en-US" w:eastAsia="zh-CN" w:bidi="ar"/>
                    </w:rPr>
                  </w:pPr>
                  <w:r>
                    <w:rPr>
                      <w:rFonts w:hint="eastAsia" w:ascii="仿宋_GB2312" w:hAnsi="仿宋_GB2312" w:eastAsia="仿宋_GB2312" w:cs="仿宋_GB2312"/>
                      <w:kern w:val="0"/>
                      <w:sz w:val="24"/>
                      <w:szCs w:val="24"/>
                      <w:highlight w:val="none"/>
                      <w:lang w:val="en-US" w:eastAsia="zh-CN" w:bidi="ar"/>
                    </w:rPr>
                    <w:t>负责组织开展事故伤病员救治和相关区域卫生学处理等紧急医学救援工作，为现场抢险救援人员提供必要的医疗卫生保障。</w:t>
                  </w:r>
                </w:p>
              </w:tc>
            </w:tr>
            <w:tr>
              <w:tblPrEx>
                <w:tblCellMar>
                  <w:top w:w="0" w:type="dxa"/>
                  <w:left w:w="0" w:type="dxa"/>
                  <w:bottom w:w="0" w:type="dxa"/>
                  <w:right w:w="0" w:type="dxa"/>
                </w:tblCellMar>
              </w:tblPrEx>
              <w:trPr>
                <w:trHeight w:val="1214" w:hRule="atLeast"/>
                <w:jc w:val="center"/>
              </w:trPr>
              <w:tc>
                <w:tcPr>
                  <w:tcW w:w="62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80" w:lineRule="exact"/>
                    <w:jc w:val="center"/>
                    <w:rPr>
                      <w:rFonts w:hint="eastAsia" w:ascii="仿宋_GB2312" w:hAnsi="仿宋_GB2312" w:eastAsia="仿宋_GB2312" w:cs="仿宋_GB2312"/>
                      <w:color w:val="auto"/>
                      <w:sz w:val="24"/>
                      <w:highlight w:val="none"/>
                    </w:rPr>
                  </w:pPr>
                </w:p>
              </w:tc>
              <w:tc>
                <w:tcPr>
                  <w:tcW w:w="27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80" w:lineRule="exact"/>
                    <w:jc w:val="center"/>
                    <w:textAlignment w:val="center"/>
                    <w:rPr>
                      <w:rFonts w:hint="eastAsia" w:ascii="仿宋_GB2312" w:hAnsi="仿宋_GB2312" w:eastAsia="仿宋_GB2312" w:cs="仿宋_GB2312"/>
                      <w:color w:val="auto"/>
                      <w:kern w:val="0"/>
                      <w:sz w:val="24"/>
                      <w:highlight w:val="none"/>
                      <w:lang w:eastAsia="zh-CN" w:bidi="ar"/>
                    </w:rPr>
                  </w:pPr>
                  <w:r>
                    <w:rPr>
                      <w:rFonts w:hint="eastAsia" w:ascii="仿宋_GB2312" w:hAnsi="仿宋_GB2312" w:eastAsia="仿宋_GB2312" w:cs="仿宋_GB2312"/>
                      <w:color w:val="auto"/>
                      <w:kern w:val="0"/>
                      <w:sz w:val="24"/>
                      <w:highlight w:val="none"/>
                      <w:lang w:eastAsia="zh-CN" w:bidi="ar"/>
                    </w:rPr>
                    <w:t>县应急管理局</w:t>
                  </w:r>
                </w:p>
              </w:tc>
              <w:tc>
                <w:tcPr>
                  <w:tcW w:w="984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ind w:firstLine="480" w:firstLineChars="200"/>
                    <w:rPr>
                      <w:rFonts w:hint="eastAsia" w:ascii="仿宋_GB2312" w:hAnsi="仿宋_GB2312" w:eastAsia="仿宋_GB2312" w:cs="仿宋_GB2312"/>
                      <w:kern w:val="0"/>
                      <w:sz w:val="24"/>
                      <w:szCs w:val="24"/>
                      <w:highlight w:val="none"/>
                      <w:lang w:val="en-US" w:eastAsia="zh-CN" w:bidi="ar"/>
                    </w:rPr>
                  </w:pPr>
                  <w:r>
                    <w:rPr>
                      <w:rFonts w:hint="eastAsia" w:ascii="仿宋_GB2312" w:hAnsi="仿宋_GB2312" w:eastAsia="仿宋_GB2312" w:cs="仿宋_GB2312"/>
                      <w:kern w:val="0"/>
                      <w:sz w:val="24"/>
                      <w:szCs w:val="24"/>
                      <w:highlight w:val="none"/>
                      <w:lang w:val="en-US" w:eastAsia="zh-CN" w:bidi="ar"/>
                    </w:rPr>
                    <w:t>承担指挥部办公室有关职责；负责组织协调有关部门做好非煤矿山生产安全事故应急处置的各项工作；开展非煤矿山生产安全事故预防和隐患排查治理工作；组织开展非煤矿山生产安全事故应急演练；负责非煤矿山生产安全事故应急救援队伍、装备和设施建设。</w:t>
                  </w:r>
                </w:p>
              </w:tc>
            </w:tr>
            <w:tr>
              <w:tblPrEx>
                <w:tblCellMar>
                  <w:top w:w="0" w:type="dxa"/>
                  <w:left w:w="0" w:type="dxa"/>
                  <w:bottom w:w="0" w:type="dxa"/>
                  <w:right w:w="0" w:type="dxa"/>
                </w:tblCellMar>
              </w:tblPrEx>
              <w:trPr>
                <w:trHeight w:val="626" w:hRule="atLeast"/>
                <w:jc w:val="center"/>
              </w:trPr>
              <w:tc>
                <w:tcPr>
                  <w:tcW w:w="62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80" w:lineRule="exact"/>
                    <w:jc w:val="center"/>
                    <w:textAlignment w:val="center"/>
                    <w:rPr>
                      <w:rFonts w:hint="eastAsia" w:ascii="仿宋_GB2312" w:hAnsi="仿宋_GB2312" w:eastAsia="仿宋_GB2312" w:cs="仿宋_GB2312"/>
                      <w:color w:val="auto"/>
                      <w:sz w:val="24"/>
                      <w:highlight w:val="none"/>
                    </w:rPr>
                  </w:pPr>
                </w:p>
              </w:tc>
              <w:tc>
                <w:tcPr>
                  <w:tcW w:w="27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80" w:lineRule="exact"/>
                    <w:jc w:val="center"/>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highlight w:val="none"/>
                      <w:lang w:eastAsia="zh-CN" w:bidi="ar"/>
                    </w:rPr>
                    <w:t>县</w:t>
                  </w:r>
                  <w:r>
                    <w:rPr>
                      <w:rFonts w:hint="eastAsia" w:ascii="仿宋_GB2312" w:hAnsi="仿宋_GB2312" w:eastAsia="仿宋_GB2312" w:cs="仿宋_GB2312"/>
                      <w:color w:val="auto"/>
                      <w:kern w:val="0"/>
                      <w:sz w:val="24"/>
                      <w:highlight w:val="none"/>
                      <w:lang w:val="en-US" w:eastAsia="zh-CN" w:bidi="ar"/>
                    </w:rPr>
                    <w:t>市</w:t>
                  </w:r>
                  <w:r>
                    <w:rPr>
                      <w:rFonts w:hint="eastAsia" w:ascii="仿宋_GB2312" w:hAnsi="仿宋_GB2312" w:eastAsia="仿宋_GB2312" w:cs="仿宋_GB2312"/>
                      <w:color w:val="auto"/>
                      <w:kern w:val="0"/>
                      <w:sz w:val="24"/>
                      <w:highlight w:val="none"/>
                      <w:lang w:bidi="ar"/>
                    </w:rPr>
                    <w:t>场监管局</w:t>
                  </w:r>
                </w:p>
              </w:tc>
              <w:tc>
                <w:tcPr>
                  <w:tcW w:w="984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ind w:firstLine="480" w:firstLineChars="200"/>
                    <w:textAlignment w:val="center"/>
                    <w:rPr>
                      <w:rFonts w:hint="eastAsia" w:ascii="仿宋_GB2312" w:hAnsi="仿宋_GB2312" w:eastAsia="仿宋_GB2312" w:cs="仿宋_GB2312"/>
                      <w:kern w:val="0"/>
                      <w:sz w:val="24"/>
                      <w:szCs w:val="24"/>
                      <w:highlight w:val="none"/>
                      <w:lang w:val="en-US" w:eastAsia="zh-CN" w:bidi="ar"/>
                    </w:rPr>
                  </w:pPr>
                  <w:r>
                    <w:rPr>
                      <w:rFonts w:hint="eastAsia" w:ascii="仿宋_GB2312" w:hAnsi="仿宋_GB2312" w:eastAsia="仿宋_GB2312" w:cs="仿宋_GB2312"/>
                      <w:kern w:val="0"/>
                      <w:sz w:val="24"/>
                      <w:szCs w:val="24"/>
                      <w:highlight w:val="none"/>
                      <w:lang w:val="en-US" w:eastAsia="zh-CN" w:bidi="ar"/>
                    </w:rPr>
                    <w:t>负责参加非煤矿山企业井上特种设备事故应急抢险和井上特种设备事故调查工作。</w:t>
                  </w:r>
                </w:p>
              </w:tc>
            </w:tr>
            <w:tr>
              <w:tblPrEx>
                <w:tblCellMar>
                  <w:top w:w="0" w:type="dxa"/>
                  <w:left w:w="0" w:type="dxa"/>
                  <w:bottom w:w="0" w:type="dxa"/>
                  <w:right w:w="0" w:type="dxa"/>
                </w:tblCellMar>
              </w:tblPrEx>
              <w:trPr>
                <w:trHeight w:val="332" w:hRule="atLeast"/>
                <w:jc w:val="center"/>
              </w:trPr>
              <w:tc>
                <w:tcPr>
                  <w:tcW w:w="62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80" w:lineRule="exact"/>
                    <w:jc w:val="center"/>
                    <w:rPr>
                      <w:rFonts w:hint="eastAsia" w:ascii="仿宋_GB2312" w:hAnsi="仿宋_GB2312" w:eastAsia="仿宋_GB2312" w:cs="仿宋_GB2312"/>
                      <w:color w:val="auto"/>
                      <w:sz w:val="24"/>
                      <w:highlight w:val="none"/>
                    </w:rPr>
                  </w:pPr>
                </w:p>
              </w:tc>
              <w:tc>
                <w:tcPr>
                  <w:tcW w:w="27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80" w:lineRule="exact"/>
                    <w:jc w:val="center"/>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highlight w:val="none"/>
                      <w:lang w:eastAsia="zh-CN" w:bidi="ar"/>
                    </w:rPr>
                    <w:t>县</w:t>
                  </w:r>
                  <w:r>
                    <w:rPr>
                      <w:rFonts w:hint="eastAsia" w:ascii="仿宋_GB2312" w:hAnsi="仿宋_GB2312" w:eastAsia="仿宋_GB2312" w:cs="仿宋_GB2312"/>
                      <w:color w:val="auto"/>
                      <w:kern w:val="0"/>
                      <w:sz w:val="24"/>
                      <w:highlight w:val="none"/>
                      <w:lang w:bidi="ar"/>
                    </w:rPr>
                    <w:t>能源局</w:t>
                  </w:r>
                </w:p>
              </w:tc>
              <w:tc>
                <w:tcPr>
                  <w:tcW w:w="984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ind w:firstLine="480" w:firstLineChars="200"/>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负责协调电力企业对非煤矿山生产安全事故应急救援的电力保障工作。</w:t>
                  </w:r>
                </w:p>
              </w:tc>
            </w:tr>
            <w:tr>
              <w:tblPrEx>
                <w:tblCellMar>
                  <w:top w:w="0" w:type="dxa"/>
                  <w:left w:w="0" w:type="dxa"/>
                  <w:bottom w:w="0" w:type="dxa"/>
                  <w:right w:w="0" w:type="dxa"/>
                </w:tblCellMar>
              </w:tblPrEx>
              <w:trPr>
                <w:trHeight w:val="756" w:hRule="atLeast"/>
                <w:jc w:val="center"/>
              </w:trPr>
              <w:tc>
                <w:tcPr>
                  <w:tcW w:w="62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80" w:lineRule="exact"/>
                    <w:jc w:val="center"/>
                    <w:rPr>
                      <w:rFonts w:hint="eastAsia" w:ascii="仿宋_GB2312" w:hAnsi="仿宋_GB2312" w:eastAsia="仿宋_GB2312" w:cs="仿宋_GB2312"/>
                      <w:color w:val="auto"/>
                      <w:sz w:val="24"/>
                      <w:highlight w:val="none"/>
                    </w:rPr>
                  </w:pPr>
                </w:p>
              </w:tc>
              <w:tc>
                <w:tcPr>
                  <w:tcW w:w="27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80" w:lineRule="exact"/>
                    <w:jc w:val="center"/>
                    <w:textAlignment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0"/>
                      <w:sz w:val="24"/>
                      <w:highlight w:val="none"/>
                      <w:lang w:eastAsia="zh-CN" w:bidi="ar"/>
                    </w:rPr>
                    <w:t>县</w:t>
                  </w:r>
                  <w:r>
                    <w:rPr>
                      <w:rFonts w:hint="eastAsia" w:ascii="仿宋_GB2312" w:hAnsi="仿宋_GB2312" w:eastAsia="仿宋_GB2312" w:cs="仿宋_GB2312"/>
                      <w:color w:val="auto"/>
                      <w:kern w:val="0"/>
                      <w:sz w:val="24"/>
                      <w:highlight w:val="none"/>
                      <w:lang w:bidi="ar"/>
                    </w:rPr>
                    <w:t>气象局</w:t>
                  </w:r>
                </w:p>
              </w:tc>
              <w:tc>
                <w:tcPr>
                  <w:tcW w:w="984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00" w:lineRule="exact"/>
                    <w:ind w:firstLine="480" w:firstLineChars="200"/>
                    <w:textAlignment w:val="center"/>
                    <w:rPr>
                      <w:rFonts w:hint="eastAsia" w:ascii="仿宋_GB2312" w:hAnsi="仿宋_GB2312" w:eastAsia="仿宋_GB2312" w:cs="仿宋_GB2312"/>
                      <w:kern w:val="0"/>
                      <w:sz w:val="24"/>
                      <w:szCs w:val="24"/>
                      <w:highlight w:val="none"/>
                      <w:lang w:val="en-US" w:eastAsia="zh-CN" w:bidi="ar"/>
                    </w:rPr>
                  </w:pPr>
                  <w:r>
                    <w:rPr>
                      <w:rFonts w:hint="eastAsia" w:ascii="仿宋_GB2312" w:hAnsi="仿宋_GB2312" w:eastAsia="仿宋_GB2312" w:cs="仿宋_GB2312"/>
                      <w:kern w:val="0"/>
                      <w:sz w:val="24"/>
                      <w:szCs w:val="24"/>
                      <w:highlight w:val="none"/>
                      <w:lang w:val="en-US" w:eastAsia="zh-CN" w:bidi="ar"/>
                    </w:rPr>
                    <w:t>负责定时向县指挥部提供短期和中、长期气象预报、预测；及时向现场指挥部提供天气形势分析数据，为应急指挥提供辅助决策支持。</w:t>
                  </w:r>
                </w:p>
              </w:tc>
            </w:tr>
            <w:tr>
              <w:tblPrEx>
                <w:tblCellMar>
                  <w:top w:w="0" w:type="dxa"/>
                  <w:left w:w="0" w:type="dxa"/>
                  <w:bottom w:w="0" w:type="dxa"/>
                  <w:right w:w="0" w:type="dxa"/>
                </w:tblCellMar>
              </w:tblPrEx>
              <w:trPr>
                <w:trHeight w:val="90" w:hRule="atLeast"/>
                <w:jc w:val="center"/>
              </w:trPr>
              <w:tc>
                <w:tcPr>
                  <w:tcW w:w="62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80" w:lineRule="exact"/>
                    <w:jc w:val="center"/>
                    <w:rPr>
                      <w:rFonts w:hint="eastAsia" w:ascii="仿宋_GB2312" w:hAnsi="仿宋_GB2312" w:eastAsia="仿宋_GB2312" w:cs="仿宋_GB2312"/>
                      <w:color w:val="auto"/>
                      <w:sz w:val="24"/>
                      <w:highlight w:val="none"/>
                    </w:rPr>
                  </w:pPr>
                </w:p>
              </w:tc>
              <w:tc>
                <w:tcPr>
                  <w:tcW w:w="27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80" w:lineRule="exact"/>
                    <w:jc w:val="center"/>
                    <w:textAlignment w:val="center"/>
                    <w:rPr>
                      <w:rFonts w:hint="default"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0"/>
                      <w:sz w:val="24"/>
                      <w:highlight w:val="none"/>
                      <w:lang w:val="en-US" w:eastAsia="zh-CN" w:bidi="ar"/>
                    </w:rPr>
                    <w:t>县</w:t>
                  </w:r>
                  <w:r>
                    <w:rPr>
                      <w:rFonts w:hint="eastAsia" w:ascii="仿宋_GB2312" w:hAnsi="仿宋_GB2312" w:eastAsia="仿宋_GB2312" w:cs="仿宋_GB2312"/>
                      <w:color w:val="auto"/>
                      <w:kern w:val="0"/>
                      <w:sz w:val="24"/>
                      <w:highlight w:val="none"/>
                      <w:lang w:bidi="ar"/>
                    </w:rPr>
                    <w:t>武警</w:t>
                  </w:r>
                  <w:r>
                    <w:rPr>
                      <w:rFonts w:hint="eastAsia" w:ascii="仿宋_GB2312" w:hAnsi="仿宋_GB2312" w:eastAsia="仿宋_GB2312" w:cs="仿宋_GB2312"/>
                      <w:color w:val="auto"/>
                      <w:kern w:val="0"/>
                      <w:sz w:val="24"/>
                      <w:highlight w:val="none"/>
                      <w:lang w:val="en-US" w:eastAsia="zh-CN" w:bidi="ar"/>
                    </w:rPr>
                    <w:t>中</w:t>
                  </w:r>
                  <w:r>
                    <w:rPr>
                      <w:rFonts w:hint="eastAsia" w:ascii="仿宋_GB2312" w:hAnsi="仿宋_GB2312" w:eastAsia="仿宋_GB2312" w:cs="仿宋_GB2312"/>
                      <w:color w:val="auto"/>
                      <w:kern w:val="0"/>
                      <w:sz w:val="24"/>
                      <w:highlight w:val="none"/>
                      <w:lang w:bidi="ar"/>
                    </w:rPr>
                    <w:t>队</w:t>
                  </w:r>
                </w:p>
              </w:tc>
              <w:tc>
                <w:tcPr>
                  <w:tcW w:w="984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ind w:firstLine="480" w:firstLineChars="200"/>
                    <w:rPr>
                      <w:rFonts w:hint="default" w:ascii="仿宋_GB2312" w:hAnsi="仿宋_GB2312" w:eastAsia="仿宋_GB2312" w:cs="仿宋_GB2312"/>
                      <w:kern w:val="0"/>
                      <w:sz w:val="24"/>
                      <w:szCs w:val="24"/>
                      <w:highlight w:val="none"/>
                      <w:lang w:val="en-US" w:eastAsia="zh-CN" w:bidi="ar"/>
                    </w:rPr>
                  </w:pPr>
                  <w:r>
                    <w:rPr>
                      <w:rFonts w:hint="eastAsia" w:ascii="仿宋_GB2312" w:hAnsi="仿宋_GB2312" w:eastAsia="仿宋_GB2312" w:cs="仿宋_GB2312"/>
                      <w:kern w:val="0"/>
                      <w:sz w:val="24"/>
                      <w:szCs w:val="24"/>
                      <w:highlight w:val="none"/>
                      <w:lang w:val="en-US" w:eastAsia="zh-CN" w:bidi="ar"/>
                    </w:rPr>
                    <w:t>组织所属部队参与非煤矿山生产安全事故抢险救援工作。</w:t>
                  </w:r>
                </w:p>
              </w:tc>
            </w:tr>
            <w:tr>
              <w:tblPrEx>
                <w:tblCellMar>
                  <w:top w:w="0" w:type="dxa"/>
                  <w:left w:w="0" w:type="dxa"/>
                  <w:bottom w:w="0" w:type="dxa"/>
                  <w:right w:w="0" w:type="dxa"/>
                </w:tblCellMar>
              </w:tblPrEx>
              <w:trPr>
                <w:trHeight w:val="525" w:hRule="atLeast"/>
                <w:jc w:val="center"/>
              </w:trPr>
              <w:tc>
                <w:tcPr>
                  <w:tcW w:w="62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80" w:lineRule="exact"/>
                    <w:jc w:val="center"/>
                    <w:rPr>
                      <w:rFonts w:hint="eastAsia" w:ascii="仿宋_GB2312" w:hAnsi="仿宋_GB2312" w:eastAsia="仿宋_GB2312" w:cs="仿宋_GB2312"/>
                      <w:color w:val="auto"/>
                      <w:sz w:val="24"/>
                      <w:highlight w:val="none"/>
                    </w:rPr>
                  </w:pPr>
                </w:p>
              </w:tc>
              <w:tc>
                <w:tcPr>
                  <w:tcW w:w="27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80" w:lineRule="exact"/>
                    <w:jc w:val="center"/>
                    <w:textAlignment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0"/>
                      <w:sz w:val="24"/>
                      <w:highlight w:val="none"/>
                      <w:lang w:eastAsia="zh-CN" w:bidi="ar"/>
                    </w:rPr>
                    <w:t>县</w:t>
                  </w:r>
                  <w:r>
                    <w:rPr>
                      <w:rFonts w:hint="eastAsia" w:ascii="仿宋_GB2312" w:hAnsi="仿宋_GB2312" w:eastAsia="仿宋_GB2312" w:cs="仿宋_GB2312"/>
                      <w:color w:val="auto"/>
                      <w:kern w:val="0"/>
                      <w:sz w:val="24"/>
                      <w:highlight w:val="none"/>
                      <w:lang w:bidi="ar"/>
                    </w:rPr>
                    <w:t>消防救援</w:t>
                  </w:r>
                  <w:r>
                    <w:rPr>
                      <w:rFonts w:hint="eastAsia" w:ascii="仿宋_GB2312" w:hAnsi="仿宋_GB2312" w:eastAsia="仿宋_GB2312" w:cs="仿宋_GB2312"/>
                      <w:color w:val="auto"/>
                      <w:kern w:val="0"/>
                      <w:sz w:val="24"/>
                      <w:highlight w:val="none"/>
                      <w:lang w:val="en-US" w:eastAsia="zh-CN" w:bidi="ar"/>
                    </w:rPr>
                    <w:t>大</w:t>
                  </w:r>
                  <w:r>
                    <w:rPr>
                      <w:rFonts w:hint="eastAsia" w:ascii="仿宋_GB2312" w:hAnsi="仿宋_GB2312" w:eastAsia="仿宋_GB2312" w:cs="仿宋_GB2312"/>
                      <w:color w:val="auto"/>
                      <w:kern w:val="0"/>
                      <w:sz w:val="24"/>
                      <w:highlight w:val="none"/>
                      <w:lang w:bidi="ar"/>
                    </w:rPr>
                    <w:t>队</w:t>
                  </w:r>
                </w:p>
              </w:tc>
              <w:tc>
                <w:tcPr>
                  <w:tcW w:w="984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00" w:lineRule="exact"/>
                    <w:ind w:firstLine="480" w:firstLineChars="200"/>
                    <w:textAlignment w:val="center"/>
                    <w:rPr>
                      <w:rFonts w:hint="eastAsia" w:ascii="仿宋_GB2312" w:hAnsi="仿宋_GB2312" w:eastAsia="仿宋_GB2312" w:cs="仿宋_GB2312"/>
                      <w:kern w:val="0"/>
                      <w:sz w:val="24"/>
                      <w:szCs w:val="24"/>
                      <w:highlight w:val="none"/>
                      <w:lang w:val="en-US" w:eastAsia="zh-CN" w:bidi="ar"/>
                    </w:rPr>
                  </w:pPr>
                  <w:r>
                    <w:rPr>
                      <w:rFonts w:hint="eastAsia" w:ascii="仿宋_GB2312" w:hAnsi="仿宋_GB2312" w:eastAsia="仿宋_GB2312" w:cs="仿宋_GB2312"/>
                      <w:kern w:val="0"/>
                      <w:sz w:val="24"/>
                      <w:szCs w:val="24"/>
                      <w:highlight w:val="none"/>
                      <w:lang w:val="en-US" w:eastAsia="zh-CN" w:bidi="ar"/>
                    </w:rPr>
                    <w:t>负责生产安全事故现场以抢救人员生命为主的应急救援工作。</w:t>
                  </w:r>
                </w:p>
              </w:tc>
            </w:tr>
            <w:tr>
              <w:tblPrEx>
                <w:tblCellMar>
                  <w:top w:w="0" w:type="dxa"/>
                  <w:left w:w="0" w:type="dxa"/>
                  <w:bottom w:w="0" w:type="dxa"/>
                  <w:right w:w="0" w:type="dxa"/>
                </w:tblCellMar>
              </w:tblPrEx>
              <w:trPr>
                <w:trHeight w:val="525" w:hRule="atLeast"/>
                <w:jc w:val="center"/>
              </w:trPr>
              <w:tc>
                <w:tcPr>
                  <w:tcW w:w="62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80" w:lineRule="exact"/>
                    <w:jc w:val="center"/>
                    <w:rPr>
                      <w:rFonts w:hint="eastAsia" w:ascii="仿宋_GB2312" w:hAnsi="仿宋_GB2312" w:eastAsia="仿宋_GB2312" w:cs="仿宋_GB2312"/>
                      <w:color w:val="auto"/>
                      <w:sz w:val="24"/>
                      <w:highlight w:val="none"/>
                    </w:rPr>
                  </w:pPr>
                </w:p>
              </w:tc>
              <w:tc>
                <w:tcPr>
                  <w:tcW w:w="27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00" w:lineRule="exact"/>
                    <w:jc w:val="center"/>
                    <w:textAlignment w:val="center"/>
                    <w:rPr>
                      <w:rFonts w:hint="eastAsia" w:ascii="仿宋_GB2312" w:hAnsi="仿宋_GB2312" w:eastAsia="仿宋_GB2312" w:cs="仿宋_GB2312"/>
                      <w:color w:val="auto"/>
                      <w:spacing w:val="3"/>
                      <w:sz w:val="24"/>
                      <w:szCs w:val="24"/>
                    </w:rPr>
                  </w:pPr>
                  <w:r>
                    <w:rPr>
                      <w:rFonts w:hint="eastAsia" w:ascii="仿宋_GB2312" w:hAnsi="仿宋_GB2312" w:eastAsia="仿宋_GB2312" w:cs="仿宋_GB2312"/>
                      <w:color w:val="auto"/>
                      <w:spacing w:val="3"/>
                      <w:sz w:val="24"/>
                      <w:szCs w:val="24"/>
                    </w:rPr>
                    <w:t>中国移动</w:t>
                  </w:r>
                  <w:r>
                    <w:rPr>
                      <w:rFonts w:hint="eastAsia" w:ascii="仿宋_GB2312" w:hAnsi="仿宋_GB2312" w:eastAsia="仿宋_GB2312" w:cs="仿宋_GB2312"/>
                      <w:color w:val="auto"/>
                      <w:spacing w:val="3"/>
                      <w:sz w:val="24"/>
                      <w:szCs w:val="24"/>
                      <w:lang w:eastAsia="zh-CN"/>
                    </w:rPr>
                    <w:t>、</w:t>
                  </w:r>
                  <w:r>
                    <w:rPr>
                      <w:rFonts w:hint="eastAsia" w:ascii="仿宋_GB2312" w:hAnsi="仿宋_GB2312" w:eastAsia="仿宋_GB2312" w:cs="仿宋_GB2312"/>
                      <w:color w:val="auto"/>
                      <w:spacing w:val="1"/>
                      <w:sz w:val="24"/>
                      <w:szCs w:val="24"/>
                    </w:rPr>
                    <w:t>联通</w:t>
                  </w:r>
                  <w:r>
                    <w:rPr>
                      <w:rFonts w:hint="eastAsia" w:ascii="仿宋_GB2312" w:hAnsi="仿宋_GB2312" w:eastAsia="仿宋_GB2312" w:cs="仿宋_GB2312"/>
                      <w:color w:val="auto"/>
                      <w:spacing w:val="1"/>
                      <w:sz w:val="24"/>
                      <w:szCs w:val="24"/>
                      <w:lang w:eastAsia="zh-CN"/>
                    </w:rPr>
                    <w:t>、</w:t>
                  </w:r>
                  <w:r>
                    <w:rPr>
                      <w:rFonts w:hint="eastAsia" w:ascii="仿宋_GB2312" w:hAnsi="仿宋_GB2312" w:eastAsia="仿宋_GB2312" w:cs="仿宋_GB2312"/>
                      <w:color w:val="auto"/>
                      <w:spacing w:val="3"/>
                      <w:sz w:val="24"/>
                      <w:szCs w:val="24"/>
                    </w:rPr>
                    <w:t>电信</w:t>
                  </w:r>
                </w:p>
                <w:p>
                  <w:pPr>
                    <w:widowControl/>
                    <w:spacing w:line="480" w:lineRule="exact"/>
                    <w:jc w:val="center"/>
                    <w:textAlignment w:val="center"/>
                    <w:rPr>
                      <w:rFonts w:hint="eastAsia" w:ascii="仿宋_GB2312" w:hAnsi="仿宋_GB2312" w:eastAsia="仿宋_GB2312" w:cs="仿宋_GB2312"/>
                      <w:color w:val="auto"/>
                      <w:kern w:val="0"/>
                      <w:sz w:val="24"/>
                      <w:highlight w:val="none"/>
                      <w:lang w:eastAsia="zh-CN" w:bidi="ar"/>
                    </w:rPr>
                  </w:pPr>
                  <w:r>
                    <w:rPr>
                      <w:rFonts w:hint="eastAsia" w:ascii="仿宋_GB2312" w:hAnsi="仿宋_GB2312" w:eastAsia="仿宋_GB2312" w:cs="仿宋_GB2312"/>
                      <w:color w:val="auto"/>
                      <w:spacing w:val="5"/>
                      <w:sz w:val="24"/>
                      <w:szCs w:val="24"/>
                      <w:lang w:val="en-US" w:eastAsia="zh-CN"/>
                    </w:rPr>
                    <w:t>曲沃</w:t>
                  </w:r>
                  <w:r>
                    <w:rPr>
                      <w:rFonts w:hint="eastAsia" w:ascii="仿宋_GB2312" w:hAnsi="仿宋_GB2312" w:eastAsia="仿宋_GB2312" w:cs="仿宋_GB2312"/>
                      <w:color w:val="auto"/>
                      <w:spacing w:val="5"/>
                      <w:sz w:val="24"/>
                      <w:szCs w:val="24"/>
                    </w:rPr>
                    <w:t>分公司</w:t>
                  </w:r>
                </w:p>
              </w:tc>
              <w:tc>
                <w:tcPr>
                  <w:tcW w:w="984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spacing w:line="400" w:lineRule="exact"/>
                    <w:ind w:firstLine="480" w:firstLineChars="200"/>
                    <w:textAlignment w:val="center"/>
                    <w:rPr>
                      <w:rFonts w:hint="eastAsia" w:ascii="仿宋_GB2312" w:hAnsi="仿宋_GB2312" w:eastAsia="仿宋_GB2312" w:cs="仿宋_GB2312"/>
                      <w:kern w:val="0"/>
                      <w:sz w:val="24"/>
                      <w:szCs w:val="24"/>
                      <w:highlight w:val="none"/>
                      <w:lang w:val="en-US" w:eastAsia="zh-CN" w:bidi="ar"/>
                    </w:rPr>
                  </w:pPr>
                  <w:r>
                    <w:rPr>
                      <w:rFonts w:hint="eastAsia" w:ascii="仿宋_GB2312" w:hAnsi="仿宋_GB2312" w:eastAsia="仿宋_GB2312" w:cs="仿宋_GB2312"/>
                      <w:kern w:val="0"/>
                      <w:sz w:val="24"/>
                      <w:szCs w:val="24"/>
                      <w:highlight w:val="none"/>
                      <w:lang w:val="en-US" w:eastAsia="zh-CN" w:bidi="ar"/>
                    </w:rPr>
                    <w:t>负责做好应急通信保障工作，保障通信指挥畅通。</w:t>
                  </w:r>
                </w:p>
              </w:tc>
            </w:tr>
          </w:tbl>
          <w:p>
            <w:pPr>
              <w:widowControl/>
              <w:spacing w:line="400" w:lineRule="exact"/>
              <w:ind w:firstLine="480" w:firstLineChars="200"/>
              <w:textAlignment w:val="center"/>
              <w:rPr>
                <w:rFonts w:hint="eastAsia" w:ascii="黑体" w:hAnsi="黑体" w:eastAsia="黑体" w:cs="黑体"/>
                <w:color w:val="auto"/>
                <w:sz w:val="32"/>
                <w:szCs w:val="32"/>
                <w:highlight w:val="none"/>
              </w:rPr>
            </w:pPr>
            <w:r>
              <w:rPr>
                <w:rFonts w:hint="eastAsia" w:ascii="仿宋_GB2312" w:hAnsi="仿宋_GB2312" w:eastAsia="仿宋_GB2312" w:cs="仿宋_GB2312"/>
                <w:kern w:val="0"/>
                <w:sz w:val="24"/>
                <w:szCs w:val="24"/>
                <w:highlight w:val="none"/>
                <w:lang w:val="en-US" w:eastAsia="zh-CN" w:bidi="ar"/>
              </w:rPr>
              <w:t>注：指挥部各成员单位要完成指挥部交付的其他任务。</w:t>
            </w:r>
          </w:p>
          <w:p>
            <w:pPr>
              <w:pStyle w:val="7"/>
              <w:ind w:left="0" w:leftChars="0" w:firstLine="0" w:firstLineChars="0"/>
              <w:rPr>
                <w:rFonts w:hint="eastAsia"/>
                <w:color w:val="auto"/>
                <w:highlight w:val="none"/>
                <w:lang w:bidi="ar"/>
              </w:rPr>
            </w:pPr>
          </w:p>
        </w:tc>
      </w:tr>
    </w:tbl>
    <w:p>
      <w:pPr>
        <w:pStyle w:val="7"/>
        <w:ind w:left="0" w:leftChars="0" w:firstLine="0" w:firstLineChars="0"/>
        <w:rPr>
          <w:rFonts w:hint="eastAsia"/>
        </w:rPr>
      </w:pPr>
    </w:p>
    <w:p>
      <w:pPr>
        <w:pStyle w:val="4"/>
        <w:rPr>
          <w:rFonts w:hint="eastAsia"/>
        </w:rPr>
      </w:pP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7F3274"/>
    <w:rsid w:val="6E7F3274"/>
    <w:rsid w:val="CFFF6B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 w:type="paragraph" w:styleId="3">
    <w:name w:val="footer"/>
    <w:basedOn w:val="1"/>
    <w:unhideWhenUsed/>
    <w:qFormat/>
    <w:uiPriority w:val="0"/>
    <w:pPr>
      <w:tabs>
        <w:tab w:val="center" w:pos="4153"/>
        <w:tab w:val="right" w:pos="8306"/>
      </w:tabs>
      <w:snapToGrid w:val="0"/>
      <w:jc w:val="left"/>
    </w:pPr>
    <w:rPr>
      <w:rFonts w:ascii="Calibri" w:hAnsi="Calibri"/>
      <w:sz w:val="18"/>
      <w:szCs w:val="18"/>
    </w:rPr>
  </w:style>
  <w:style w:type="paragraph" w:styleId="4">
    <w:name w:val="Normal (Web)"/>
    <w:basedOn w:val="1"/>
    <w:next w:val="1"/>
    <w:qFormat/>
    <w:uiPriority w:val="0"/>
    <w:pPr>
      <w:spacing w:beforeAutospacing="1" w:afterAutospacing="1"/>
      <w:jc w:val="left"/>
    </w:pPr>
    <w:rPr>
      <w:rFonts w:cs="Times New Roman"/>
      <w:kern w:val="0"/>
      <w:sz w:val="24"/>
    </w:rPr>
  </w:style>
  <w:style w:type="paragraph" w:customStyle="1" w:styleId="7">
    <w:name w:val="正文首行缩进 21"/>
    <w:basedOn w:val="8"/>
    <w:next w:val="4"/>
    <w:qFormat/>
    <w:uiPriority w:val="0"/>
    <w:pPr>
      <w:widowControl/>
      <w:ind w:firstLine="200" w:firstLineChars="200"/>
      <w:jc w:val="left"/>
    </w:pPr>
    <w:rPr>
      <w:rFonts w:ascii="Calibri" w:hAnsi="Calibri" w:eastAsia="仿宋_GB2312" w:cs="Calibri"/>
      <w:kern w:val="0"/>
      <w:sz w:val="24"/>
      <w:szCs w:val="24"/>
    </w:rPr>
  </w:style>
  <w:style w:type="paragraph" w:customStyle="1" w:styleId="8">
    <w:name w:val="正文文本缩进1"/>
    <w:basedOn w:val="1"/>
    <w:qFormat/>
    <w:uiPriority w:val="0"/>
    <w:pPr>
      <w:ind w:left="200" w:leftChars="200"/>
    </w:pPr>
    <w:rPr>
      <w:rFonts w:ascii="Calibri" w:hAnsi="Calibri" w:eastAsia="宋体"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2022-01-18T23:24:00Z</dcterms:created>
  <dc:creator>baixin</dc:creator>
  <cp:lastModifiedBy>baixin</cp:lastModifiedBy>
  <dcterms:modified xsi:type="dcterms:W3CDTF">2023-05-30T17:51:42Z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