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bidi w:val="0"/>
        <w:spacing w:line="630" w:lineRule="exact"/>
        <w:ind w:firstLine="0" w:firstLineChars="0"/>
        <w:jc w:val="left"/>
        <w:textAlignment w:val="auto"/>
        <w:rPr>
          <w:rFonts w:ascii="黑体" w:eastAsia="黑体" w:cs="黑体" w:hAnsiTheme="minorHAnsi"/>
          <w:kern w:val="0"/>
          <w:sz w:val="32"/>
          <w:szCs w:val="32"/>
        </w:rPr>
      </w:pPr>
      <w:r>
        <w:rPr>
          <w:rFonts w:hint="eastAsia" w:ascii="黑体" w:eastAsia="黑体" w:cs="黑体" w:hAnsiTheme="minorHAnsi"/>
          <w:kern w:val="0"/>
          <w:sz w:val="32"/>
          <w:szCs w:val="32"/>
        </w:rPr>
        <w:t>附件</w:t>
      </w:r>
      <w:r>
        <w:rPr>
          <w:rFonts w:ascii="黑体" w:eastAsia="黑体" w:cs="黑体" w:hAnsiTheme="minorHAnsi"/>
          <w:kern w:val="0"/>
          <w:sz w:val="32"/>
          <w:szCs w:val="32"/>
        </w:rPr>
        <w:t>2</w:t>
      </w:r>
    </w:p>
    <w:p>
      <w:pPr>
        <w:keepNext w:val="0"/>
        <w:keepLines w:val="0"/>
        <w:pageBreakBefore w:val="0"/>
        <w:widowControl w:val="0"/>
        <w:kinsoku/>
        <w:wordWrap/>
        <w:overflowPunct w:val="0"/>
        <w:topLinePunct w:val="0"/>
        <w:autoSpaceDE w:val="0"/>
        <w:autoSpaceDN w:val="0"/>
        <w:bidi w:val="0"/>
        <w:adjustRightInd w:val="0"/>
        <w:snapToGrid w:val="0"/>
        <w:spacing w:after="219" w:afterLines="50" w:line="630" w:lineRule="exact"/>
        <w:ind w:firstLine="440" w:firstLineChars="100"/>
        <w:jc w:val="center"/>
        <w:textAlignment w:val="auto"/>
        <w:rPr>
          <w:rFonts w:hint="eastAsia" w:ascii="方正小标宋简体" w:hAnsi="方正小标宋简体" w:eastAsia="方正小标宋简体" w:cs="方正小标宋简体"/>
          <w:kern w:val="0"/>
          <w:sz w:val="44"/>
          <w:szCs w:val="44"/>
        </w:rPr>
      </w:pPr>
      <w:bookmarkStart w:id="0" w:name="_GoBack"/>
      <w:r>
        <w:rPr>
          <w:rFonts w:hint="eastAsia" w:ascii="方正小标宋简体" w:hAnsi="方正小标宋简体" w:eastAsia="方正小标宋简体" w:cs="方正小标宋简体"/>
          <w:kern w:val="0"/>
          <w:sz w:val="44"/>
          <w:szCs w:val="44"/>
        </w:rPr>
        <w:t>曲沃县</w:t>
      </w:r>
      <w:r>
        <w:rPr>
          <w:rFonts w:hint="eastAsia" w:ascii="方正小标宋简体" w:hAnsi="方正小标宋简体" w:eastAsia="方正小标宋简体" w:cs="方正小标宋简体"/>
          <w:kern w:val="0"/>
          <w:sz w:val="44"/>
          <w:szCs w:val="44"/>
          <w:lang w:val="en-US" w:eastAsia="zh-CN"/>
        </w:rPr>
        <w:t>省级</w:t>
      </w:r>
      <w:r>
        <w:rPr>
          <w:rFonts w:hint="eastAsia" w:ascii="方正小标宋简体" w:hAnsi="方正小标宋简体" w:eastAsia="方正小标宋简体" w:cs="方正小标宋简体"/>
          <w:kern w:val="0"/>
          <w:sz w:val="44"/>
          <w:szCs w:val="44"/>
        </w:rPr>
        <w:t>城乡交通运输一体化示范县创建工程项目投入资金来源及任务分解明细表</w:t>
      </w:r>
    </w:p>
    <w:bookmarkEnd w:id="0"/>
    <w:tbl>
      <w:tblPr>
        <w:tblStyle w:val="5"/>
        <w:tblW w:w="4957" w:type="pct"/>
        <w:tblInd w:w="0" w:type="dxa"/>
        <w:tblLayout w:type="fixed"/>
        <w:tblCellMar>
          <w:top w:w="0" w:type="dxa"/>
          <w:left w:w="108" w:type="dxa"/>
          <w:bottom w:w="0" w:type="dxa"/>
          <w:right w:w="108" w:type="dxa"/>
        </w:tblCellMar>
      </w:tblPr>
      <w:tblGrid>
        <w:gridCol w:w="428"/>
        <w:gridCol w:w="617"/>
        <w:gridCol w:w="510"/>
        <w:gridCol w:w="814"/>
        <w:gridCol w:w="2295"/>
        <w:gridCol w:w="670"/>
        <w:gridCol w:w="688"/>
        <w:gridCol w:w="777"/>
        <w:gridCol w:w="955"/>
        <w:gridCol w:w="694"/>
      </w:tblGrid>
      <w:tr>
        <w:trPr>
          <w:trHeight w:val="840" w:hRule="atLeast"/>
          <w:tblHeader/>
        </w:trPr>
        <w:tc>
          <w:tcPr>
            <w:tcW w:w="253" w:type="pct"/>
            <w:tcBorders>
              <w:top w:val="single" w:color="auto" w:sz="8" w:space="0"/>
              <w:left w:val="single" w:color="auto" w:sz="8"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序号</w:t>
            </w:r>
          </w:p>
        </w:tc>
        <w:tc>
          <w:tcPr>
            <w:tcW w:w="365" w:type="pct"/>
            <w:tcBorders>
              <w:top w:val="single" w:color="auto" w:sz="8"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类别</w:t>
            </w:r>
          </w:p>
        </w:tc>
        <w:tc>
          <w:tcPr>
            <w:tcW w:w="301" w:type="pct"/>
            <w:tcBorders>
              <w:top w:val="single" w:color="auto" w:sz="8"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任务</w:t>
            </w:r>
            <w:r>
              <w:rPr>
                <w:rFonts w:hint="eastAsia" w:ascii="仿宋_GB2312" w:hAnsi="仿宋_GB2312" w:eastAsia="仿宋_GB2312" w:cs="仿宋_GB2312"/>
                <w:b/>
                <w:bCs/>
                <w:color w:val="000000"/>
                <w:kern w:val="0"/>
                <w:sz w:val="21"/>
                <w:szCs w:val="21"/>
                <w:lang w:val="en-US" w:eastAsia="zh-CN"/>
              </w:rPr>
              <w:t xml:space="preserve"> </w:t>
            </w:r>
            <w:r>
              <w:rPr>
                <w:rFonts w:hint="eastAsia" w:ascii="仿宋_GB2312" w:hAnsi="仿宋_GB2312" w:eastAsia="仿宋_GB2312" w:cs="仿宋_GB2312"/>
                <w:b/>
                <w:bCs/>
                <w:color w:val="000000"/>
                <w:kern w:val="0"/>
                <w:sz w:val="21"/>
                <w:szCs w:val="21"/>
              </w:rPr>
              <w:t>编号</w:t>
            </w:r>
          </w:p>
        </w:tc>
        <w:tc>
          <w:tcPr>
            <w:tcW w:w="481" w:type="pct"/>
            <w:tcBorders>
              <w:top w:val="single" w:color="auto" w:sz="8"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项目名称</w:t>
            </w:r>
          </w:p>
        </w:tc>
        <w:tc>
          <w:tcPr>
            <w:tcW w:w="1358" w:type="pct"/>
            <w:tcBorders>
              <w:top w:val="single" w:color="auto" w:sz="8"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建设内容或工作目标</w:t>
            </w:r>
          </w:p>
        </w:tc>
        <w:tc>
          <w:tcPr>
            <w:tcW w:w="396" w:type="pct"/>
            <w:tcBorders>
              <w:top w:val="single" w:color="auto" w:sz="8"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总投资</w:t>
            </w:r>
          </w:p>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估算</w:t>
            </w:r>
          </w:p>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（万元）</w:t>
            </w:r>
          </w:p>
        </w:tc>
        <w:tc>
          <w:tcPr>
            <w:tcW w:w="407" w:type="pct"/>
            <w:tcBorders>
              <w:top w:val="single" w:color="auto" w:sz="8"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创建期</w:t>
            </w:r>
            <w:r>
              <w:rPr>
                <w:rFonts w:hint="eastAsia" w:ascii="仿宋_GB2312" w:hAnsi="仿宋_GB2312" w:eastAsia="仿宋_GB2312" w:cs="仿宋_GB2312"/>
                <w:b/>
                <w:bCs/>
                <w:color w:val="000000"/>
                <w:kern w:val="0"/>
                <w:sz w:val="21"/>
                <w:szCs w:val="21"/>
                <w:lang w:val="en-US" w:eastAsia="zh-CN"/>
              </w:rPr>
              <w:t xml:space="preserve"> </w:t>
            </w:r>
            <w:r>
              <w:rPr>
                <w:rFonts w:hint="eastAsia" w:ascii="仿宋_GB2312" w:hAnsi="仿宋_GB2312" w:eastAsia="仿宋_GB2312" w:cs="仿宋_GB2312"/>
                <w:b/>
                <w:bCs/>
                <w:color w:val="000000"/>
                <w:kern w:val="0"/>
                <w:sz w:val="21"/>
                <w:szCs w:val="21"/>
              </w:rPr>
              <w:t>投资估算(万元)</w:t>
            </w:r>
          </w:p>
        </w:tc>
        <w:tc>
          <w:tcPr>
            <w:tcW w:w="460" w:type="pct"/>
            <w:tcBorders>
              <w:top w:val="single" w:color="auto" w:sz="8"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资金来源</w:t>
            </w:r>
          </w:p>
        </w:tc>
        <w:tc>
          <w:tcPr>
            <w:tcW w:w="564" w:type="pct"/>
            <w:tcBorders>
              <w:top w:val="single" w:color="auto" w:sz="8"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责任单位</w:t>
            </w:r>
          </w:p>
        </w:tc>
        <w:tc>
          <w:tcPr>
            <w:tcW w:w="410" w:type="pct"/>
            <w:tcBorders>
              <w:top w:val="single" w:color="auto" w:sz="8" w:space="0"/>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b/>
                <w:bCs/>
                <w:color w:val="000000"/>
                <w:kern w:val="0"/>
                <w:sz w:val="21"/>
                <w:szCs w:val="21"/>
                <w:lang w:eastAsia="zh-CN"/>
              </w:rPr>
            </w:pPr>
            <w:r>
              <w:rPr>
                <w:rFonts w:hint="eastAsia" w:ascii="仿宋_GB2312" w:hAnsi="仿宋_GB2312" w:eastAsia="仿宋_GB2312" w:cs="仿宋_GB2312"/>
                <w:b/>
                <w:bCs/>
                <w:color w:val="000000"/>
                <w:kern w:val="0"/>
                <w:sz w:val="21"/>
                <w:szCs w:val="21"/>
              </w:rPr>
              <w:t>进度安排</w:t>
            </w:r>
            <w:r>
              <w:rPr>
                <w:rFonts w:hint="eastAsia" w:ascii="仿宋_GB2312" w:hAnsi="仿宋_GB2312" w:eastAsia="仿宋_GB2312" w:cs="仿宋_GB2312"/>
                <w:b/>
                <w:bCs/>
                <w:color w:val="000000"/>
                <w:kern w:val="0"/>
                <w:sz w:val="21"/>
                <w:szCs w:val="21"/>
                <w:lang w:eastAsia="zh-CN"/>
              </w:rPr>
              <w:t>（</w:t>
            </w:r>
            <w:r>
              <w:rPr>
                <w:rFonts w:hint="eastAsia" w:ascii="仿宋_GB2312" w:hAnsi="仿宋_GB2312" w:eastAsia="仿宋_GB2312" w:cs="仿宋_GB2312"/>
                <w:b/>
                <w:bCs/>
                <w:color w:val="000000"/>
                <w:kern w:val="0"/>
                <w:sz w:val="21"/>
                <w:szCs w:val="21"/>
                <w:lang w:val="en-US" w:eastAsia="zh-CN"/>
              </w:rPr>
              <w:t>年度</w:t>
            </w:r>
            <w:r>
              <w:rPr>
                <w:rFonts w:hint="eastAsia" w:ascii="仿宋_GB2312" w:hAnsi="仿宋_GB2312" w:eastAsia="仿宋_GB2312" w:cs="仿宋_GB2312"/>
                <w:b/>
                <w:bCs/>
                <w:color w:val="000000"/>
                <w:kern w:val="0"/>
                <w:sz w:val="21"/>
                <w:szCs w:val="21"/>
                <w:lang w:eastAsia="zh-CN"/>
              </w:rPr>
              <w:t>）</w:t>
            </w:r>
          </w:p>
        </w:tc>
      </w:tr>
      <w:tr>
        <w:tblPrEx>
          <w:tblCellMar>
            <w:top w:w="0" w:type="dxa"/>
            <w:left w:w="108" w:type="dxa"/>
            <w:bottom w:w="0" w:type="dxa"/>
            <w:right w:w="108" w:type="dxa"/>
          </w:tblCellMar>
        </w:tblPrEx>
        <w:trPr>
          <w:trHeight w:val="1391" w:hRule="atLeast"/>
        </w:trPr>
        <w:tc>
          <w:tcPr>
            <w:tcW w:w="253" w:type="pct"/>
            <w:vMerge w:val="restart"/>
            <w:tcBorders>
              <w:top w:val="nil"/>
              <w:left w:val="single" w:color="auto" w:sz="8"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一</w:t>
            </w:r>
          </w:p>
        </w:tc>
        <w:tc>
          <w:tcPr>
            <w:tcW w:w="365"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lang w:eastAsia="zh-CN"/>
              </w:rPr>
            </w:pPr>
            <w:r>
              <w:rPr>
                <w:rFonts w:hint="eastAsia" w:ascii="仿宋_GB2312" w:hAnsi="仿宋_GB2312" w:eastAsia="仿宋_GB2312" w:cs="仿宋_GB2312"/>
                <w:color w:val="000000"/>
                <w:kern w:val="0"/>
                <w:sz w:val="18"/>
                <w:szCs w:val="18"/>
              </w:rPr>
              <w:t>城乡交通基础设施提升改造</w:t>
            </w:r>
            <w:r>
              <w:rPr>
                <w:rFonts w:hint="eastAsia" w:ascii="仿宋_GB2312" w:hAnsi="仿宋_GB2312" w:eastAsia="仿宋_GB2312" w:cs="仿宋_GB2312"/>
                <w:color w:val="000000"/>
                <w:kern w:val="0"/>
                <w:sz w:val="18"/>
                <w:szCs w:val="18"/>
                <w:lang w:val="en-US" w:eastAsia="zh-CN"/>
              </w:rPr>
              <w:t>方面</w:t>
            </w: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曲沃县县道下院-下裴线公路改造工程</w:t>
            </w:r>
          </w:p>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曲沃县县道下院-下裴线公路改造工程建设里程15.09公里，主要工程内容为：路基工程、排水与防护工程、路面工程、涵洞工程、沿线设施和生命安全防护工程。</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6800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3400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政府投资（上级资金、财政配套资金）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县交通局、县自然资源局、县农业农村局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各乡镇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2023-2024</w:t>
            </w:r>
          </w:p>
        </w:tc>
      </w:tr>
      <w:tr>
        <w:tblPrEx>
          <w:tblCellMar>
            <w:top w:w="0" w:type="dxa"/>
            <w:left w:w="108" w:type="dxa"/>
            <w:bottom w:w="0" w:type="dxa"/>
            <w:right w:w="108" w:type="dxa"/>
          </w:tblCellMar>
        </w:tblPrEx>
        <w:trPr>
          <w:trHeight w:val="1773"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项目2</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曲沃县主城区雨污分流管网改造项目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建设地点为曲沃县主城区，项目共16条路，建设改造雨污水管32.2</w:t>
            </w:r>
            <w:r>
              <w:rPr>
                <w:rFonts w:hint="eastAsia" w:ascii="仿宋_GB2312" w:hAnsi="仿宋_GB2312" w:eastAsia="仿宋_GB2312" w:cs="仿宋_GB2312"/>
                <w:color w:val="000000"/>
                <w:kern w:val="0"/>
                <w:sz w:val="18"/>
                <w:szCs w:val="18"/>
                <w:lang w:val="en-US" w:eastAsia="zh-CN"/>
              </w:rPr>
              <w:t>公里</w:t>
            </w:r>
            <w:r>
              <w:rPr>
                <w:rFonts w:hint="eastAsia" w:ascii="仿宋_GB2312" w:hAnsi="仿宋_GB2312" w:eastAsia="仿宋_GB2312" w:cs="仿宋_GB2312"/>
                <w:color w:val="000000"/>
                <w:kern w:val="0"/>
                <w:sz w:val="18"/>
                <w:szCs w:val="18"/>
              </w:rPr>
              <w:t>,道路修复8.64万</w:t>
            </w:r>
            <w:r>
              <w:rPr>
                <w:rFonts w:hint="eastAsia" w:ascii="仿宋_GB2312" w:hAnsi="仿宋_GB2312" w:eastAsia="仿宋_GB2312" w:cs="仿宋_GB2312"/>
                <w:color w:val="000000"/>
                <w:kern w:val="0"/>
                <w:sz w:val="18"/>
                <w:szCs w:val="18"/>
                <w:lang w:val="en-US" w:eastAsia="zh-CN"/>
              </w:rPr>
              <w:t>平米</w:t>
            </w:r>
            <w:r>
              <w:rPr>
                <w:rFonts w:hint="eastAsia" w:ascii="仿宋_GB2312" w:hAnsi="仿宋_GB2312" w:eastAsia="仿宋_GB2312" w:cs="仿宋_GB2312"/>
                <w:color w:val="000000"/>
                <w:kern w:val="0"/>
                <w:sz w:val="18"/>
                <w:szCs w:val="18"/>
              </w:rPr>
              <w:t>及其他设施。建设内容主要包括：雨污排水工程、道路工程、给水工程、绿化工程、照明工程。</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30022.85</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21467</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政府投资（专债资金、财政配套资金）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县住建局、县交通局、县自然资源局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2023-2024</w:t>
            </w:r>
          </w:p>
        </w:tc>
      </w:tr>
      <w:tr>
        <w:trPr>
          <w:trHeight w:val="2018"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项目3</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曲沃县文公大街雨污分流及道路改造工程项目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建设地点为曲沃县文公大街，项目位于曲沃县中心城区，西起新兴北路，东至曲绛路（马庄转盘），道路全长为2683.779米，道路红线宽度30.0</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，是该区域东西向的一条城市次干路，配套建设雨污排水工程、道路工程、给水工程、绿化工程、照明工程。</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10003.11</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5250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政府投资（专债资金、财政配套资金）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县住建局、县交通局、县自然资源局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2023-2024</w:t>
            </w:r>
          </w:p>
        </w:tc>
      </w:tr>
      <w:tr>
        <w:trPr>
          <w:trHeight w:val="280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项目4</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曲沃县吉祥北路北延道路建设工程项目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建设地点为曲沃县城东片区，项目南起文公大街，北-晋韩路，全长512.024</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，总占地面积约19282.00</w:t>
            </w:r>
            <w:r>
              <w:rPr>
                <w:rFonts w:hint="eastAsia" w:ascii="仿宋_GB2312" w:hAnsi="仿宋_GB2312" w:eastAsia="仿宋_GB2312" w:cs="仿宋_GB2312"/>
                <w:color w:val="000000"/>
                <w:kern w:val="0"/>
                <w:sz w:val="18"/>
                <w:szCs w:val="18"/>
                <w:lang w:val="en-US" w:eastAsia="zh-CN"/>
              </w:rPr>
              <w:t>平米</w:t>
            </w:r>
            <w:r>
              <w:rPr>
                <w:rFonts w:hint="eastAsia" w:ascii="仿宋_GB2312" w:hAnsi="仿宋_GB2312" w:eastAsia="仿宋_GB2312" w:cs="仿宋_GB2312"/>
                <w:color w:val="000000"/>
                <w:kern w:val="0"/>
                <w:sz w:val="18"/>
                <w:szCs w:val="18"/>
              </w:rPr>
              <w:t>，沥青混凝土路面，道路等级为城市主干道，设计行车速度为50</w:t>
            </w:r>
            <w:r>
              <w:rPr>
                <w:rFonts w:hint="eastAsia" w:ascii="仿宋_GB2312" w:hAnsi="仿宋_GB2312" w:eastAsia="仿宋_GB2312" w:cs="仿宋_GB2312"/>
                <w:color w:val="000000"/>
                <w:kern w:val="0"/>
                <w:sz w:val="18"/>
                <w:szCs w:val="18"/>
                <w:lang w:val="en-US" w:eastAsia="zh-CN"/>
              </w:rPr>
              <w:t>千米每小时</w:t>
            </w:r>
            <w:r>
              <w:rPr>
                <w:rFonts w:hint="eastAsia" w:ascii="仿宋_GB2312" w:hAnsi="仿宋_GB2312" w:eastAsia="仿宋_GB2312" w:cs="仿宋_GB2312"/>
                <w:color w:val="000000"/>
                <w:kern w:val="0"/>
                <w:sz w:val="18"/>
                <w:szCs w:val="18"/>
              </w:rPr>
              <w:t>，道路荷载标准BZZ-100，道路红线宽度40.00</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，道路形式为三幅路，6</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非机动车道+3</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绿化带+11</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机动车道+11</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机动车道+3</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绿化带+6</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非机动车道，路面结构设计使用年限15年。</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1971.9</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政府投资（一般债券、财政配套资金）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县住建局、县交通局、县自然资源局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2023-2024</w:t>
            </w:r>
          </w:p>
        </w:tc>
      </w:tr>
      <w:tr>
        <w:tblPrEx>
          <w:tblCellMar>
            <w:top w:w="0" w:type="dxa"/>
            <w:left w:w="108" w:type="dxa"/>
            <w:bottom w:w="0" w:type="dxa"/>
            <w:right w:w="108" w:type="dxa"/>
          </w:tblCellMar>
        </w:tblPrEx>
        <w:trPr>
          <w:trHeight w:val="160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项目5</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曲沃县府西街西延道路工程项目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建设地点为曲沃县城西片区，项目位于城西片区，建设内容主要包括道路工程、照明工程、道路绿化工程和雨水管线工程，其他管线敷设于两侧绿带下的综合管廊内。设计道路红线为40</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，道路长1112.792</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4642.75</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4642.75</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政府投资（专债资金、财政配套资金）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县住建局、县交通局、县自然资源局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blPrEx>
          <w:tblCellMar>
            <w:top w:w="0" w:type="dxa"/>
            <w:left w:w="108" w:type="dxa"/>
            <w:bottom w:w="0" w:type="dxa"/>
            <w:right w:w="108" w:type="dxa"/>
          </w:tblCellMar>
        </w:tblPrEx>
        <w:trPr>
          <w:trHeight w:val="280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项目6</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城西片区绿廊及地下综合管廊建设项目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建设地点为曲沃县城西片区，项目位于府西街西延道路两侧，绿带宽度均为20</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。项目建设内容主要包括新建双舱综合管廊2040</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入廊管线包括给水、再生水、供热、电力和电信管线，配套建设通风、消防、电气、报警、监控、给排水设施、监控中心等附属工程。地上配套建设绿化带、自行车道、人行道、绿化带兼停车带的道路、污水、绿化、照明工程，长度1112.79</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。路北与路南均预留燃气管线管位。</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21363.89</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14667</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政府投资（专债资金、财政配套资金）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县住建局、县交通局、县自然资源局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2024-2026</w:t>
            </w:r>
          </w:p>
        </w:tc>
      </w:tr>
      <w:tr>
        <w:trPr>
          <w:trHeight w:val="240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项目7</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曲沃县城北片区绿廊建设</w:t>
            </w:r>
          </w:p>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建设地点为曲沃县城北片区，城北片区绿廊建设工程项目南起文公大街,北至晋韩路,全长494.71</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,绿廊宽度为吉祥北路道路红线外各20米范围内。总占地面积约19788.40</w:t>
            </w:r>
            <w:r>
              <w:rPr>
                <w:rFonts w:hint="eastAsia" w:ascii="仿宋_GB2312" w:hAnsi="仿宋_GB2312" w:eastAsia="仿宋_GB2312" w:cs="仿宋_GB2312"/>
                <w:color w:val="000000"/>
                <w:kern w:val="0"/>
                <w:sz w:val="18"/>
                <w:szCs w:val="18"/>
                <w:lang w:val="en-US" w:eastAsia="zh-CN"/>
              </w:rPr>
              <w:t>平米</w:t>
            </w:r>
            <w:r>
              <w:rPr>
                <w:rFonts w:hint="eastAsia" w:ascii="仿宋_GB2312" w:hAnsi="仿宋_GB2312" w:eastAsia="仿宋_GB2312" w:cs="仿宋_GB2312"/>
                <w:color w:val="000000"/>
                <w:kern w:val="0"/>
                <w:sz w:val="18"/>
                <w:szCs w:val="18"/>
              </w:rPr>
              <w:t>。绿廊两侧主要包括5.0</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宽绿化带，3.5</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自行车道，3</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健身跑道，1.5</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宽绿化隔离带，4</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宽人行道，3.0</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宽绿化带兼停车带。</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1023.88</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1023.88</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政府投资（专债资金、财政配套资金）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县住建局、县交通局、县自然资源局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rPr>
          <w:trHeight w:val="270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项目8</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曲沃县朝阳沟景区旅游公路项目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建设地点为曲沃县里村镇，曲沃县朝阳沟景区旅游公路项目线路总里程3.468公里其中，朝阳-里村小学线1.185公里，大运路-里郭线2.283公里；设计时速40</w:t>
            </w:r>
            <w:r>
              <w:rPr>
                <w:rFonts w:hint="eastAsia" w:ascii="仿宋_GB2312" w:hAnsi="仿宋_GB2312" w:eastAsia="仿宋_GB2312" w:cs="仿宋_GB2312"/>
                <w:color w:val="000000"/>
                <w:kern w:val="0"/>
                <w:sz w:val="18"/>
                <w:szCs w:val="18"/>
                <w:lang w:val="en-US" w:eastAsia="zh-CN"/>
              </w:rPr>
              <w:t>千米每小时</w:t>
            </w:r>
            <w:r>
              <w:rPr>
                <w:rFonts w:hint="eastAsia" w:ascii="仿宋_GB2312" w:hAnsi="仿宋_GB2312" w:eastAsia="仿宋_GB2312" w:cs="仿宋_GB2312"/>
                <w:color w:val="000000"/>
                <w:kern w:val="0"/>
                <w:sz w:val="18"/>
                <w:szCs w:val="18"/>
              </w:rPr>
              <w:t>，拟采用三级公路技术标准，路基宽度8</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，路面宽度7.5</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，面层采用沥青混凝土路面。主要建设工程内容：路基工程、路面工程、排水工程、涵洞工程、安防设施等其他附属设施。</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1300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650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政府投资（上级资金、财政配套资金）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县交通局、县自然资源局、县农业农村局、县文旅局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2023-2024</w:t>
            </w:r>
          </w:p>
        </w:tc>
      </w:tr>
      <w:tr>
        <w:tblPrEx>
          <w:tblCellMar>
            <w:top w:w="0" w:type="dxa"/>
            <w:left w:w="108" w:type="dxa"/>
            <w:bottom w:w="0" w:type="dxa"/>
            <w:right w:w="108" w:type="dxa"/>
          </w:tblCellMar>
        </w:tblPrEx>
        <w:trPr>
          <w:trHeight w:val="210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项目9</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曲沃县晋国博物馆旅游快速通道工程项目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建设地点为曲沃县曲村镇，道路全长7.722公里，采用二级公路技术标准，双向两车道，设计速度60</w:t>
            </w:r>
            <w:r>
              <w:rPr>
                <w:rFonts w:hint="eastAsia" w:ascii="仿宋_GB2312" w:hAnsi="仿宋_GB2312" w:eastAsia="仿宋_GB2312" w:cs="仿宋_GB2312"/>
                <w:color w:val="000000"/>
                <w:kern w:val="0"/>
                <w:sz w:val="18"/>
                <w:szCs w:val="18"/>
                <w:lang w:val="en-US" w:eastAsia="zh-CN"/>
              </w:rPr>
              <w:t>千米每小时</w:t>
            </w:r>
            <w:r>
              <w:rPr>
                <w:rFonts w:hint="eastAsia" w:ascii="仿宋_GB2312" w:hAnsi="仿宋_GB2312" w:eastAsia="仿宋_GB2312" w:cs="仿宋_GB2312"/>
                <w:color w:val="000000"/>
                <w:kern w:val="0"/>
                <w:sz w:val="18"/>
                <w:szCs w:val="18"/>
              </w:rPr>
              <w:t>，路基宽度12.0</w:t>
            </w:r>
            <w:r>
              <w:rPr>
                <w:rFonts w:hint="eastAsia" w:ascii="仿宋_GB2312" w:hAnsi="仿宋_GB2312" w:eastAsia="仿宋_GB2312" w:cs="仿宋_GB2312"/>
                <w:color w:val="000000"/>
                <w:kern w:val="0"/>
                <w:sz w:val="18"/>
                <w:szCs w:val="18"/>
                <w:lang w:val="en-US" w:eastAsia="zh-CN"/>
              </w:rPr>
              <w:t>米</w:t>
            </w:r>
            <w:r>
              <w:rPr>
                <w:rFonts w:hint="eastAsia" w:ascii="仿宋_GB2312" w:hAnsi="仿宋_GB2312" w:eastAsia="仿宋_GB2312" w:cs="仿宋_GB2312"/>
                <w:color w:val="000000"/>
                <w:kern w:val="0"/>
                <w:sz w:val="18"/>
                <w:szCs w:val="18"/>
              </w:rPr>
              <w:t>，沥青混凝土路面结构。主要工程内容：路基工程、路面工程、排水防护工程、涵洞工程、交叉工程、交通工程及沿线设施等。</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19100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9550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政府投资（上级资金、财政配套资金）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县交通局、县自然资源局、县农业农村局、县文旅局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2023-2024</w:t>
            </w:r>
          </w:p>
        </w:tc>
      </w:tr>
      <w:tr>
        <w:tblPrEx>
          <w:tblCellMar>
            <w:top w:w="0" w:type="dxa"/>
            <w:left w:w="108" w:type="dxa"/>
            <w:bottom w:w="0" w:type="dxa"/>
            <w:right w:w="108" w:type="dxa"/>
          </w:tblCellMar>
        </w:tblPrEx>
        <w:trPr>
          <w:trHeight w:val="535"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项目10</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国道108线襄汾-曲沃-侯马过境改线工程曲沃段项目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曲沃段全长31.086</w:t>
            </w:r>
            <w:r>
              <w:rPr>
                <w:rFonts w:hint="eastAsia" w:ascii="仿宋_GB2312" w:hAnsi="仿宋_GB2312" w:eastAsia="仿宋_GB2312" w:cs="仿宋_GB2312"/>
                <w:color w:val="000000"/>
                <w:kern w:val="0"/>
                <w:sz w:val="18"/>
                <w:szCs w:val="18"/>
                <w:lang w:val="en-US" w:eastAsia="zh-CN"/>
              </w:rPr>
              <w:t>千米</w:t>
            </w:r>
            <w:r>
              <w:rPr>
                <w:rFonts w:hint="eastAsia" w:ascii="仿宋_GB2312" w:hAnsi="仿宋_GB2312" w:eastAsia="仿宋_GB2312" w:cs="仿宋_GB2312"/>
                <w:color w:val="000000"/>
                <w:kern w:val="0"/>
                <w:sz w:val="18"/>
                <w:szCs w:val="18"/>
              </w:rPr>
              <w:t>，其中新建段长度18.22</w:t>
            </w:r>
            <w:r>
              <w:rPr>
                <w:rFonts w:hint="eastAsia" w:ascii="仿宋_GB2312" w:hAnsi="仿宋_GB2312" w:eastAsia="仿宋_GB2312" w:cs="仿宋_GB2312"/>
                <w:color w:val="000000"/>
                <w:kern w:val="0"/>
                <w:sz w:val="18"/>
                <w:szCs w:val="18"/>
                <w:lang w:val="en-US" w:eastAsia="zh-CN"/>
              </w:rPr>
              <w:t>千米</w:t>
            </w:r>
            <w:r>
              <w:rPr>
                <w:rFonts w:hint="eastAsia" w:ascii="仿宋_GB2312" w:hAnsi="仿宋_GB2312" w:eastAsia="仿宋_GB2312" w:cs="仿宋_GB2312"/>
                <w:color w:val="000000"/>
                <w:kern w:val="0"/>
                <w:sz w:val="18"/>
                <w:szCs w:val="18"/>
              </w:rPr>
              <w:t>，设计速度80</w:t>
            </w:r>
            <w:r>
              <w:rPr>
                <w:rFonts w:hint="eastAsia" w:ascii="仿宋_GB2312" w:hAnsi="仿宋_GB2312" w:eastAsia="仿宋_GB2312" w:cs="仿宋_GB2312"/>
                <w:color w:val="000000"/>
                <w:kern w:val="0"/>
                <w:sz w:val="18"/>
                <w:szCs w:val="18"/>
                <w:lang w:val="en-US" w:eastAsia="zh-CN"/>
              </w:rPr>
              <w:t>千米每小时</w:t>
            </w:r>
            <w:r>
              <w:rPr>
                <w:rFonts w:hint="eastAsia" w:ascii="仿宋_GB2312" w:hAnsi="仿宋_GB2312" w:eastAsia="仿宋_GB2312" w:cs="仿宋_GB2312"/>
                <w:color w:val="000000"/>
                <w:kern w:val="0"/>
                <w:sz w:val="18"/>
                <w:szCs w:val="18"/>
              </w:rPr>
              <w:t>，采用双向四车道一级公路标准，主线整体式路基总宽度为25.5米。曲沃段路线起点位于蒙城村东，改线起点位于西许村西，终点位于窑院村西，路线沿现有G108衔接，到达曲沃县西许村后路线向东转折，路线设曲沃北互通与原G108相接，路线经过上太许村、东宁村，在西杨村设西杨互通与S331连接，在北董村西设北董互通与S234连接，在西周村东南转向西，在窑院村西与侯马连接。</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122000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61000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上级投资</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县交通局、县自然资源局、县农业农村局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2023-2026</w:t>
            </w:r>
          </w:p>
        </w:tc>
      </w:tr>
      <w:tr>
        <w:trPr>
          <w:trHeight w:val="1280" w:hRule="atLeast"/>
        </w:trPr>
        <w:tc>
          <w:tcPr>
            <w:tcW w:w="253" w:type="pct"/>
            <w:vMerge w:val="restart"/>
            <w:tcBorders>
              <w:top w:val="nil"/>
              <w:left w:val="single" w:color="auto" w:sz="8"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二</w:t>
            </w:r>
          </w:p>
        </w:tc>
        <w:tc>
          <w:tcPr>
            <w:tcW w:w="365"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rPr>
              <w:t>城乡客运服务提质增效</w:t>
            </w:r>
            <w:r>
              <w:rPr>
                <w:rFonts w:hint="eastAsia" w:ascii="仿宋_GB2312" w:hAnsi="仿宋_GB2312" w:eastAsia="仿宋_GB2312" w:cs="仿宋_GB2312"/>
                <w:color w:val="000000"/>
                <w:kern w:val="0"/>
                <w:sz w:val="18"/>
                <w:szCs w:val="18"/>
                <w:lang w:val="en-US" w:eastAsia="zh-CN"/>
              </w:rPr>
              <w:t>方面</w:t>
            </w: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项目11</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城乡客运服务品质工程</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建设内容包括线路站点优化调整工程、车辆更新置换工程、场站及配套设施建设工程、县乡村充电设施网络布局提升、多元特色服务提升工程等。</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400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400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政府投资（一般债券、财政配套资金）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县交通局、县自然资源局、县住建局、县能源局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rPr>
          <w:trHeight w:val="140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项目12</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城乡客运与旅游融合发展主题工程</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促进对外快旅交通网络提升、内部慢游交通网络提升。建设内容包括：开设侯马西站直达曲沃的旅游巴士，实现旅游无缝对接；旅游景点候车亭建设和升级改造；旅游特色服务线路的开通等内容。</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政府投资（一般债券、财政配套资金）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县交通运输局、县自然资源局、县住建局、县文旅局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blPrEx>
          <w:tblCellMar>
            <w:top w:w="0" w:type="dxa"/>
            <w:left w:w="108" w:type="dxa"/>
            <w:bottom w:w="0" w:type="dxa"/>
            <w:right w:w="108" w:type="dxa"/>
          </w:tblCellMar>
        </w:tblPrEx>
        <w:trPr>
          <w:trHeight w:val="199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项目13</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公交智能运营调度监控系统建设工程项目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从城市居民出行需求出发，针对乘客候车时间长、绕路/换乘引起行程时间过长、道理拥堵引起的行程时间过长、车厢拥挤、车辆故障等问题，以信息化手段、智能化技术改造传统公交</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综合运用物联网、移动互联网、大数据、人工智能等现代科技，加强城乡公交信息化管理，提高科学管理手段。</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企业投资</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blPrEx>
          <w:tblCellMar>
            <w:top w:w="0" w:type="dxa"/>
            <w:left w:w="108" w:type="dxa"/>
            <w:bottom w:w="0" w:type="dxa"/>
            <w:right w:w="108" w:type="dxa"/>
          </w:tblCellMar>
        </w:tblPrEx>
        <w:trPr>
          <w:trHeight w:val="1636"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项目14</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农村交通运输综合信息服务平台建设工程项目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曲沃县农村交通运输综合信息服务平台，以满足农村地区人民群众多样化出行需求为目标，将互联网、大数据等信息技术与农村交通运输深度融合，实现农村人、车、货、站、线、点的智能匹配和运力资源的柔性配置。</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政府投资（一般债券、财政配套资金）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rPr>
          <w:trHeight w:val="172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项目15</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运输安全生产监督检查数字化平台建设</w:t>
            </w:r>
          </w:p>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运输安全生产监督检查数字化平台，运用“互联网+监管”手段，推进差异化监管和部门协同监管，全面提升安全生产监管信息化水平。运输安全生产监督检查数字化平台简化检查流程，为交通运输行业管理部门决策提供技术支持。</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政府投资（一般债券、财政配套资金）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rPr>
          <w:trHeight w:val="1729" w:hRule="atLeast"/>
        </w:trPr>
        <w:tc>
          <w:tcPr>
            <w:tcW w:w="253" w:type="pct"/>
            <w:vMerge w:val="restart"/>
            <w:tcBorders>
              <w:top w:val="nil"/>
              <w:left w:val="single" w:color="auto" w:sz="8"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三</w:t>
            </w:r>
          </w:p>
        </w:tc>
        <w:tc>
          <w:tcPr>
            <w:tcW w:w="365"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rPr>
              <w:t>货运物流服务提升发展</w:t>
            </w:r>
            <w:r>
              <w:rPr>
                <w:rFonts w:hint="eastAsia" w:ascii="仿宋_GB2312" w:hAnsi="仿宋_GB2312" w:eastAsia="仿宋_GB2312" w:cs="仿宋_GB2312"/>
                <w:color w:val="000000"/>
                <w:kern w:val="0"/>
                <w:sz w:val="18"/>
                <w:szCs w:val="18"/>
                <w:lang w:val="en-US" w:eastAsia="zh-CN"/>
              </w:rPr>
              <w:t>方面</w:t>
            </w: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项目16</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县乡村物流网络基础设施</w:t>
            </w:r>
          </w:p>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建设工程</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科学制定农村物流网络节点建设标准；大力推进县级物流园区及配套设施建设，积极筹划建设中通晋南转运中心二期项目，建设曲沃县晋之源乡村e镇快递物流，建设中通出港车间，建设配套设施等；升级改造农村综合运输服务站设施，培育扶持农村物流龙头企业。</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5000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5000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企业投资、政府补贴</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县交通局、县发改局、县财政局、县工信局、县供销社、县邮政分公司</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各乡镇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blPrEx>
          <w:tblCellMar>
            <w:top w:w="0" w:type="dxa"/>
            <w:left w:w="108" w:type="dxa"/>
            <w:bottom w:w="0" w:type="dxa"/>
            <w:right w:w="108" w:type="dxa"/>
          </w:tblCellMar>
        </w:tblPrEx>
        <w:trPr>
          <w:trHeight w:val="84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项目17</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邮政普遍服务</w:t>
            </w:r>
            <w:r>
              <w:rPr>
                <w:rFonts w:hint="eastAsia" w:ascii="仿宋_GB2312" w:hAnsi="仿宋_GB2312" w:eastAsia="仿宋_GB2312" w:cs="仿宋_GB2312"/>
                <w:color w:val="000000"/>
                <w:kern w:val="0"/>
                <w:sz w:val="18"/>
                <w:szCs w:val="18"/>
                <w:lang w:val="en-US" w:eastAsia="zh-CN"/>
              </w:rPr>
              <w:t xml:space="preserve">   </w:t>
            </w:r>
            <w:r>
              <w:rPr>
                <w:rFonts w:hint="eastAsia" w:ascii="仿宋_GB2312" w:hAnsi="仿宋_GB2312" w:eastAsia="仿宋_GB2312" w:cs="仿宋_GB2312"/>
                <w:color w:val="000000"/>
                <w:kern w:val="0"/>
                <w:sz w:val="18"/>
                <w:szCs w:val="18"/>
              </w:rPr>
              <w:t>增强工程</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建设下行批销仓、农产品常温仓，更换邮件处理设备等，推动“交邮融合”发展。</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企业投资、政府补贴</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县邮政分公司、县交通局、县自然资源局</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blPrEx>
          <w:tblCellMar>
            <w:top w:w="0" w:type="dxa"/>
            <w:left w:w="108" w:type="dxa"/>
            <w:bottom w:w="0" w:type="dxa"/>
            <w:right w:w="108" w:type="dxa"/>
          </w:tblCellMar>
        </w:tblPrEx>
        <w:trPr>
          <w:trHeight w:val="1400"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项目18</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快递进村全覆盖专项工程</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重点搭建共配平台，打通快件下行渠道，解决农村寄递物流收件难，寄件难的问题。推进快递统仓共配，加强分拣场地及自动化分拣设备建设，加大对快递进村基础设施建设的投入。</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县发改局、县交通局、县供销社、县邮政分公司、相关乡镇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rPr>
          <w:trHeight w:val="2222"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项目19</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客货邮融合发展工程</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实施客货邮融合发展工程，推进体制机制、基础设施、运力资源、运输信息“四融合”。依托城乡交通运输一体化示范创建工作，推动农村客运、邮政快递、农村物流融合发展，形成“县城-乡镇-村”三级客货邮融合发展典型经验、农村客货运“最后一公里”可持续发展模式、城乡客货运输信息共享机制。</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政府投资</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县交通局、县邮政分公司、县供销社</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各乡镇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rPr>
          <w:trHeight w:val="2411" w:hRule="atLeast"/>
        </w:trPr>
        <w:tc>
          <w:tcPr>
            <w:tcW w:w="253" w:type="pct"/>
            <w:vMerge w:val="restart"/>
            <w:tcBorders>
              <w:top w:val="nil"/>
              <w:left w:val="single" w:color="auto" w:sz="8"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四</w:t>
            </w:r>
          </w:p>
        </w:tc>
        <w:tc>
          <w:tcPr>
            <w:tcW w:w="365" w:type="pct"/>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rPr>
              <w:t>城乡交通运输发展环境保障</w:t>
            </w:r>
            <w:r>
              <w:rPr>
                <w:rFonts w:hint="eastAsia" w:ascii="仿宋_GB2312" w:hAnsi="仿宋_GB2312" w:eastAsia="仿宋_GB2312" w:cs="仿宋_GB2312"/>
                <w:color w:val="000000"/>
                <w:kern w:val="0"/>
                <w:sz w:val="18"/>
                <w:szCs w:val="18"/>
                <w:lang w:val="en-US" w:eastAsia="zh-CN"/>
              </w:rPr>
              <w:t>方面</w:t>
            </w: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项目20</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城乡公交发展</w:t>
            </w:r>
            <w:r>
              <w:rPr>
                <w:rFonts w:hint="eastAsia" w:ascii="仿宋_GB2312" w:hAnsi="仿宋_GB2312" w:eastAsia="仿宋_GB2312" w:cs="仿宋_GB2312"/>
                <w:color w:val="000000"/>
                <w:kern w:val="0"/>
                <w:sz w:val="18"/>
                <w:szCs w:val="18"/>
                <w:lang w:val="en-US" w:eastAsia="zh-CN"/>
              </w:rPr>
              <w:t xml:space="preserve">   </w:t>
            </w:r>
            <w:r>
              <w:rPr>
                <w:rFonts w:hint="eastAsia" w:ascii="仿宋_GB2312" w:hAnsi="仿宋_GB2312" w:eastAsia="仿宋_GB2312" w:cs="仿宋_GB2312"/>
                <w:color w:val="000000"/>
                <w:kern w:val="0"/>
                <w:sz w:val="18"/>
                <w:szCs w:val="18"/>
              </w:rPr>
              <w:t>规划工程</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制定城乡公交线网规划优化方案，进一步落实“公交优先”发展战略，开展创建期城乡公交线网优化方案的研究和编制工作，对全县客运线路进行科学优化，以一体化换乘体系构建、重点区域公交服务保障、城乡公交运营组织效率提升、旅游公交特色线路开行等业务问题为导向，对现有线网进行优化调整，形成功能明确、层次清晰、衔接顺畅的城乡公交线网体系。</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财政资金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县交通局、县自然资源局、县住建局、县公安局</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各乡镇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blPrEx>
          <w:tblCellMar>
            <w:top w:w="0" w:type="dxa"/>
            <w:left w:w="108" w:type="dxa"/>
            <w:bottom w:w="0" w:type="dxa"/>
            <w:right w:w="108" w:type="dxa"/>
          </w:tblCellMar>
        </w:tblPrEx>
        <w:trPr>
          <w:trHeight w:val="2605"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项目21</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城乡交通运输信息化规划主题工程</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制定曲沃县城乡交通运输信息化发展规划。推进城乡交通运输信息化建设，制定曲沃县城乡交通运输信息化发展规划，确立曲沃县城乡交通运输信息化体系，明确发展目标，基于大数据、人工智能、移动互联网、云计算、物联网等现代科技，满足城乡交通运输运行监测、智能调度、行业监管、信息服务、决策支持等信息化管理需求，提高城乡交通运输信息化水平。</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100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财政资金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县交通局、县邮政分公司</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blPrEx>
          <w:tblCellMar>
            <w:top w:w="0" w:type="dxa"/>
            <w:left w:w="108" w:type="dxa"/>
            <w:bottom w:w="0" w:type="dxa"/>
            <w:right w:w="108" w:type="dxa"/>
          </w:tblCellMar>
        </w:tblPrEx>
        <w:trPr>
          <w:trHeight w:val="1596" w:hRule="atLeast"/>
        </w:trPr>
        <w:tc>
          <w:tcPr>
            <w:tcW w:w="253" w:type="pct"/>
            <w:vMerge w:val="continue"/>
            <w:tcBorders>
              <w:top w:val="nil"/>
              <w:left w:val="single" w:color="auto" w:sz="8"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65" w:type="pct"/>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21"/>
                <w:szCs w:val="21"/>
              </w:rPr>
            </w:pPr>
          </w:p>
        </w:tc>
        <w:tc>
          <w:tcPr>
            <w:tcW w:w="30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项目22</w:t>
            </w:r>
          </w:p>
        </w:tc>
        <w:tc>
          <w:tcPr>
            <w:tcW w:w="48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运输安全生产监管能力提升工程</w:t>
            </w:r>
          </w:p>
        </w:tc>
        <w:tc>
          <w:tcPr>
            <w:tcW w:w="1358"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both"/>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针对基层运输安全监管人员能力亟待提升、监督检查尺度标准不统一、不规范等问题和需求，开展运输安全生产监管能力提升工程，进一步完善交通运输检查清单，开展安全生产教育培训，借助第三方协助进行安全监管能力提升。</w:t>
            </w:r>
          </w:p>
        </w:tc>
        <w:tc>
          <w:tcPr>
            <w:tcW w:w="39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w:t>
            </w:r>
          </w:p>
        </w:tc>
        <w:tc>
          <w:tcPr>
            <w:tcW w:w="407"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30</w:t>
            </w:r>
          </w:p>
        </w:tc>
        <w:tc>
          <w:tcPr>
            <w:tcW w:w="46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财政资金</w:t>
            </w:r>
          </w:p>
        </w:tc>
        <w:tc>
          <w:tcPr>
            <w:tcW w:w="5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县交通局、县发改局、县财政局、县自然资源局、县住建局、县公安局、县工信局、县供销社、县邮政分公司</w:t>
            </w:r>
            <w:r>
              <w:rPr>
                <w:rFonts w:hint="eastAsia" w:ascii="仿宋_GB2312" w:hAnsi="仿宋_GB2312" w:eastAsia="仿宋_GB2312" w:cs="仿宋_GB2312"/>
                <w:color w:val="000000"/>
                <w:kern w:val="0"/>
                <w:sz w:val="18"/>
                <w:szCs w:val="18"/>
                <w:lang w:eastAsia="zh-CN"/>
              </w:rPr>
              <w:t>，</w:t>
            </w:r>
            <w:r>
              <w:rPr>
                <w:rFonts w:hint="eastAsia" w:ascii="仿宋_GB2312" w:hAnsi="仿宋_GB2312" w:eastAsia="仿宋_GB2312" w:cs="仿宋_GB2312"/>
                <w:color w:val="000000"/>
                <w:kern w:val="0"/>
                <w:sz w:val="18"/>
                <w:szCs w:val="18"/>
              </w:rPr>
              <w:t>各乡镇</w:t>
            </w:r>
          </w:p>
        </w:tc>
        <w:tc>
          <w:tcPr>
            <w:tcW w:w="410" w:type="pct"/>
            <w:tcBorders>
              <w:top w:val="nil"/>
              <w:left w:val="nil"/>
              <w:bottom w:val="single" w:color="auto" w:sz="4"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24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2024-2025</w:t>
            </w:r>
          </w:p>
        </w:tc>
      </w:tr>
      <w:tr>
        <w:trPr>
          <w:trHeight w:val="280" w:hRule="atLeast"/>
        </w:trPr>
        <w:tc>
          <w:tcPr>
            <w:tcW w:w="2760" w:type="pct"/>
            <w:gridSpan w:val="5"/>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合计</w:t>
            </w:r>
          </w:p>
        </w:tc>
        <w:tc>
          <w:tcPr>
            <w:tcW w:w="396" w:type="pct"/>
            <w:tcBorders>
              <w:top w:val="nil"/>
              <w:left w:val="nil"/>
              <w:bottom w:val="single" w:color="auto" w:sz="8"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225188.38</w:t>
            </w:r>
          </w:p>
        </w:tc>
        <w:tc>
          <w:tcPr>
            <w:tcW w:w="407" w:type="pct"/>
            <w:tcBorders>
              <w:top w:val="nil"/>
              <w:left w:val="nil"/>
              <w:bottom w:val="single" w:color="auto" w:sz="8"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129610.63</w:t>
            </w:r>
          </w:p>
        </w:tc>
        <w:tc>
          <w:tcPr>
            <w:tcW w:w="460" w:type="pct"/>
            <w:tcBorders>
              <w:top w:val="nil"/>
              <w:left w:val="nil"/>
              <w:bottom w:val="single" w:color="auto" w:sz="8"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564" w:type="pct"/>
            <w:tcBorders>
              <w:top w:val="nil"/>
              <w:left w:val="nil"/>
              <w:bottom w:val="single" w:color="auto" w:sz="8" w:space="0"/>
              <w:right w:val="single" w:color="auto" w:sz="4"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c>
          <w:tcPr>
            <w:tcW w:w="410" w:type="pct"/>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ind w:firstLine="0" w:firstLineChars="0"/>
              <w:jc w:val="center"/>
              <w:textAlignment w:val="auto"/>
              <w:rPr>
                <w:rFonts w:hint="eastAsia" w:ascii="仿宋_GB2312" w:hAnsi="仿宋_GB2312" w:eastAsia="仿宋_GB2312" w:cs="仿宋_GB2312"/>
                <w:color w:val="000000"/>
                <w:kern w:val="0"/>
                <w:sz w:val="18"/>
                <w:szCs w:val="18"/>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3EBFF00"/>
    <w:rsid w:val="D3EBF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2023-12-13T15:32:00Z</dcterms:created>
  <dc:creator>baixin</dc:creator>
  <cp:lastModifiedBy>baixin</cp:lastModifiedBy>
  <dcterms:modified xsi:type="dcterms:W3CDTF">2023-12-13T15:32:31Z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