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420"/>
        <w:jc w:val="center"/>
        <w:textAlignment w:val="auto"/>
        <w:rPr>
          <w:rFonts w:hint="eastAsia" w:ascii="方正小标宋简体" w:hAnsi="方正小标宋简体" w:eastAsia="方正小标宋简体" w:cs="方正小标宋简体"/>
          <w:i w:val="0"/>
          <w:iCs w:val="0"/>
          <w:caps w:val="0"/>
          <w:color w:val="333333"/>
          <w:spacing w:val="0"/>
          <w:sz w:val="44"/>
          <w:szCs w:val="44"/>
          <w:shd w:val="clear" w:color="auto" w:fill="auto"/>
          <w:lang w:val="en-US" w:eastAsia="zh-CN"/>
        </w:rPr>
      </w:pPr>
      <w:r>
        <w:rPr>
          <w:rFonts w:hint="eastAsia" w:ascii="方正小标宋简体" w:hAnsi="方正小标宋简体" w:eastAsia="方正小标宋简体" w:cs="方正小标宋简体"/>
          <w:i w:val="0"/>
          <w:iCs w:val="0"/>
          <w:caps w:val="0"/>
          <w:color w:val="333333"/>
          <w:spacing w:val="0"/>
          <w:sz w:val="44"/>
          <w:szCs w:val="44"/>
          <w:shd w:val="clear" w:color="auto" w:fill="auto"/>
          <w:lang w:val="en-US" w:eastAsia="zh-CN"/>
        </w:rPr>
        <w:t>曲沃县行政审批服务管理局</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420"/>
        <w:jc w:val="center"/>
        <w:textAlignment w:val="auto"/>
        <w:rPr>
          <w:rFonts w:hint="eastAsia" w:ascii="方正小标宋简体" w:hAnsi="方正小标宋简体" w:eastAsia="方正小标宋简体" w:cs="方正小标宋简体"/>
          <w:i w:val="0"/>
          <w:iCs w:val="0"/>
          <w:caps w:val="0"/>
          <w:color w:val="333333"/>
          <w:spacing w:val="0"/>
          <w:sz w:val="44"/>
          <w:szCs w:val="44"/>
          <w:shd w:val="clear" w:color="auto" w:fill="auto"/>
          <w:lang w:val="en-US" w:eastAsia="zh-CN"/>
        </w:rPr>
      </w:pPr>
      <w:r>
        <w:rPr>
          <w:rFonts w:hint="eastAsia" w:ascii="方正小标宋简体" w:hAnsi="方正小标宋简体" w:eastAsia="方正小标宋简体" w:cs="方正小标宋简体"/>
          <w:i w:val="0"/>
          <w:iCs w:val="0"/>
          <w:caps w:val="0"/>
          <w:color w:val="333333"/>
          <w:spacing w:val="0"/>
          <w:sz w:val="44"/>
          <w:szCs w:val="44"/>
          <w:shd w:val="clear" w:color="auto" w:fill="auto"/>
          <w:lang w:val="en-US" w:eastAsia="zh-CN"/>
        </w:rPr>
        <w:t>法治政府建设年度报告</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420"/>
        <w:jc w:val="center"/>
        <w:textAlignment w:val="auto"/>
        <w:rPr>
          <w:rFonts w:hint="eastAsia" w:ascii="方正小标宋简体" w:hAnsi="方正小标宋简体" w:eastAsia="方正小标宋简体" w:cs="方正小标宋简体"/>
          <w:i w:val="0"/>
          <w:iCs w:val="0"/>
          <w:caps w:val="0"/>
          <w:color w:val="333333"/>
          <w:spacing w:val="0"/>
          <w:sz w:val="44"/>
          <w:szCs w:val="44"/>
          <w:shd w:val="clear" w:color="auto" w:fill="auto"/>
          <w:lang w:val="en-US" w:eastAsia="zh-CN"/>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我局法治政府建设工作坚持以习近平新时代中国特色社会主义思想为指导，贯彻落实国务院、省、市、县法治政府建设的决策部署，紧紧围绕“简政放权、放管结合、优化服务”主基调，坚持全面提升各项工作的法治化水平，推进政府职能转变，提高依法行政的能力和依法决策水平。现将我局2023年度法治政府建设情况报告如下：</w:t>
      </w:r>
    </w:p>
    <w:p>
      <w:pPr>
        <w:keepNext w:val="0"/>
        <w:keepLines w:val="0"/>
        <w:pageBreakBefore w:val="0"/>
        <w:numPr>
          <w:ilvl w:val="0"/>
          <w:numId w:val="0"/>
        </w:numPr>
        <w:shd w:val="clea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一、主要举措和成效</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楷体_GB2312" w:hAnsi="楷体_GB2312" w:eastAsia="楷体_GB2312" w:cs="楷体_GB2312"/>
          <w:i w:val="0"/>
          <w:iCs w:val="0"/>
          <w:caps w:val="0"/>
          <w:color w:val="333333"/>
          <w:spacing w:val="0"/>
          <w:sz w:val="32"/>
          <w:szCs w:val="32"/>
        </w:rPr>
      </w:pPr>
      <w:r>
        <w:rPr>
          <w:rFonts w:hint="eastAsia" w:ascii="楷体_GB2312" w:hAnsi="楷体_GB2312" w:eastAsia="楷体_GB2312" w:cs="楷体_GB2312"/>
          <w:i w:val="0"/>
          <w:iCs w:val="0"/>
          <w:caps w:val="0"/>
          <w:color w:val="333333"/>
          <w:spacing w:val="0"/>
          <w:sz w:val="32"/>
          <w:szCs w:val="32"/>
          <w:shd w:val="clear" w:color="auto" w:fill="FFFFFF"/>
        </w:rPr>
        <w:t>（一）完善领导机制强建设</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将法治政府建设作为事关全局的重大工作，成立了以局长为组长，各股室负责人为成员的领导小组。局党组书记、局长严格履行法治建设第一责任人职责，定期召开局党组会，研究部署普法教育和依法治理工作，对法治建设重要工作亲自部署、重大问题亲自过问、重点环节亲自协调、重要任务亲自督办，及时解决工作中遇到的困难和问题，形成“一把手”亲自抓，分管领导具体抓，统筹协调，上下联动，齐抓共管，全员参与的依法治理工作格局。</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楷体_GB2312" w:hAnsi="楷体_GB2312" w:eastAsia="楷体_GB2312" w:cs="楷体_GB2312"/>
          <w:i w:val="0"/>
          <w:iCs w:val="0"/>
          <w:caps w:val="0"/>
          <w:color w:val="333333"/>
          <w:spacing w:val="0"/>
          <w:sz w:val="32"/>
          <w:szCs w:val="32"/>
          <w:shd w:val="clear" w:color="auto" w:fill="FFFFFF"/>
        </w:rPr>
      </w:pPr>
      <w:r>
        <w:rPr>
          <w:rFonts w:hint="eastAsia" w:ascii="楷体_GB2312" w:hAnsi="楷体_GB2312" w:eastAsia="楷体_GB2312" w:cs="楷体_GB2312"/>
          <w:i w:val="0"/>
          <w:iCs w:val="0"/>
          <w:caps w:val="0"/>
          <w:color w:val="333333"/>
          <w:spacing w:val="0"/>
          <w:sz w:val="32"/>
          <w:szCs w:val="32"/>
          <w:shd w:val="clear" w:color="auto" w:fill="FFFFFF"/>
          <w:lang w:eastAsia="zh-CN"/>
        </w:rPr>
        <w:t>（</w:t>
      </w:r>
      <w:r>
        <w:rPr>
          <w:rFonts w:hint="eastAsia" w:ascii="楷体_GB2312" w:hAnsi="楷体_GB2312" w:eastAsia="楷体_GB2312" w:cs="楷体_GB2312"/>
          <w:i w:val="0"/>
          <w:iCs w:val="0"/>
          <w:caps w:val="0"/>
          <w:color w:val="333333"/>
          <w:spacing w:val="0"/>
          <w:sz w:val="32"/>
          <w:szCs w:val="32"/>
          <w:shd w:val="clear" w:color="auto" w:fill="FFFFFF"/>
        </w:rPr>
        <w:t>二）突出重点工作强部署</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对本单位法治建设的总体目标、主要任务及工作措施提出明确要求。局主要领导在各种会议上多次对本单位法治政府建设工作进行部署，将依法行政作为重点工作来抓。</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楷体_GB2312" w:hAnsi="楷体_GB2312" w:eastAsia="楷体_GB2312" w:cs="楷体_GB2312"/>
          <w:i w:val="0"/>
          <w:iCs w:val="0"/>
          <w:caps w:val="0"/>
          <w:color w:val="333333"/>
          <w:spacing w:val="0"/>
          <w:sz w:val="32"/>
          <w:szCs w:val="32"/>
          <w:shd w:val="clear" w:color="auto" w:fill="FFFFFF"/>
          <w:lang w:eastAsia="zh-CN"/>
        </w:rPr>
      </w:pPr>
      <w:r>
        <w:rPr>
          <w:rFonts w:hint="eastAsia" w:ascii="楷体_GB2312" w:hAnsi="楷体_GB2312" w:eastAsia="楷体_GB2312" w:cs="楷体_GB2312"/>
          <w:i w:val="0"/>
          <w:iCs w:val="0"/>
          <w:caps w:val="0"/>
          <w:color w:val="333333"/>
          <w:spacing w:val="0"/>
          <w:sz w:val="32"/>
          <w:szCs w:val="32"/>
          <w:shd w:val="clear" w:color="auto" w:fill="FFFFFF"/>
          <w:lang w:eastAsia="zh-CN"/>
        </w:rPr>
        <w:t>（</w:t>
      </w:r>
      <w:r>
        <w:rPr>
          <w:rFonts w:hint="eastAsia" w:ascii="楷体_GB2312" w:hAnsi="楷体_GB2312" w:eastAsia="楷体_GB2312" w:cs="楷体_GB2312"/>
          <w:i w:val="0"/>
          <w:iCs w:val="0"/>
          <w:caps w:val="0"/>
          <w:color w:val="333333"/>
          <w:spacing w:val="0"/>
          <w:sz w:val="32"/>
          <w:szCs w:val="32"/>
          <w:shd w:val="clear" w:color="auto" w:fill="FFFFFF"/>
          <w:lang w:val="en-US" w:eastAsia="zh-CN"/>
        </w:rPr>
        <w:t>三</w:t>
      </w:r>
      <w:r>
        <w:rPr>
          <w:rFonts w:hint="eastAsia" w:ascii="楷体_GB2312" w:hAnsi="楷体_GB2312" w:eastAsia="楷体_GB2312" w:cs="楷体_GB2312"/>
          <w:i w:val="0"/>
          <w:iCs w:val="0"/>
          <w:caps w:val="0"/>
          <w:color w:val="333333"/>
          <w:spacing w:val="0"/>
          <w:sz w:val="32"/>
          <w:szCs w:val="32"/>
          <w:shd w:val="clear" w:color="auto" w:fill="FFFFFF"/>
          <w:lang w:eastAsia="zh-CN"/>
        </w:rPr>
        <w:t>）工作亮点</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1.坚持带头学法用法普法，做法治思想的“传播者”。一是建立带头学法机制。出台领导干部学法工作制度，采取集体学习与自学相结合、邀请专家辅导和研讨交流相结合深入学习。突出学习重点，深入开展习近平法治思想、《宪法》、《民法典》、《行政许可法》、《优化营商环境条例》等学习，不断提高全局干部法治观念、法治素养，全面提高依法决策、依法行政、依法管理的水平。二是建立学习培训机制。通过周工作例会、学法用法学习培训等形式，深学细悟，入脑入心，促进学法系统化、经常化。三是建立普法宣传机制。通过在政务服务大厅显示屏滚动播放、制作发放宣传手册及“宪法周”等活动，多形式开展宣传，营造全社会知法守法用法的浓厚氛围。</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2.聚焦抓好责任落实，做法治建设的“推进者”。一是强化组织领导。坚持一把手负责制，健全完善了法治建设工作领导小组，形成层层抓落实工作格局。主要领导坚持重大问题亲自过问、重点环节亲自协调、重大任务亲自督导，推动各项任务落实落细落地。二是抓好工作安排部署。将法治建设和法治政府工作与行政审批服务工作同部署、同安排、同推进、同督促，明确牵头领导、责任科室和责任人，建立横向到边纵向到底的责任链条体系。</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3.完善阳光审批体系，做法治规范的“担当者”。一是再造审批流程。按照原行业主管部门相关法律法规，对承接的行政许可事项各要素“全链条”优化再造，编制标准化审批业务手册，以标准化促行政审批规范化。二是严格依法依规审批。对承接的行政许可事项，严格按照相关审批标准做好审批服务工作，确保审批依法依规。三是强化审管无缝衔接。按照“审管分离、审管联动”原则，及时将审批结果推送监管部门，实现审管之间互动经常、信息共享。</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4.强化主责主业定位，做依法履职的“践行者”。</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1）深入开展经营主体提升年工作，专班牵头出台了《曲沃县2023年市场主体提升年行动计划》，以开展“六大提升行动”为抓手，采取日通报、周总结、月调度，统筹推进经营主体提升年活动。一是积极督促相关部门加快开展“六大提升行动”和“十大平台”建设步伐，深入解读惠民利企政策，全力推进经营主体提升年建设。二是配合省、市做好涉企政策“一站式”综合服务平台建设，专班在账号申请后积极联系各相关单位汇集曲沃县惠企利民政策上传至平台，现上传了8条惠企利民相关政策。三是开展为民营企业办实事行动，参加了政企对接暨“千会进千企”促进复工复产工作推进会。并前往曲沃县长林环保等企业开展入企服务，向企业宣讲、解读、对接优惠政策。四是全力支持民营企业转型升级健康发展，打造“沃来办”经营主体服务机制，设置了涉企服务窗口，实现涉企政策咨询、问题反映的快速办理。同时，联合县税务局、各乡镇，组建了一支20余人的涉税主体联合服务队，不定期地深入到全县各地开展涉税主体上门登记重点服务。五是积极营造宣传氛围，形成了县专班—审批局—乡镇便民服务中心三级市场主体培育工作宣传体系，宣传各项惠企利民政策，发放宣传单2000余张、市场主体培育知识手册300余本。</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截至目前，新增经营主体中涉税占比58.34%，新增经营主体中企业占比25.2%。</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2）扎实推进工程建设项目审批制度改革，积极推进房建市政工程“拿地即开工”改革，做好项目竣工联合验收工作，工程建设项目审批管理系统25个主要审批事项已覆盖14个审批事项，协调有关单位推进工建审批平台与市政公用设施报装平台对接，强化并联审批、网上办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3）积极推进“7×24小时不打烊”政务服务超市全覆盖工作，在场所、标识、设备、人员、事项、流程上再完善，推动我县政务服务不断向基层延伸，目前我县7个乡镇已全部确定建设地点，项目购置财政评审已结束，正在进行招投标，各乡镇正在进行场所配套完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4）推行“一窗受理”综合服务，创优窗口设置，设立综合服务窗口，充实工作人员队伍，开展专业的服务礼仪和业务培训，安排工作人员实行定期轮岗，得以接触和学习各个审批股室的业务，为全科受理的实现打下坚实的基础，实现“前台综合受理、后台分类审批、统一窗口出件”的服务模式。</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5）落实所有常办事项向全国最短时限看齐要求，我局印发了《全面推进“所有审批事项向全国最短时限看齐”专项行动工作方案》，聚焦89个常办事项，按照“减环节、减材料、减时限”的要求，进行精简优化，确保年底前实现65%（58个）常办审批事项达到全国最短时限。</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6）推进“全代办”改革工作。深化“领办、代办、专办、一网通办”工作，成立了以局长为组长的项目审批服务领导小组，组建了“领办代办专办”服务团队，拟定了《“代办、专办”工作实施方案》，细化了具体的《“领办、代办、专办”工作流程》，全面推进保姆式、店小二式全程领办、全程代办、全程专办的“345项目审批全周期服务模式”。</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7）政务服务能力提升，今年以来电子证照录入3500余条，覆盖34种；依托政务服务平台，事项网办率达到95%以上；在政务服务网开通一件事一次办专区，共办理250余件；全面推行省局28个行业的综合许可改革，共发放行业综合许可证70余个。</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8）落实政务数据共享应用工作，我局印发了《关于曲沃县政务数据共享供需对接机制的通知》，组织召开了曲沃县政务数据共享工作推进会，督促县直单位按照山西省《政务数据分类分级要求》标准，全面梳理编制形成政务数据资源目录，截至目前在临汾市政务信息共享网站共编制目录1288条。</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（9）推进“互联网+监管”工作常态化，组织推进各监管单位监管数据汇集共享。截至目前，我县监管行为报送数为37536条，监管行为覆盖率达到74.09%。</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10）做好12345政务服务便民热线工作。为了尽快扭转工作的被动局面，县分管领导高度重视，亲自协调公益性岗位人员充实到热线工作队伍，加强了力量。同时，我们也调整了热线办负责人，又在全局挑选责任心强、表达能力好的工作人员组建工作组，进行了专业培训，明确了职责分工，制定了工作方案。11月7日，在召开的政府常务会上对热线工作进行了专题汇报，县政府主要领导做了指示。11月17日，县分管领导召开热线处办专题会议进行安排，通过以上一系列的举措，从而有效提高我县热线的回复率和满意率。截至目前（11月份），我县共受理群众诉求7283件，转派工单7283件，按期办结率100%，回访回复率99.51%，群众满意率96.76%。按受理平台统计：“临汾市12345政务服务便民热线”受理5781件，“微提交”906件，“省级转派”525件，“市长信箱”65件，“在线客服”4件，“随手拍”1件，“政务服务一体化平台”1件。按诉求类型统计：求助类5395件，咨询类1091件，投诉事项558件，投诉个人4件，举报151件，建议类76件，其他类4件，表扬类4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楷体_GB2312" w:hAnsi="楷体_GB2312" w:eastAsia="楷体_GB2312" w:cs="楷体_GB2312"/>
          <w:i w:val="0"/>
          <w:iCs w:val="0"/>
          <w:caps w:val="0"/>
          <w:color w:val="333333"/>
          <w:spacing w:val="0"/>
          <w:sz w:val="32"/>
          <w:szCs w:val="32"/>
          <w:shd w:val="clear" w:color="auto" w:fill="FFFFFF"/>
          <w:lang w:val="en-US" w:eastAsia="zh-CN"/>
        </w:rPr>
      </w:pPr>
      <w:r>
        <w:rPr>
          <w:rFonts w:hint="eastAsia" w:ascii="楷体_GB2312" w:hAnsi="楷体_GB2312" w:eastAsia="楷体_GB2312" w:cs="楷体_GB2312"/>
          <w:i w:val="0"/>
          <w:iCs w:val="0"/>
          <w:caps w:val="0"/>
          <w:color w:val="333333"/>
          <w:spacing w:val="0"/>
          <w:sz w:val="32"/>
          <w:szCs w:val="32"/>
          <w:shd w:val="clear" w:color="auto" w:fill="FFFFFF"/>
          <w:lang w:val="en-US" w:eastAsia="zh-CN"/>
        </w:rPr>
        <w:t>（四）工作成效</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1.法治队伍展现新活力。以法治政府建设示范创建为契机，推选讲大局、精法律、懂业务的青年干部到法治工作第一线，充实了本系统青年干部法治队伍。积极鼓励符合条件的干部职工参加全国统一法律职业资格考试，建立健全法治岗位素质能力标准，加大法治人才选拔力度，培育一批素养高、能力强的审批“法律明白人”。</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2.法治教育成为新常态。紧扣工作实际，结合曲沃县法治政府创建活动的开展，大力宣传行政审批服务领域法律和业务知识。按照领导带头讲业务、人人参与研业务、层层落实强业务的标准，抓实业务学习，夯实专业基础，补齐能力短板，以实用的“大讲堂”，做出能力提升的“大文章”。</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3.法治能力实现新提升。积极推动领导班子和领导干部遵法学法守法用法实现制度化、规范化。要求领导干部带头依法办事，带头遵守法律，自觉运用法治思维和法治方式深化改革、推动发展，不断厚植领导干部依法执政意识，进一步坚持依法治国、依法执政、依法行政共同推进，法治国家、法治政府、法治社会一体建设。</w:t>
      </w:r>
    </w:p>
    <w:p>
      <w:pPr>
        <w:keepNext w:val="0"/>
        <w:keepLines w:val="0"/>
        <w:pageBreakBefore w:val="0"/>
        <w:numPr>
          <w:ilvl w:val="0"/>
          <w:numId w:val="1"/>
        </w:numPr>
        <w:shd w:val="clea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存在的问题和不足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202</w:t>
      </w:r>
      <w:r>
        <w:rPr>
          <w:rFonts w:hint="eastAsia" w:ascii="仿宋_GB2312" w:hAnsi="仿宋_GB2312" w:eastAsia="仿宋_GB2312" w:cs="仿宋_GB2312"/>
          <w:b w:val="0"/>
          <w:bCs w:val="0"/>
          <w:color w:val="auto"/>
          <w:sz w:val="32"/>
          <w:szCs w:val="32"/>
          <w:lang w:val="en-US" w:eastAsia="zh-CN"/>
        </w:rPr>
        <w:t>3</w:t>
      </w:r>
      <w:r>
        <w:rPr>
          <w:rFonts w:hint="eastAsia" w:ascii="仿宋_GB2312" w:hAnsi="仿宋_GB2312" w:eastAsia="仿宋_GB2312" w:cs="仿宋_GB2312"/>
          <w:b w:val="0"/>
          <w:bCs w:val="0"/>
          <w:color w:val="auto"/>
          <w:sz w:val="32"/>
          <w:szCs w:val="32"/>
        </w:rPr>
        <w:t>年，我局全面落实</w:t>
      </w:r>
      <w:r>
        <w:rPr>
          <w:rFonts w:hint="eastAsia" w:ascii="仿宋_GB2312" w:hAnsi="仿宋_GB2312" w:eastAsia="仿宋_GB2312" w:cs="仿宋_GB2312"/>
          <w:b w:val="0"/>
          <w:bCs w:val="0"/>
          <w:color w:val="auto"/>
          <w:sz w:val="32"/>
          <w:szCs w:val="32"/>
          <w:lang w:val="en-US" w:eastAsia="zh-CN"/>
        </w:rPr>
        <w:t>县</w:t>
      </w:r>
      <w:r>
        <w:rPr>
          <w:rFonts w:hint="eastAsia" w:ascii="仿宋_GB2312" w:hAnsi="仿宋_GB2312" w:eastAsia="仿宋_GB2312" w:cs="仿宋_GB2312"/>
          <w:b w:val="0"/>
          <w:bCs w:val="0"/>
          <w:color w:val="auto"/>
          <w:sz w:val="32"/>
          <w:szCs w:val="32"/>
        </w:rPr>
        <w:t>委、</w:t>
      </w:r>
      <w:r>
        <w:rPr>
          <w:rFonts w:hint="eastAsia" w:ascii="仿宋_GB2312" w:hAnsi="仿宋_GB2312" w:eastAsia="仿宋_GB2312" w:cs="仿宋_GB2312"/>
          <w:b w:val="0"/>
          <w:bCs w:val="0"/>
          <w:color w:val="auto"/>
          <w:sz w:val="32"/>
          <w:szCs w:val="32"/>
          <w:lang w:val="en-US" w:eastAsia="zh-CN"/>
        </w:rPr>
        <w:t>县</w:t>
      </w:r>
      <w:r>
        <w:rPr>
          <w:rFonts w:hint="eastAsia" w:ascii="仿宋_GB2312" w:hAnsi="仿宋_GB2312" w:eastAsia="仿宋_GB2312" w:cs="仿宋_GB2312"/>
          <w:b w:val="0"/>
          <w:bCs w:val="0"/>
          <w:color w:val="auto"/>
          <w:sz w:val="32"/>
          <w:szCs w:val="32"/>
        </w:rPr>
        <w:t>政府关于推进依法行政、加快法治政府建设的总体部署和要求，切实规范依法行政行为，不断提高依法行政能力，在全面推进法治政府建设工作中取得阶段性成果。但仍然存在依法行政工作能力不足，对法治政府建设概念模糊，部分工作人员依法行政和法治意识比较薄弱等问题。</w:t>
      </w:r>
    </w:p>
    <w:p>
      <w:pPr>
        <w:keepNext w:val="0"/>
        <w:keepLines w:val="0"/>
        <w:pageBreakBefore w:val="0"/>
        <w:numPr>
          <w:ilvl w:val="0"/>
          <w:numId w:val="1"/>
        </w:numPr>
        <w:shd w:val="clear"/>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党政主要负责人履行推进法治建设第一责任人职责有关情况</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default"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2023年，局党组书记、局长切实履行推进法治政府建设第一责任人职责，坚持以身作则、率先垂范，带头依法办事，带头遵守法律，自觉运用法治思维和法治方式深化“放管服”、“一件事一次办”、“一枚印章管审批”等改革，推动优化营商环境高质量发展。</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楷体" w:hAnsi="楷体" w:eastAsia="楷体" w:cs="楷体"/>
          <w:i w:val="0"/>
          <w:iCs w:val="0"/>
          <w:caps w:val="0"/>
          <w:color w:val="333333"/>
          <w:spacing w:val="0"/>
          <w:sz w:val="32"/>
          <w:szCs w:val="32"/>
          <w:shd w:val="clear" w:color="auto" w:fill="FFFFFF"/>
          <w:lang w:eastAsia="zh-CN"/>
        </w:rPr>
        <w:t>（</w:t>
      </w:r>
      <w:r>
        <w:rPr>
          <w:rFonts w:hint="eastAsia" w:ascii="楷体" w:hAnsi="楷体" w:eastAsia="楷体" w:cs="楷体"/>
          <w:i w:val="0"/>
          <w:iCs w:val="0"/>
          <w:caps w:val="0"/>
          <w:color w:val="333333"/>
          <w:spacing w:val="0"/>
          <w:sz w:val="32"/>
          <w:szCs w:val="32"/>
          <w:shd w:val="clear" w:color="auto" w:fill="FFFFFF"/>
          <w:lang w:val="en-US" w:eastAsia="zh-CN"/>
        </w:rPr>
        <w:t>一</w:t>
      </w:r>
      <w:r>
        <w:rPr>
          <w:rFonts w:hint="eastAsia" w:ascii="楷体" w:hAnsi="楷体" w:eastAsia="楷体" w:cs="楷体"/>
          <w:i w:val="0"/>
          <w:iCs w:val="0"/>
          <w:caps w:val="0"/>
          <w:color w:val="333333"/>
          <w:spacing w:val="0"/>
          <w:sz w:val="32"/>
          <w:szCs w:val="32"/>
          <w:shd w:val="clear" w:color="auto" w:fill="FFFFFF"/>
          <w:lang w:eastAsia="zh-CN"/>
        </w:rPr>
        <w:t>）</w:t>
      </w:r>
      <w:r>
        <w:rPr>
          <w:rFonts w:hint="eastAsia" w:ascii="楷体" w:hAnsi="楷体" w:eastAsia="楷体" w:cs="楷体"/>
          <w:i w:val="0"/>
          <w:iCs w:val="0"/>
          <w:caps w:val="0"/>
          <w:color w:val="333333"/>
          <w:spacing w:val="0"/>
          <w:sz w:val="32"/>
          <w:szCs w:val="32"/>
          <w:shd w:val="clear" w:color="auto" w:fill="FFFFFF"/>
        </w:rPr>
        <w:t>持续强化法治教育培训。</w:t>
      </w:r>
      <w:r>
        <w:rPr>
          <w:rFonts w:hint="eastAsia" w:ascii="仿宋_GB2312" w:hAnsi="仿宋_GB2312" w:eastAsia="仿宋_GB2312" w:cs="仿宋_GB2312"/>
          <w:b w:val="0"/>
          <w:bCs w:val="0"/>
          <w:color w:val="auto"/>
          <w:kern w:val="2"/>
          <w:sz w:val="32"/>
          <w:szCs w:val="32"/>
          <w:lang w:val="en-US" w:eastAsia="zh-CN" w:bidi="ar-SA"/>
        </w:rPr>
        <w:t>完善了领导干部带头学法用法制度，把法治教育纳入我局工作总体规划，在组织的各类业务培训中融入法治教育内容。不断加强干部职工法治修养，提高依法行政能力，养成自觉尊法学法守法用法良好习惯，大力弘扬社会主义法治精神，认真落实“谁执法谁普法”普法责任制，积极在工作中向人民群众普法，做法律法规的遵守者、执行者、宣传者，努力营造办事依法、遇事找法、解决问题用法、化解矛盾靠法的良好法治环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楷体" w:hAnsi="楷体" w:eastAsia="楷体" w:cs="楷体"/>
          <w:i w:val="0"/>
          <w:iCs w:val="0"/>
          <w:caps w:val="0"/>
          <w:color w:val="333333"/>
          <w:spacing w:val="0"/>
          <w:sz w:val="32"/>
          <w:szCs w:val="32"/>
          <w:shd w:val="clear" w:color="auto" w:fill="FFFFFF"/>
          <w:lang w:eastAsia="zh-CN"/>
        </w:rPr>
        <w:t>（</w:t>
      </w:r>
      <w:r>
        <w:rPr>
          <w:rFonts w:hint="eastAsia" w:ascii="楷体" w:hAnsi="楷体" w:eastAsia="楷体" w:cs="楷体"/>
          <w:i w:val="0"/>
          <w:iCs w:val="0"/>
          <w:caps w:val="0"/>
          <w:color w:val="333333"/>
          <w:spacing w:val="0"/>
          <w:sz w:val="32"/>
          <w:szCs w:val="32"/>
          <w:shd w:val="clear" w:color="auto" w:fill="FFFFFF"/>
          <w:lang w:val="en-US" w:eastAsia="zh-CN"/>
        </w:rPr>
        <w:t>二</w:t>
      </w:r>
      <w:r>
        <w:rPr>
          <w:rFonts w:hint="eastAsia" w:ascii="楷体" w:hAnsi="楷体" w:eastAsia="楷体" w:cs="楷体"/>
          <w:i w:val="0"/>
          <w:iCs w:val="0"/>
          <w:caps w:val="0"/>
          <w:color w:val="333333"/>
          <w:spacing w:val="0"/>
          <w:sz w:val="32"/>
          <w:szCs w:val="32"/>
          <w:shd w:val="clear" w:color="auto" w:fill="FFFFFF"/>
          <w:lang w:eastAsia="zh-CN"/>
        </w:rPr>
        <w:t>）</w:t>
      </w:r>
      <w:r>
        <w:rPr>
          <w:rFonts w:hint="eastAsia" w:ascii="楷体" w:hAnsi="楷体" w:eastAsia="楷体" w:cs="楷体"/>
          <w:i w:val="0"/>
          <w:iCs w:val="0"/>
          <w:caps w:val="0"/>
          <w:color w:val="333333"/>
          <w:spacing w:val="0"/>
          <w:sz w:val="32"/>
          <w:szCs w:val="32"/>
          <w:shd w:val="clear" w:color="auto" w:fill="FFFFFF"/>
        </w:rPr>
        <w:t>落实重大行政决策程序制度。</w:t>
      </w:r>
      <w:r>
        <w:rPr>
          <w:rFonts w:hint="eastAsia" w:ascii="仿宋_GB2312" w:hAnsi="仿宋_GB2312" w:eastAsia="仿宋_GB2312" w:cs="仿宋_GB2312"/>
          <w:b w:val="0"/>
          <w:bCs w:val="0"/>
          <w:color w:val="auto"/>
          <w:kern w:val="2"/>
          <w:sz w:val="32"/>
          <w:szCs w:val="32"/>
          <w:lang w:val="en-US" w:eastAsia="zh-CN" w:bidi="ar-SA"/>
        </w:rPr>
        <w:t>认真贯彻执行重大行政决策法定程序，强化落实法律顾问参与行政决策，推进政务服务行业法治建设，提高政务服务人员法律意识，规范政务服务流程，有力促进本单位各项工作有规可循、有法可依，充分利用顾问律师当好科学决策、依法决策的“智囊团”。</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shd w:val="clear" w:color="auto" w:fill="FFFFFF"/>
          <w:lang w:eastAsia="zh-CN"/>
        </w:rPr>
        <w:t>（</w:t>
      </w:r>
      <w:r>
        <w:rPr>
          <w:rFonts w:hint="eastAsia" w:ascii="楷体" w:hAnsi="楷体" w:eastAsia="楷体" w:cs="楷体"/>
          <w:i w:val="0"/>
          <w:iCs w:val="0"/>
          <w:caps w:val="0"/>
          <w:color w:val="333333"/>
          <w:spacing w:val="0"/>
          <w:sz w:val="32"/>
          <w:szCs w:val="32"/>
          <w:shd w:val="clear" w:color="auto" w:fill="FFFFFF"/>
          <w:lang w:val="en-US" w:eastAsia="zh-CN"/>
        </w:rPr>
        <w:t>三</w:t>
      </w:r>
      <w:r>
        <w:rPr>
          <w:rFonts w:hint="eastAsia" w:ascii="楷体" w:hAnsi="楷体" w:eastAsia="楷体" w:cs="楷体"/>
          <w:i w:val="0"/>
          <w:iCs w:val="0"/>
          <w:caps w:val="0"/>
          <w:color w:val="333333"/>
          <w:spacing w:val="0"/>
          <w:sz w:val="32"/>
          <w:szCs w:val="32"/>
          <w:shd w:val="clear" w:color="auto" w:fill="FFFFFF"/>
          <w:lang w:eastAsia="zh-CN"/>
        </w:rPr>
        <w:t>）</w:t>
      </w:r>
      <w:r>
        <w:rPr>
          <w:rFonts w:hint="eastAsia" w:ascii="楷体" w:hAnsi="楷体" w:eastAsia="楷体" w:cs="楷体"/>
          <w:i w:val="0"/>
          <w:iCs w:val="0"/>
          <w:caps w:val="0"/>
          <w:color w:val="333333"/>
          <w:spacing w:val="0"/>
          <w:sz w:val="32"/>
          <w:szCs w:val="32"/>
          <w:shd w:val="clear" w:color="auto" w:fill="FFFFFF"/>
        </w:rPr>
        <w:t>全面推行行政规范性文件合法性审核机制。</w:t>
      </w:r>
      <w:r>
        <w:rPr>
          <w:rFonts w:hint="eastAsia" w:ascii="仿宋_GB2312" w:hAnsi="仿宋_GB2312" w:eastAsia="仿宋_GB2312" w:cs="仿宋_GB2312"/>
          <w:b w:val="0"/>
          <w:bCs w:val="0"/>
          <w:color w:val="auto"/>
          <w:kern w:val="2"/>
          <w:sz w:val="32"/>
          <w:szCs w:val="32"/>
          <w:lang w:val="en-US" w:eastAsia="zh-CN" w:bidi="ar-SA"/>
        </w:rPr>
        <w:t>严格遵守规范性文件的制定程序和备案审查制度，定期开展规范性文件清理工作，按要求提报清理目录和清理报告，确保无遗漏。</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楷体" w:hAnsi="楷体" w:eastAsia="楷体" w:cs="楷体"/>
          <w:i w:val="0"/>
          <w:iCs w:val="0"/>
          <w:caps w:val="0"/>
          <w:color w:val="333333"/>
          <w:spacing w:val="0"/>
          <w:sz w:val="32"/>
          <w:szCs w:val="32"/>
          <w:shd w:val="clear" w:color="auto" w:fill="FFFFFF"/>
          <w:lang w:eastAsia="zh-CN"/>
        </w:rPr>
        <w:t>（</w:t>
      </w:r>
      <w:r>
        <w:rPr>
          <w:rFonts w:hint="eastAsia" w:ascii="楷体" w:hAnsi="楷体" w:eastAsia="楷体" w:cs="楷体"/>
          <w:i w:val="0"/>
          <w:iCs w:val="0"/>
          <w:caps w:val="0"/>
          <w:color w:val="333333"/>
          <w:spacing w:val="0"/>
          <w:sz w:val="32"/>
          <w:szCs w:val="32"/>
          <w:shd w:val="clear" w:color="auto" w:fill="FFFFFF"/>
          <w:lang w:val="en-US" w:eastAsia="zh-CN"/>
        </w:rPr>
        <w:t>四</w:t>
      </w:r>
      <w:r>
        <w:rPr>
          <w:rFonts w:hint="eastAsia" w:ascii="楷体" w:hAnsi="楷体" w:eastAsia="楷体" w:cs="楷体"/>
          <w:i w:val="0"/>
          <w:iCs w:val="0"/>
          <w:caps w:val="0"/>
          <w:color w:val="333333"/>
          <w:spacing w:val="0"/>
          <w:sz w:val="32"/>
          <w:szCs w:val="32"/>
          <w:shd w:val="clear" w:color="auto" w:fill="FFFFFF"/>
          <w:lang w:eastAsia="zh-CN"/>
        </w:rPr>
        <w:t>）</w:t>
      </w:r>
      <w:r>
        <w:rPr>
          <w:rFonts w:hint="eastAsia" w:ascii="楷体" w:hAnsi="楷体" w:eastAsia="楷体" w:cs="楷体"/>
          <w:i w:val="0"/>
          <w:iCs w:val="0"/>
          <w:caps w:val="0"/>
          <w:color w:val="333333"/>
          <w:spacing w:val="0"/>
          <w:sz w:val="32"/>
          <w:szCs w:val="32"/>
          <w:shd w:val="clear" w:color="auto" w:fill="FFFFFF"/>
        </w:rPr>
        <w:t>认真履行推进法治政府建设职责。</w:t>
      </w:r>
      <w:r>
        <w:rPr>
          <w:rFonts w:hint="eastAsia" w:ascii="仿宋_GB2312" w:hAnsi="仿宋_GB2312" w:eastAsia="仿宋_GB2312" w:cs="仿宋_GB2312"/>
          <w:b w:val="0"/>
          <w:bCs w:val="0"/>
          <w:color w:val="auto"/>
          <w:kern w:val="2"/>
          <w:sz w:val="32"/>
          <w:szCs w:val="32"/>
          <w:lang w:val="en-US" w:eastAsia="zh-CN" w:bidi="ar-SA"/>
        </w:rPr>
        <w:t>坚持把全面深化改革与法治建设相结合，积极探索法治保障改革发展方法路径。结合优化“放管服”改革优化营商环境工作，以清理减少行政审批事项、优化审批流程、公开审批标准、规范审批行为和加强监督管理为重点，创新行政审批方式，提高行政审批效率。</w:t>
      </w:r>
    </w:p>
    <w:p>
      <w:pPr>
        <w:keepNext w:val="0"/>
        <w:keepLines w:val="0"/>
        <w:pageBreakBefore w:val="0"/>
        <w:numPr>
          <w:ilvl w:val="0"/>
          <w:numId w:val="0"/>
        </w:numPr>
        <w:shd w:val="clea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四、</w:t>
      </w:r>
      <w:r>
        <w:rPr>
          <w:rFonts w:hint="eastAsia" w:ascii="黑体" w:hAnsi="黑体" w:eastAsia="黑体" w:cs="黑体"/>
          <w:sz w:val="32"/>
          <w:szCs w:val="32"/>
        </w:rPr>
        <w:t>本地区、本部门履行法院生效裁判情况</w:t>
      </w:r>
    </w:p>
    <w:p>
      <w:pPr>
        <w:keepNext w:val="0"/>
        <w:keepLines w:val="0"/>
        <w:pageBreakBefore w:val="0"/>
        <w:numPr>
          <w:ilvl w:val="0"/>
          <w:numId w:val="0"/>
        </w:numPr>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无。</w:t>
      </w:r>
    </w:p>
    <w:p>
      <w:pPr>
        <w:keepNext w:val="0"/>
        <w:keepLines w:val="0"/>
        <w:pageBreakBefore w:val="0"/>
        <w:numPr>
          <w:ilvl w:val="0"/>
          <w:numId w:val="0"/>
        </w:numPr>
        <w:shd w:val="clea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五、2024年工作计划</w:t>
      </w:r>
    </w:p>
    <w:p>
      <w:pPr>
        <w:pStyle w:val="2"/>
        <w:keepNext w:val="0"/>
        <w:keepLines w:val="0"/>
        <w:pageBreakBefore w:val="0"/>
        <w:kinsoku/>
        <w:wordWrap/>
        <w:overflowPunct/>
        <w:topLinePunct w:val="0"/>
        <w:autoSpaceDE/>
        <w:autoSpaceDN/>
        <w:bidi w:val="0"/>
        <w:spacing w:line="560" w:lineRule="exact"/>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2024年，我局将继续贯彻落实习近平新时代中国特色社会主义思想，围绕县委、县政府中心工作，按照县委依法治县总体部署，持续深化“放管服”改革，优化营商环境，为曲沃县经济社会又好又快发展做出积极贡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楷体_GB2312" w:hAnsi="楷体_GB2312" w:eastAsia="楷体_GB2312" w:cs="楷体_GB2312"/>
          <w:sz w:val="32"/>
          <w:szCs w:val="32"/>
          <w:lang w:val="en-US" w:eastAsia="zh-CN"/>
        </w:rPr>
        <w:t>（一）继续做好普法教育。</w:t>
      </w:r>
      <w:r>
        <w:rPr>
          <w:rFonts w:hint="eastAsia" w:ascii="仿宋_GB2312" w:hAnsi="仿宋_GB2312" w:eastAsia="仿宋_GB2312" w:cs="仿宋_GB2312"/>
          <w:b w:val="0"/>
          <w:bCs w:val="0"/>
          <w:color w:val="auto"/>
          <w:kern w:val="2"/>
          <w:sz w:val="32"/>
          <w:szCs w:val="32"/>
          <w:lang w:val="en-US" w:eastAsia="zh-CN" w:bidi="ar-SA"/>
        </w:rPr>
        <w:t>以贯彻党的</w:t>
      </w:r>
      <w:bookmarkStart w:id="0" w:name="_GoBack"/>
      <w:bookmarkEnd w:id="0"/>
      <w:r>
        <w:rPr>
          <w:rFonts w:hint="eastAsia" w:ascii="仿宋_GB2312" w:hAnsi="仿宋_GB2312" w:eastAsia="仿宋_GB2312" w:cs="仿宋_GB2312"/>
          <w:b w:val="0"/>
          <w:bCs w:val="0"/>
          <w:color w:val="auto"/>
          <w:kern w:val="2"/>
          <w:sz w:val="32"/>
          <w:szCs w:val="32"/>
          <w:lang w:val="en-US" w:eastAsia="zh-CN" w:bidi="ar-SA"/>
        </w:rPr>
        <w:t>二十大精神为引领，持续开展好“宪法宣传日”等系列宣传活动，进一步加强干部职工及窗口工作人员的法治宣传教育，切实增强其学法、守法、用法的主动性。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color w:val="auto"/>
          <w:lang w:val="en-US"/>
        </w:rPr>
      </w:pPr>
      <w:r>
        <w:rPr>
          <w:rFonts w:hint="eastAsia" w:ascii="楷体_GB2312" w:hAnsi="楷体_GB2312" w:eastAsia="楷体_GB2312" w:cs="楷体_GB2312"/>
          <w:sz w:val="32"/>
          <w:szCs w:val="32"/>
          <w:lang w:val="en-US" w:eastAsia="zh-CN"/>
        </w:rPr>
        <w:t>（二）持续深入开展经营主体发展工作。</w:t>
      </w:r>
      <w:r>
        <w:rPr>
          <w:rFonts w:hint="eastAsia" w:ascii="仿宋_GB2312" w:hAnsi="仿宋_GB2312" w:eastAsia="仿宋_GB2312" w:cs="仿宋_GB2312"/>
          <w:b w:val="0"/>
          <w:bCs/>
          <w:color w:val="auto"/>
          <w:sz w:val="32"/>
          <w:szCs w:val="32"/>
          <w:lang w:val="en-US" w:eastAsia="zh-CN"/>
        </w:rPr>
        <w:t>一要紧跟营商环境考核和冬季行动工作要求，采取灵活多样的方式加大政策宣传，建立健全企业经营主体扶持培育政策体系，加强涉企政策“一体化”平台建设，落实各项助企纾困政策。二要深入谋划“六个提升”行动、“十大平台”建设，将工作重点放在培育高质量经营主体上，加大企业孵化培育力度，鼓励具备一定实力的个体经营户办理个人独资企业。三要继续深化精细服务，用好“沃来办”服务机制，借鉴其他县市优秀经验，促进经营主体增强发展信心、提高创新动力，实现高质量发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333333"/>
          <w:spacing w:val="0"/>
          <w:kern w:val="0"/>
          <w:sz w:val="32"/>
          <w:szCs w:val="32"/>
          <w:shd w:val="clear" w:color="auto" w:fill="FFFFFF"/>
          <w:lang w:val="en-US" w:eastAsia="zh-CN" w:bidi="ar"/>
        </w:rPr>
      </w:pPr>
      <w:r>
        <w:rPr>
          <w:rFonts w:hint="eastAsia" w:ascii="楷体_GB2312" w:hAnsi="楷体_GB2312" w:eastAsia="楷体_GB2312" w:cs="楷体_GB2312"/>
          <w:sz w:val="32"/>
          <w:szCs w:val="32"/>
          <w:lang w:val="en-US" w:eastAsia="zh-CN"/>
        </w:rPr>
        <w:t>（三）持续深化“放管服”改革。</w:t>
      </w:r>
      <w:r>
        <w:rPr>
          <w:rFonts w:hint="eastAsia" w:ascii="仿宋_GB2312" w:hAnsi="仿宋_GB2312" w:eastAsia="仿宋_GB2312" w:cs="仿宋_GB2312"/>
          <w:b w:val="0"/>
          <w:bCs w:val="0"/>
          <w:color w:val="auto"/>
          <w:kern w:val="2"/>
          <w:sz w:val="32"/>
          <w:szCs w:val="32"/>
          <w:lang w:val="en-US" w:eastAsia="zh-CN" w:bidi="ar-SA"/>
        </w:rPr>
        <w:t>紧紧围绕便民利企工作目标和服务效能提升工作主线，坚持群众观点和群众视角，坚持对标对表找差距，持续优流程、建机制、提效能，主动服务、靠前服务、热情服务、真情服务，并积极与相关单位协调沟通，加强与各部门之间的联动，合力解决工作中遇到的困难和问题，同时运用多种方式，宣传、贯彻优化营商环境条例和营商环境相关政策，深挖营商环境典型做法，创建曲沃品牌，努力讲好曲沃优化营商环境故事，开创审批工作高质量发展新局面。</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w:t>
      </w:r>
      <w:r>
        <w:rPr>
          <w:rFonts w:hint="eastAsia" w:ascii="楷体_GB2312" w:hAnsi="楷体_GB2312" w:eastAsia="楷体_GB2312" w:cs="楷体_GB2312"/>
          <w:sz w:val="32"/>
          <w:szCs w:val="32"/>
          <w:lang w:val="en-US" w:eastAsia="zh-CN"/>
        </w:rPr>
        <w:t>（四）完成县委、县政府交办的其他工作。</w:t>
      </w:r>
    </w:p>
    <w:p>
      <w:pPr>
        <w:keepNext w:val="0"/>
        <w:keepLines w:val="0"/>
        <w:pageBreakBefore w:val="0"/>
        <w:numPr>
          <w:ilvl w:val="0"/>
          <w:numId w:val="2"/>
        </w:numPr>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lang w:val="en-US" w:eastAsia="zh-CN"/>
        </w:rPr>
        <w:t>对全县加强法治政府建设的意见、建议</w:t>
      </w:r>
    </w:p>
    <w:p>
      <w:pPr>
        <w:pStyle w:val="2"/>
        <w:keepNext w:val="0"/>
        <w:keepLines w:val="0"/>
        <w:pageBreakBefore w:val="0"/>
        <w:kinsoku/>
        <w:wordWrap/>
        <w:overflowPunct/>
        <w:topLinePunct w:val="0"/>
        <w:autoSpaceDE/>
        <w:autoSpaceDN/>
        <w:bidi w:val="0"/>
        <w:spacing w:line="560" w:lineRule="exact"/>
        <w:ind w:left="0" w:leftChars="0" w:firstLine="0" w:firstLineChars="0"/>
        <w:textAlignment w:val="auto"/>
        <w:rPr>
          <w:rFonts w:hint="default"/>
          <w:lang w:val="en-US"/>
        </w:rPr>
      </w:pPr>
      <w:r>
        <w:rPr>
          <w:rFonts w:hint="eastAsia" w:ascii="黑体" w:hAnsi="黑体" w:eastAsia="黑体" w:cs="黑体"/>
          <w:sz w:val="32"/>
          <w:szCs w:val="32"/>
          <w:lang w:val="en-US" w:eastAsia="zh-CN"/>
        </w:rPr>
        <w:t xml:space="preserve">  </w:t>
      </w:r>
      <w:r>
        <w:rPr>
          <w:rFonts w:hint="eastAsia" w:ascii="仿宋_GB2312" w:hAnsi="仿宋_GB2312" w:eastAsia="仿宋_GB2312" w:cs="仿宋_GB2312"/>
          <w:b w:val="0"/>
          <w:bCs w:val="0"/>
          <w:color w:val="auto"/>
          <w:kern w:val="2"/>
          <w:sz w:val="32"/>
          <w:szCs w:val="32"/>
          <w:lang w:val="en-US" w:eastAsia="zh-CN" w:bidi="ar-SA"/>
        </w:rPr>
        <w:t xml:space="preserve">  建议多组织宣讲团、律师服务队深入企业、乡镇和各局开展法治宣传、法律咨询和法治讲座，实时推送法律常识、典型案例等信息，加大优化营商环境政策法规宣传力度，着力营造爱商、亲商、尊商、重商的社会氛围。</w:t>
      </w:r>
    </w:p>
    <w:p>
      <w:pPr>
        <w:keepNext w:val="0"/>
        <w:keepLines w:val="0"/>
        <w:pageBreakBefore w:val="0"/>
        <w:numPr>
          <w:ilvl w:val="0"/>
          <w:numId w:val="2"/>
        </w:numPr>
        <w:shd w:val="clear"/>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其他需要报告的重要事项</w:t>
      </w:r>
    </w:p>
    <w:p>
      <w:pPr>
        <w:pStyle w:val="2"/>
        <w:keepNext w:val="0"/>
        <w:keepLines w:val="0"/>
        <w:pageBreakBefore w:val="0"/>
        <w:numPr>
          <w:ilvl w:val="0"/>
          <w:numId w:val="0"/>
        </w:numPr>
        <w:kinsoku/>
        <w:wordWrap/>
        <w:overflowPunct/>
        <w:topLinePunct w:val="0"/>
        <w:autoSpaceDE/>
        <w:autoSpaceDN/>
        <w:bidi w:val="0"/>
        <w:spacing w:line="560" w:lineRule="exact"/>
        <w:textAlignment w:val="auto"/>
        <w:rPr>
          <w:rFonts w:hint="eastAsia" w:ascii="仿宋_GB2312" w:hAnsi="仿宋_GB2312" w:eastAsia="仿宋_GB2312" w:cs="仿宋_GB2312"/>
          <w:i w:val="0"/>
          <w:iCs w:val="0"/>
          <w:caps w:val="0"/>
          <w:color w:val="333333"/>
          <w:spacing w:val="0"/>
          <w:kern w:val="0"/>
          <w:sz w:val="32"/>
          <w:szCs w:val="32"/>
          <w:shd w:val="clear" w:color="auto" w:fill="FFFFFF"/>
          <w:lang w:val="en-US" w:eastAsia="zh-CN" w:bidi="ar"/>
        </w:rPr>
      </w:pPr>
      <w:r>
        <w:rPr>
          <w:rFonts w:hint="eastAsia"/>
          <w:lang w:val="en-US" w:eastAsia="zh-CN"/>
        </w:rPr>
        <w:t xml:space="preserve">    </w:t>
      </w:r>
      <w:r>
        <w:rPr>
          <w:rFonts w:hint="eastAsia" w:ascii="仿宋_GB2312" w:hAnsi="仿宋_GB2312" w:eastAsia="仿宋_GB2312" w:cs="仿宋_GB2312"/>
          <w:b w:val="0"/>
          <w:bCs w:val="0"/>
          <w:color w:val="auto"/>
          <w:kern w:val="2"/>
          <w:sz w:val="32"/>
          <w:szCs w:val="32"/>
          <w:lang w:val="en-US" w:eastAsia="zh-CN" w:bidi="ar-SA"/>
        </w:rPr>
        <w:t xml:space="preserve">  无。</w:t>
      </w:r>
    </w:p>
    <w:p>
      <w:pPr>
        <w:pStyle w:val="2"/>
        <w:keepNext w:val="0"/>
        <w:keepLines w:val="0"/>
        <w:pageBreakBefore w:val="0"/>
        <w:numPr>
          <w:ilvl w:val="0"/>
          <w:numId w:val="0"/>
        </w:numPr>
        <w:kinsoku/>
        <w:wordWrap/>
        <w:overflowPunct/>
        <w:topLinePunct w:val="0"/>
        <w:autoSpaceDE/>
        <w:autoSpaceDN/>
        <w:bidi w:val="0"/>
        <w:spacing w:line="560" w:lineRule="exact"/>
        <w:textAlignment w:val="auto"/>
        <w:rPr>
          <w:rFonts w:hint="eastAsia" w:ascii="仿宋_GB2312" w:hAnsi="仿宋_GB2312" w:eastAsia="仿宋_GB2312" w:cs="仿宋_GB2312"/>
          <w:i w:val="0"/>
          <w:iCs w:val="0"/>
          <w:caps w:val="0"/>
          <w:color w:val="333333"/>
          <w:spacing w:val="0"/>
          <w:kern w:val="0"/>
          <w:sz w:val="32"/>
          <w:szCs w:val="32"/>
          <w:shd w:val="clear" w:color="auto" w:fill="FFFFFF"/>
          <w:lang w:val="en-US" w:eastAsia="zh-CN" w:bidi="ar"/>
        </w:rPr>
      </w:pPr>
    </w:p>
    <w:p>
      <w:pPr>
        <w:pStyle w:val="2"/>
        <w:keepNext w:val="0"/>
        <w:keepLines w:val="0"/>
        <w:pageBreakBefore w:val="0"/>
        <w:numPr>
          <w:ilvl w:val="0"/>
          <w:numId w:val="0"/>
        </w:numPr>
        <w:kinsoku/>
        <w:wordWrap/>
        <w:overflowPunct/>
        <w:topLinePunct w:val="0"/>
        <w:autoSpaceDE/>
        <w:autoSpaceDN/>
        <w:bidi w:val="0"/>
        <w:spacing w:line="560" w:lineRule="exact"/>
        <w:textAlignment w:val="auto"/>
        <w:rPr>
          <w:rFonts w:hint="eastAsia" w:ascii="仿宋_GB2312" w:hAnsi="仿宋_GB2312" w:eastAsia="仿宋_GB2312" w:cs="仿宋_GB2312"/>
          <w:i w:val="0"/>
          <w:iCs w:val="0"/>
          <w:caps w:val="0"/>
          <w:color w:val="333333"/>
          <w:spacing w:val="0"/>
          <w:kern w:val="0"/>
          <w:sz w:val="32"/>
          <w:szCs w:val="32"/>
          <w:shd w:val="clear" w:color="auto" w:fill="FFFFFF"/>
          <w:lang w:val="en-US" w:eastAsia="zh-CN" w:bidi="ar"/>
        </w:rPr>
      </w:pPr>
    </w:p>
    <w:p>
      <w:pPr>
        <w:pStyle w:val="2"/>
        <w:keepNext w:val="0"/>
        <w:keepLines w:val="0"/>
        <w:pageBreakBefore w:val="0"/>
        <w:numPr>
          <w:ilvl w:val="0"/>
          <w:numId w:val="0"/>
        </w:numPr>
        <w:kinsoku/>
        <w:wordWrap/>
        <w:overflowPunct/>
        <w:topLinePunct w:val="0"/>
        <w:autoSpaceDE/>
        <w:autoSpaceDN/>
        <w:bidi w:val="0"/>
        <w:spacing w:line="560" w:lineRule="exact"/>
        <w:ind w:firstLine="4480" w:firstLineChars="1400"/>
        <w:textAlignment w:val="auto"/>
        <w:rPr>
          <w:rFonts w:hint="eastAsia" w:ascii="仿宋_GB2312" w:hAnsi="仿宋_GB2312" w:eastAsia="仿宋_GB2312" w:cs="仿宋_GB2312"/>
          <w:i w:val="0"/>
          <w:iCs w:val="0"/>
          <w:caps w:val="0"/>
          <w:color w:val="333333"/>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color="auto" w:fill="FFFFFF"/>
          <w:lang w:val="en-US" w:eastAsia="zh-CN" w:bidi="ar"/>
        </w:rPr>
        <w:t>曲沃县行政审批服务管理局</w:t>
      </w:r>
    </w:p>
    <w:p>
      <w:pPr>
        <w:pStyle w:val="2"/>
        <w:keepNext w:val="0"/>
        <w:keepLines w:val="0"/>
        <w:pageBreakBefore w:val="0"/>
        <w:numPr>
          <w:ilvl w:val="0"/>
          <w:numId w:val="0"/>
        </w:numPr>
        <w:kinsoku/>
        <w:wordWrap/>
        <w:overflowPunct/>
        <w:topLinePunct w:val="0"/>
        <w:autoSpaceDE/>
        <w:autoSpaceDN/>
        <w:bidi w:val="0"/>
        <w:spacing w:line="560" w:lineRule="exact"/>
        <w:ind w:firstLine="5120" w:firstLineChars="1600"/>
        <w:textAlignment w:val="auto"/>
        <w:rPr>
          <w:rFonts w:hint="default" w:ascii="仿宋_GB2312" w:hAnsi="仿宋_GB2312" w:eastAsia="仿宋_GB2312" w:cs="仿宋_GB2312"/>
          <w:i w:val="0"/>
          <w:iCs w:val="0"/>
          <w:caps w:val="0"/>
          <w:color w:val="333333"/>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color="auto" w:fill="FFFFFF"/>
          <w:lang w:val="en-US" w:eastAsia="zh-CN" w:bidi="ar"/>
        </w:rPr>
        <w:t>2023年12月21日</w:t>
      </w:r>
    </w:p>
    <w:sectPr>
      <w:pgSz w:w="11906" w:h="16838"/>
      <w:pgMar w:top="1871" w:right="1531" w:bottom="1871" w:left="1531"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altName w:val="方正小标宋_GBK"/>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仿宋">
    <w:panose1 w:val="02010609060101010101"/>
    <w:charset w:val="86"/>
    <w:family w:val="auto"/>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8AB728"/>
    <w:multiLevelType w:val="singleLevel"/>
    <w:tmpl w:val="FA8AB728"/>
    <w:lvl w:ilvl="0" w:tentative="0">
      <w:start w:val="6"/>
      <w:numFmt w:val="chineseCounting"/>
      <w:suff w:val="nothing"/>
      <w:lvlText w:val="%1、"/>
      <w:lvlJc w:val="left"/>
      <w:rPr>
        <w:rFonts w:hint="eastAsia" w:ascii="黑体" w:hAnsi="黑体" w:eastAsia="黑体" w:cs="黑体"/>
      </w:rPr>
    </w:lvl>
  </w:abstractNum>
  <w:abstractNum w:abstractNumId="1">
    <w:nsid w:val="4AC07CD4"/>
    <w:multiLevelType w:val="singleLevel"/>
    <w:tmpl w:val="4AC07CD4"/>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true"/>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xYWE5YzcyZDAyMmM5YjQzMTVkMTg2ZTFjODhiNjAifQ=="/>
  </w:docVars>
  <w:rsids>
    <w:rsidRoot w:val="64BD16BD"/>
    <w:rsid w:val="0B1A7CC0"/>
    <w:rsid w:val="106F3A96"/>
    <w:rsid w:val="128679E9"/>
    <w:rsid w:val="136F1744"/>
    <w:rsid w:val="181866A5"/>
    <w:rsid w:val="228C7B28"/>
    <w:rsid w:val="236B6EB3"/>
    <w:rsid w:val="23AC4008"/>
    <w:rsid w:val="27ED4762"/>
    <w:rsid w:val="283C2BCC"/>
    <w:rsid w:val="28924EE2"/>
    <w:rsid w:val="2A905451"/>
    <w:rsid w:val="2E2B414C"/>
    <w:rsid w:val="2F537557"/>
    <w:rsid w:val="33C17ECD"/>
    <w:rsid w:val="3AEA76D6"/>
    <w:rsid w:val="3C7544A7"/>
    <w:rsid w:val="45191E0F"/>
    <w:rsid w:val="47024B89"/>
    <w:rsid w:val="528830BD"/>
    <w:rsid w:val="54243B24"/>
    <w:rsid w:val="59F36CDF"/>
    <w:rsid w:val="5BDD49CC"/>
    <w:rsid w:val="5C82434A"/>
    <w:rsid w:val="645106EB"/>
    <w:rsid w:val="66C33EDD"/>
    <w:rsid w:val="6CA27A72"/>
    <w:rsid w:val="6EF72976"/>
    <w:rsid w:val="722310B3"/>
    <w:rsid w:val="737364D5"/>
    <w:rsid w:val="75AB309B"/>
    <w:rsid w:val="7625163C"/>
    <w:rsid w:val="76FE0619"/>
    <w:rsid w:val="7C2D4B10"/>
    <w:rsid w:val="7C6D071B"/>
    <w:rsid w:val="FBBB9F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4">
    <w:name w:val="Title"/>
    <w:basedOn w:val="1"/>
    <w:next w:val="1"/>
    <w:qFormat/>
    <w:uiPriority w:val="0"/>
    <w:pPr>
      <w:spacing w:before="240" w:after="60"/>
      <w:jc w:val="center"/>
      <w:outlineLvl w:val="0"/>
    </w:pPr>
    <w:rPr>
      <w:rFonts w:ascii="Arial" w:hAnsi="Arial"/>
      <w:b/>
      <w:sz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自定义 2">
      <a:dk1>
        <a:srgbClr val="000000"/>
      </a:dk1>
      <a:lt1>
        <a:srgbClr val="FFFFFF"/>
      </a:lt1>
      <a:dk2>
        <a:srgbClr val="44546A"/>
      </a:dk2>
      <a:lt2>
        <a:srgbClr val="E2F0D9"/>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5675</Words>
  <Characters>5735</Characters>
  <Lines>0</Lines>
  <Paragraphs>0</Paragraphs>
  <TotalTime>76</TotalTime>
  <ScaleCrop>false</ScaleCrop>
  <LinksUpToDate>false</LinksUpToDate>
  <CharactersWithSpaces>5755</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2023-01-04T15:36:00Z</dcterms:created>
  <dc:creator>玫瑰花和小羊</dc:creator>
  <cp:lastModifiedBy>baixin</cp:lastModifiedBy>
  <cp:lastPrinted>2023-01-06T09:49:00Z</cp:lastPrinted>
  <dcterms:modified xsi:type="dcterms:W3CDTF">2024-07-25T15:15:38Z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8C09466D41BB49FB89518F46A0AF3B53_13</vt:lpwstr>
  </property>
</Properties>
</file>