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173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17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  <w:jc w:val="center"/>
        </w:trPr>
        <w:tc>
          <w:tcPr>
            <w:tcW w:w="13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附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eastAsia="zh-CN"/>
              </w:rPr>
              <w:t>件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1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Style w:val="7"/>
                <w:rFonts w:hint="eastAsia" w:ascii="方正小标宋简体" w:hAnsi="方正小标宋简体" w:eastAsia="方正小标宋简体" w:cs="方正小标宋简体"/>
                <w:sz w:val="44"/>
                <w:szCs w:val="44"/>
                <w:lang w:eastAsia="zh-CN"/>
              </w:rPr>
              <w:t>曲沃县</w:t>
            </w:r>
            <w:r>
              <w:rPr>
                <w:rStyle w:val="7"/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食品安全突发事件响应分级及措施</w:t>
            </w:r>
          </w:p>
        </w:tc>
      </w:tr>
    </w:tbl>
    <w:p/>
    <w:tbl>
      <w:tblPr>
        <w:tblStyle w:val="5"/>
        <w:tblW w:w="1375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3450"/>
        <w:gridCol w:w="3255"/>
        <w:gridCol w:w="543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  <w:tblHeader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响应级别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1" w:beforeLines="50"/>
              <w:ind w:firstLine="180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响应措施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Ⅲ级响应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Ⅱ级响应</w:t>
            </w:r>
          </w:p>
        </w:tc>
        <w:tc>
          <w:tcPr>
            <w:tcW w:w="5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Ⅰ级响应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0"/>
              </w:rPr>
              <w:t>响应条件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出现以下条件之一，启动Ⅲ级响应: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1.存在健康损害的污染食品，已造成严重健康损害后果的；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2.1起食品安全事件涉及人数100人以下且未出现死亡病例，经评估认为应当采取应急措施的；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3.已经造成一般危害或一般不良影响，经评估认为应当采取应急措施应对的食品安全舆情事件；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4.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指挥部认定的其他需启动Ⅲ级响应的食品安全突发事件。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出现以下条件之一，启动Ⅱ级响应：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1.受污染食品流入2个以上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乡镇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已造成严重损害健康后果的；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2.1起食品安全事件涉及人数在100人以上，或者涉及人数在100人以下但出现死亡病例的；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3.已经造成较大危害或较大不良影响，经评估认为应当采取应急措施应对的食品安全舆情事件；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4.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指挥部认定的其他需启动Ⅱ级响应的食品安全突发事件。</w:t>
            </w:r>
          </w:p>
        </w:tc>
        <w:tc>
          <w:tcPr>
            <w:tcW w:w="5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出现以下条件之一，启动I级响应: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1. 受污染食品流入2个以上省份或国（境）外（含港澳台地区），造成特别严重健康损害后果的；或经评估认为危害特别严重的；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2. 受污染食品流入2个以上设区市，造成或经评估认为可能对社会公众健康产生严重损害的；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3. 发现在我国首次出现的新的污染物引起的食源性疾病，造成严重健康损害后果并有扩散趋势的；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4.1起食品安全事件出现10人以上死亡的；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5.1起食品安全事件涉及人数在100人以上且出现死亡病例的；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6. 已经造成重大危害或重大不良影响，经评估认为应当在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级层面采取应急措施应对的食品安全舆情事件；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 xml:space="preserve">    7.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指挥部认定的其他需启动Ⅰ级响应的食品安全突发事件。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0"/>
              </w:rPr>
              <w:t>启动程序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事件发生后，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指挥部办公室经评估，向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指挥部报告，由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指挥部决定启动Ⅲ级响应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事件发生后，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指挥部办公室经评估，向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指挥部提出建议，由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指挥部决定启动Ⅱ级响应</w:t>
            </w:r>
          </w:p>
        </w:tc>
        <w:tc>
          <w:tcPr>
            <w:tcW w:w="5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事件发生后，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指挥部办公室经评估，向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指挥部提出启动Ⅰ级响应的建议，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</w:rPr>
              <w:t>指挥部决定启动Ⅰ级响应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0"/>
              </w:rPr>
              <w:t>响应措施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1.加强与事发地县级指挥机构的通信联系，随时掌握事件进展情况。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2.根据事件进展，必要时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派出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由内设机构负责人或其他人员带队的工作组赴现场，核查事件，指导协助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事发地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开展处置工作。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3.县指挥部办公室必要时组织专家进行事件会商，研究评估事件发展趋势。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1.加强与事发地县级指挥机构的通信联系，随时掌握事件进展情况。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2.派出由县指挥部相关负责人带队、有关部门参加的工作人员赶赴现场，核查事件，指导协助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事发地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开展处置工作。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3.县指挥都办公室组织专家进行事件会商，研究评估事件发展趋势。</w:t>
            </w:r>
          </w:p>
        </w:tc>
        <w:tc>
          <w:tcPr>
            <w:tcW w:w="5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1.召开县指挥部会商会，对应急处置重大事项做出决定。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2.各应急工作组按照县指挥部的指令赶赴现场，依据各自职责分工开展应急处置工作。                            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3.组织人员召开专家咨询会，分析情况、提出处置建议，派遣相关救援力量和专家赶赴现场，参与指导现场应急处置工作。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4.按规定向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市市场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场监管局、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卫生健康委、县政府报告事件情况和应急处置情况，必要时请求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市市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场监管局、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卫生健康委等给与支持。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0"/>
              </w:rPr>
              <w:t>响应级别调整</w:t>
            </w:r>
          </w:p>
        </w:tc>
        <w:tc>
          <w:tcPr>
            <w:tcW w:w="121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18"/>
                <w:szCs w:val="18"/>
              </w:rPr>
              <w:t>.响应升级</w:t>
            </w:r>
            <w:r>
              <w:rPr>
                <w:rStyle w:val="8"/>
                <w:rFonts w:hint="eastAsia" w:ascii="仿宋_GB2312" w:hAnsi="仿宋_GB2312" w:eastAsia="仿宋_GB2312" w:cs="仿宋_GB2312"/>
              </w:rPr>
              <w:br w:type="textWrapping"/>
            </w:r>
            <w:r>
              <w:rPr>
                <w:rStyle w:val="8"/>
                <w:rFonts w:hint="eastAsia" w:ascii="仿宋_GB2312" w:hAnsi="仿宋_GB2312" w:eastAsia="仿宋_GB2312" w:cs="仿宋_GB2312"/>
              </w:rPr>
              <w:t xml:space="preserve">    当事件进一步加重，影响或危害扩大并有蔓延趋势，情况复杂难以控制时，应当及时提升响应级别。</w:t>
            </w:r>
            <w:r>
              <w:rPr>
                <w:rStyle w:val="8"/>
                <w:rFonts w:hint="eastAsia" w:ascii="仿宋_GB2312" w:hAnsi="仿宋_GB2312" w:eastAsia="仿宋_GB2312" w:cs="仿宋_GB2312"/>
              </w:rPr>
              <w:br w:type="textWrapping"/>
            </w:r>
            <w:r>
              <w:rPr>
                <w:rStyle w:val="8"/>
                <w:rFonts w:hint="eastAsia" w:ascii="仿宋_GB2312" w:hAnsi="仿宋_GB2312" w:eastAsia="仿宋_GB2312" w:cs="仿宋_GB2312"/>
              </w:rPr>
              <w:t xml:space="preserve">    当学校或托幼机构、全县性或区域性重要活动期间发生食品安全突发事件时，可应当提高响应级别，加大应急处置力度，确保迅速、有效应对食品安全突发事件，维护社会稳定。                                                                                                              2.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18"/>
                <w:szCs w:val="18"/>
              </w:rPr>
              <w:t xml:space="preserve">响应降级                                                                   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18"/>
                <w:szCs w:val="18"/>
              </w:rPr>
              <w:t xml:space="preserve">    </w:t>
            </w:r>
            <w:r>
              <w:rPr>
                <w:rStyle w:val="8"/>
                <w:rFonts w:hint="eastAsia" w:ascii="仿宋_GB2312" w:hAnsi="仿宋_GB2312" w:eastAsia="仿宋_GB2312" w:cs="仿宋_GB2312"/>
              </w:rPr>
              <w:t>事件危害或不良影响得到控制，且经研判认为事件危害或不良影响已降到原级别评估标准以下，无进一步蔓延趋势的，可降低应急响应级别。</w:t>
            </w:r>
            <w:r>
              <w:rPr>
                <w:rStyle w:val="8"/>
                <w:rFonts w:hint="eastAsia" w:ascii="仿宋_GB2312" w:hAnsi="仿宋_GB2312" w:eastAsia="仿宋_GB2312" w:cs="仿宋_GB2312"/>
              </w:rPr>
              <w:br w:type="textWrapping"/>
            </w:r>
            <w:r>
              <w:rPr>
                <w:rStyle w:val="8"/>
                <w:rFonts w:hint="eastAsia" w:ascii="仿宋_GB2312" w:hAnsi="仿宋_GB2312" w:eastAsia="仿宋_GB2312" w:cs="仿宋_GB2312"/>
              </w:rPr>
              <w:t xml:space="preserve">    由县指挥部办公室组织对食品安全突发事件进行评估，认为符合级别调整条件的，县指挥部办公室提出调整应急响应级别建议，报县指挥部批准后实施。应急响应级别调整后，事件相关</w:t>
            </w:r>
            <w:r>
              <w:rPr>
                <w:rStyle w:val="8"/>
                <w:rFonts w:hint="eastAsia" w:ascii="仿宋_GB2312" w:hAnsi="仿宋_GB2312" w:eastAsia="仿宋_GB2312" w:cs="仿宋_GB2312"/>
                <w:lang w:eastAsia="zh-CN"/>
              </w:rPr>
              <w:t>辖区</w:t>
            </w:r>
            <w:r>
              <w:rPr>
                <w:rStyle w:val="8"/>
                <w:rFonts w:hint="eastAsia" w:ascii="仿宋_GB2312" w:hAnsi="仿宋_GB2312" w:eastAsia="仿宋_GB2312" w:cs="仿宋_GB2312"/>
              </w:rPr>
              <w:t>政府应当结合调整后级别采取相应的措施。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0" w:hRule="atLeast"/>
          <w:jc w:val="center"/>
        </w:trPr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0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0"/>
              </w:rPr>
              <w:t>响应终止</w:t>
            </w:r>
          </w:p>
        </w:tc>
        <w:tc>
          <w:tcPr>
            <w:tcW w:w="121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当食品安全突发事件得到控制，并符合以下要求，经分析评估认为可解除响应的，应当及时终止响应。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1.患者基本得到救治，事态基本得到控制，伤病员病情基本稳定，且同时期无同类新发病例出现；一个最长潜伏期内，在食源性污染导致的最后一例患者之后，未出现同类新发病例；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2.现场、受污染食品得到有效控制，食品与环境污染得到有效卫生处理并符合相关标准，次生、衍生事故隐患消除；                           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3.事件造成的危害得到控制，不需要继续按预案进行应急处置的。                          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   4.由县指挥部办公室组织对食品安全突发事件进行评估，认为符合响应终止条件时，县指挥部办公室提出终止响应的建议，报县指挥部批准后实施。</w:t>
            </w:r>
          </w:p>
        </w:tc>
      </w:tr>
    </w:tbl>
    <w:p/>
    <w:p>
      <w:bookmarkStart w:id="0" w:name="_GoBack"/>
      <w:bookmarkEnd w:id="0"/>
    </w:p>
    <w:sectPr>
      <w:pgSz w:w="16838" w:h="11906" w:orient="landscape"/>
      <w:pgMar w:top="1440" w:right="1080" w:bottom="1440" w:left="108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FC163"/>
    <w:rsid w:val="7FDFC163"/>
    <w:rsid w:val="F6FDD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character" w:customStyle="1" w:styleId="7">
    <w:name w:val="font01"/>
    <w:basedOn w:val="6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8">
    <w:name w:val="font21"/>
    <w:basedOn w:val="6"/>
    <w:qFormat/>
    <w:uiPriority w:val="0"/>
    <w:rPr>
      <w:rFonts w:hint="default" w:ascii="仿宋_GB2312" w:eastAsia="仿宋_GB2312" w:cs="仿宋_GB2312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2021-11-26T15:57:00Z</dcterms:created>
  <dc:creator>baixin</dc:creator>
  <cp:lastModifiedBy>baixin</cp:lastModifiedBy>
  <dcterms:modified xsi:type="dcterms:W3CDTF">2021-11-26T16:01:49Z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