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tabs>
          <w:tab w:val="left" w:pos="3167"/>
        </w:tabs>
        <w:ind w:left="0" w:leftChars="0" w:firstLine="0" w:firstLineChars="0"/>
        <w:rPr>
          <w:rFonts w:hint="eastAsia" w:ascii="黑体" w:hAnsi="黑体" w:eastAsia="黑体" w:cs="黑体"/>
          <w:sz w:val="32"/>
          <w:szCs w:val="32"/>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-462915</wp:posOffset>
                </wp:positionH>
                <wp:positionV relativeFrom="page">
                  <wp:posOffset>1109345</wp:posOffset>
                </wp:positionV>
                <wp:extent cx="519430" cy="832485"/>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519430" cy="83248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14—</w:t>
                            </w:r>
                          </w:p>
                        </w:txbxContent>
                      </wps:txbx>
                      <wps:bodyPr vert="vert" upright="true"/>
                    </wps:wsp>
                  </a:graphicData>
                </a:graphic>
              </wp:anchor>
            </w:drawing>
          </mc:Choice>
          <mc:Fallback>
            <w:pict>
              <v:shape id="_x0000_s1026" o:spid="_x0000_s1026" o:spt="202" type="#_x0000_t202" style="position:absolute;left:0pt;margin-left:-36.45pt;margin-top:87.35pt;height:65.55pt;width:40.9pt;mso-position-vertical-relative:page;z-index:251659264;mso-width-relative:page;mso-height-relative:page;" filled="f" stroked="f" coordsize="21600,21600" o:gfxdata="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WAAAAZHJzL1BLAQIUABQAAAAIAIdO4kDA/VKv1QAA&#10;AAkBAAAPAAAAAAAAAAEAIAAAADgAAABkcnMvZG93bnJldi54bWxQSwECFAAUAAAACACHTuJAeCaj&#10;OJkBAAARAwAADgAAAAAAAAABACAAAAA6AQAAZHJzL2Uyb0RvYy54bWxQSwUGAAAAAAYABgBZAQAA&#10;RQUAAAAA&#10;">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14—</w:t>
                      </w:r>
                    </w:p>
                  </w:txbxContent>
                </v:textbox>
              </v:shape>
            </w:pict>
          </mc:Fallback>
        </mc:AlternateContent>
      </w: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pStyle w:val="4"/>
        <w:rPr>
          <w:rFonts w:hint="default"/>
          <w:lang w:val="en-US" w:eastAsia="zh-CN"/>
        </w:rPr>
      </w:pPr>
    </w:p>
    <w:p>
      <w:pPr>
        <w:tabs>
          <w:tab w:val="right" w:leader="middleDot" w:pos="8490"/>
        </w:tabs>
        <w:jc w:val="center"/>
        <w:rPr>
          <w:rFonts w:hint="eastAsia" w:ascii="方正小标宋简体" w:hAnsi="方正小标宋简体" w:eastAsia="方正小标宋简体" w:cs="方正小标宋简体"/>
          <w:b w:val="0"/>
          <w:bCs w:val="0"/>
          <w:kern w:val="2"/>
          <w:sz w:val="44"/>
          <w:szCs w:val="44"/>
          <w:lang w:val="en-US" w:eastAsia="zh-CN" w:bidi="ar-SA"/>
        </w:rPr>
      </w:pPr>
      <w:bookmarkStart w:id="0" w:name="_Toc22453_WPSOffice_Level1"/>
      <w:r>
        <w:rPr>
          <w:rFonts w:hint="eastAsia" w:ascii="方正小标宋简体" w:hAnsi="方正小标宋简体" w:eastAsia="方正小标宋简体" w:cs="方正小标宋简体"/>
          <w:b w:val="0"/>
          <w:bCs w:val="0"/>
          <w:kern w:val="2"/>
          <w:sz w:val="44"/>
          <w:szCs w:val="44"/>
          <w:lang w:val="en-US" w:eastAsia="zh-CN" w:bidi="ar-SA"/>
        </w:rPr>
        <w:t>曲沃县突发地质灾害指挥机构及职责</w:t>
      </w:r>
      <w:bookmarkEnd w:id="0"/>
    </w:p>
    <w:tbl>
      <w:tblPr>
        <w:tblStyle w:val="5"/>
        <w:tblW w:w="1366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6"/>
        <w:gridCol w:w="2311"/>
        <w:gridCol w:w="1020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2" w:hRule="atLeast"/>
          <w:tblHeader/>
        </w:trPr>
        <w:tc>
          <w:tcPr>
            <w:tcW w:w="1156" w:type="dxa"/>
            <w:noWrap w:val="0"/>
            <w:tcMar>
              <w:top w:w="15" w:type="dxa"/>
              <w:left w:w="15" w:type="dxa"/>
              <w:right w:w="15" w:type="dxa"/>
            </w:tcMar>
            <w:vAlign w:val="center"/>
          </w:tcPr>
          <w:p>
            <w:pPr>
              <w:widowControl/>
              <w:jc w:val="center"/>
              <w:textAlignment w:val="center"/>
              <w:rPr>
                <w:rFonts w:ascii="Times New Roman" w:hAnsi="Times New Roman" w:eastAsia="仿宋"/>
                <w:b/>
                <w:bCs/>
                <w:color w:val="000000"/>
                <w:sz w:val="24"/>
              </w:rPr>
            </w:pPr>
            <w:r>
              <w:rPr>
                <w:rFonts w:ascii="Times New Roman" w:hAnsi="Times New Roman" w:eastAsia="仿宋"/>
                <w:b/>
                <w:bCs/>
                <w:color w:val="000000"/>
                <w:kern w:val="0"/>
                <w:sz w:val="24"/>
                <w:lang w:bidi="ar"/>
              </w:rPr>
              <w:t>应急职务</w:t>
            </w:r>
          </w:p>
        </w:tc>
        <w:tc>
          <w:tcPr>
            <w:tcW w:w="2311" w:type="dxa"/>
            <w:noWrap w:val="0"/>
            <w:tcMar>
              <w:top w:w="15" w:type="dxa"/>
              <w:left w:w="15" w:type="dxa"/>
              <w:right w:w="15" w:type="dxa"/>
            </w:tcMar>
            <w:vAlign w:val="center"/>
          </w:tcPr>
          <w:p>
            <w:pPr>
              <w:widowControl/>
              <w:jc w:val="center"/>
              <w:textAlignment w:val="center"/>
              <w:rPr>
                <w:rFonts w:hint="eastAsia" w:ascii="Times New Roman" w:hAnsi="Times New Roman" w:eastAsia="仿宋"/>
                <w:b/>
                <w:bCs/>
                <w:color w:val="000000"/>
                <w:sz w:val="24"/>
                <w:lang w:eastAsia="zh-CN"/>
              </w:rPr>
            </w:pPr>
            <w:r>
              <w:rPr>
                <w:rFonts w:hint="eastAsia" w:ascii="Times New Roman" w:hAnsi="Times New Roman" w:eastAsia="仿宋"/>
                <w:b/>
                <w:bCs/>
                <w:color w:val="000000"/>
                <w:kern w:val="0"/>
                <w:sz w:val="24"/>
                <w:lang w:eastAsia="zh-CN" w:bidi="ar"/>
              </w:rPr>
              <w:t>人员组成</w:t>
            </w:r>
          </w:p>
        </w:tc>
        <w:tc>
          <w:tcPr>
            <w:tcW w:w="10200" w:type="dxa"/>
            <w:noWrap w:val="0"/>
            <w:tcMar>
              <w:top w:w="15" w:type="dxa"/>
              <w:left w:w="15" w:type="dxa"/>
              <w:right w:w="15" w:type="dxa"/>
            </w:tcMar>
            <w:vAlign w:val="center"/>
          </w:tcPr>
          <w:p>
            <w:pPr>
              <w:widowControl/>
              <w:jc w:val="center"/>
              <w:textAlignment w:val="center"/>
              <w:rPr>
                <w:rFonts w:ascii="Times New Roman" w:hAnsi="Times New Roman" w:eastAsia="仿宋"/>
                <w:b/>
                <w:bCs/>
                <w:color w:val="000000"/>
                <w:sz w:val="24"/>
              </w:rPr>
            </w:pPr>
            <w:r>
              <w:rPr>
                <w:rFonts w:ascii="Times New Roman" w:hAnsi="Times New Roman" w:eastAsia="仿宋"/>
                <w:b/>
                <w:bCs/>
                <w:color w:val="000000"/>
                <w:kern w:val="0"/>
                <w:sz w:val="24"/>
                <w:lang w:bidi="ar"/>
              </w:rPr>
              <w:t>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8" w:hRule="atLeast"/>
        </w:trPr>
        <w:tc>
          <w:tcPr>
            <w:tcW w:w="1156" w:type="dxa"/>
            <w:vMerge w:val="restart"/>
            <w:noWrap w:val="0"/>
            <w:tcMar>
              <w:top w:w="15" w:type="dxa"/>
              <w:left w:w="15" w:type="dxa"/>
              <w:right w:w="15" w:type="dxa"/>
            </w:tcMar>
            <w:vAlign w:val="center"/>
          </w:tcPr>
          <w:p>
            <w:pPr>
              <w:widowControl/>
              <w:jc w:val="center"/>
              <w:textAlignment w:val="center"/>
              <w:rPr>
                <w:rFonts w:ascii="Times New Roman" w:hAnsi="Times New Roman" w:eastAsia="仿宋"/>
                <w:b/>
                <w:bCs/>
                <w:color w:val="000000"/>
                <w:sz w:val="24"/>
              </w:rPr>
            </w:pPr>
            <w:r>
              <w:rPr>
                <w:rFonts w:hint="eastAsia" w:ascii="Times New Roman" w:hAnsi="Times New Roman" w:eastAsia="仿宋"/>
                <w:b/>
                <w:bCs/>
                <w:color w:val="000000"/>
                <w:kern w:val="0"/>
                <w:sz w:val="24"/>
                <w:lang w:bidi="ar"/>
              </w:rPr>
              <w:t>指挥长</w:t>
            </w: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县政府分管副县长</w:t>
            </w:r>
          </w:p>
        </w:tc>
        <w:tc>
          <w:tcPr>
            <w:tcW w:w="10200" w:type="dxa"/>
            <w:vMerge w:val="restart"/>
            <w:noWrap w:val="0"/>
            <w:tcMar>
              <w:top w:w="15" w:type="dxa"/>
              <w:left w:w="15" w:type="dxa"/>
              <w:right w:w="15" w:type="dxa"/>
            </w:tcMar>
            <w:vAlign w:val="center"/>
          </w:tcPr>
          <w:p>
            <w:pPr>
              <w:widowControl/>
              <w:numPr>
                <w:ilvl w:val="0"/>
                <w:numId w:val="1"/>
              </w:numPr>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负责全</w:t>
            </w:r>
            <w:r>
              <w:rPr>
                <w:rFonts w:hint="eastAsia" w:ascii="仿宋_GB2312" w:hAnsi="仿宋_GB2312" w:eastAsia="仿宋_GB2312" w:cs="仿宋_GB2312"/>
                <w:color w:val="000000"/>
                <w:sz w:val="24"/>
                <w:lang w:eastAsia="zh-CN"/>
              </w:rPr>
              <w:t>县</w:t>
            </w:r>
            <w:r>
              <w:rPr>
                <w:rFonts w:hint="eastAsia" w:ascii="仿宋_GB2312" w:hAnsi="仿宋_GB2312" w:eastAsia="仿宋_GB2312" w:cs="仿宋_GB2312"/>
                <w:color w:val="000000"/>
                <w:sz w:val="24"/>
              </w:rPr>
              <w:t>地质灾害防范治理工作。</w:t>
            </w:r>
          </w:p>
          <w:p>
            <w:pPr>
              <w:widowControl/>
              <w:numPr>
                <w:ilvl w:val="0"/>
                <w:numId w:val="1"/>
              </w:numPr>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制定地质灾害总体规划、重要措施。</w:t>
            </w:r>
          </w:p>
          <w:p>
            <w:pPr>
              <w:widowControl/>
              <w:numPr>
                <w:ilvl w:val="0"/>
                <w:numId w:val="1"/>
              </w:numPr>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指导协调地质灾害风险防控、监测预警、调查评估和善后工作。</w:t>
            </w:r>
          </w:p>
          <w:p>
            <w:pPr>
              <w:widowControl/>
              <w:numPr>
                <w:ilvl w:val="0"/>
                <w:numId w:val="1"/>
              </w:numPr>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组织指挥地质灾害应急处置工作。</w:t>
            </w:r>
          </w:p>
          <w:p>
            <w:pPr>
              <w:widowControl/>
              <w:numPr>
                <w:ilvl w:val="0"/>
                <w:numId w:val="1"/>
              </w:numPr>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部署和组织有关部门</w:t>
            </w:r>
            <w:r>
              <w:rPr>
                <w:rFonts w:hint="eastAsia" w:ascii="仿宋_GB2312" w:hAnsi="仿宋_GB2312" w:eastAsia="仿宋_GB2312" w:cs="仿宋_GB2312"/>
                <w:color w:val="000000"/>
                <w:sz w:val="24"/>
                <w:lang w:eastAsia="zh-CN"/>
              </w:rPr>
              <w:t>和有</w:t>
            </w:r>
            <w:r>
              <w:rPr>
                <w:rFonts w:hint="eastAsia" w:ascii="仿宋_GB2312" w:hAnsi="仿宋_GB2312" w:eastAsia="仿宋_GB2312" w:cs="仿宋_GB2312"/>
                <w:color w:val="000000"/>
                <w:sz w:val="24"/>
              </w:rPr>
              <w:t>关</w:t>
            </w:r>
            <w:r>
              <w:rPr>
                <w:rFonts w:hint="eastAsia" w:ascii="仿宋_GB2312" w:hAnsi="仿宋_GB2312" w:eastAsia="仿宋_GB2312" w:cs="仿宋_GB2312"/>
                <w:color w:val="000000"/>
                <w:sz w:val="24"/>
                <w:lang w:eastAsia="zh-CN"/>
              </w:rPr>
              <w:t>乡（镇）</w:t>
            </w:r>
            <w:r>
              <w:rPr>
                <w:rFonts w:hint="eastAsia" w:ascii="仿宋_GB2312" w:hAnsi="仿宋_GB2312" w:eastAsia="仿宋_GB2312" w:cs="仿宋_GB2312"/>
                <w:color w:val="000000"/>
                <w:sz w:val="24"/>
              </w:rPr>
              <w:t>对受灾地区进行紧急援救。</w:t>
            </w:r>
          </w:p>
          <w:p>
            <w:pPr>
              <w:widowControl/>
              <w:numPr>
                <w:ilvl w:val="0"/>
                <w:numId w:val="1"/>
              </w:numPr>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落实</w:t>
            </w:r>
            <w:r>
              <w:rPr>
                <w:rFonts w:hint="eastAsia" w:ascii="仿宋_GB2312" w:hAnsi="仿宋_GB2312" w:eastAsia="仿宋_GB2312" w:cs="仿宋_GB2312"/>
                <w:color w:val="000000"/>
                <w:sz w:val="24"/>
                <w:lang w:eastAsia="zh-CN"/>
              </w:rPr>
              <w:t>县</w:t>
            </w:r>
            <w:r>
              <w:rPr>
                <w:rFonts w:hint="eastAsia" w:ascii="仿宋_GB2312" w:hAnsi="仿宋_GB2312" w:eastAsia="仿宋_GB2312" w:cs="仿宋_GB2312"/>
                <w:color w:val="000000"/>
                <w:sz w:val="24"/>
              </w:rPr>
              <w:t>委、</w:t>
            </w:r>
            <w:r>
              <w:rPr>
                <w:rFonts w:hint="eastAsia" w:ascii="仿宋_GB2312" w:hAnsi="仿宋_GB2312" w:eastAsia="仿宋_GB2312" w:cs="仿宋_GB2312"/>
                <w:color w:val="000000"/>
                <w:sz w:val="24"/>
                <w:lang w:eastAsia="zh-CN"/>
              </w:rPr>
              <w:t>县</w:t>
            </w:r>
            <w:r>
              <w:rPr>
                <w:rFonts w:hint="eastAsia" w:ascii="仿宋_GB2312" w:hAnsi="仿宋_GB2312" w:eastAsia="仿宋_GB2312" w:cs="仿宋_GB2312"/>
                <w:color w:val="000000"/>
                <w:sz w:val="24"/>
              </w:rPr>
              <w:t>政府及</w:t>
            </w:r>
            <w:r>
              <w:rPr>
                <w:rFonts w:hint="eastAsia" w:ascii="仿宋_GB2312" w:hAnsi="仿宋_GB2312" w:eastAsia="仿宋_GB2312" w:cs="仿宋_GB2312"/>
                <w:color w:val="000000"/>
                <w:sz w:val="24"/>
                <w:lang w:eastAsia="zh-CN"/>
              </w:rPr>
              <w:t>县</w:t>
            </w:r>
            <w:r>
              <w:rPr>
                <w:rFonts w:hint="eastAsia" w:ascii="仿宋_GB2312" w:hAnsi="仿宋_GB2312" w:eastAsia="仿宋_GB2312" w:cs="仿宋_GB2312"/>
                <w:color w:val="000000"/>
                <w:sz w:val="24"/>
              </w:rPr>
              <w:t>应急救援总指挥部交办的地质灾害应急处置的其他事项。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restart"/>
            <w:noWrap w:val="0"/>
            <w:tcMar>
              <w:top w:w="15" w:type="dxa"/>
              <w:left w:w="15" w:type="dxa"/>
              <w:right w:w="15" w:type="dxa"/>
            </w:tcMar>
            <w:vAlign w:val="center"/>
          </w:tcPr>
          <w:p>
            <w:pPr>
              <w:jc w:val="center"/>
              <w:rPr>
                <w:rFonts w:ascii="Times New Roman" w:hAnsi="Times New Roman" w:eastAsia="仿宋"/>
                <w:b/>
                <w:bCs/>
                <w:color w:val="000000"/>
                <w:sz w:val="24"/>
              </w:rPr>
            </w:pPr>
            <w:r>
              <w:rPr>
                <w:rFonts w:ascii="Times New Roman" w:hAnsi="Times New Roman" w:eastAsia="仿宋"/>
                <w:b/>
                <w:bCs/>
                <w:color w:val="000000"/>
                <w:sz w:val="24"/>
              </w:rPr>
              <w:t>副</w:t>
            </w:r>
            <w:r>
              <w:rPr>
                <w:rFonts w:hint="eastAsia" w:ascii="Times New Roman" w:hAnsi="Times New Roman" w:eastAsia="仿宋"/>
                <w:b/>
                <w:bCs/>
                <w:color w:val="000000"/>
                <w:sz w:val="24"/>
              </w:rPr>
              <w:t>指挥长</w:t>
            </w: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县政府办副主任</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县应急管理局局长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县自然资源局局长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县气象局局长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县武警中队中队长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县消防救援大队大队长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县人武部副部长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08" w:hRule="atLeast"/>
        </w:trPr>
        <w:tc>
          <w:tcPr>
            <w:tcW w:w="1156" w:type="dxa"/>
            <w:vMerge w:val="restart"/>
            <w:noWrap w:val="0"/>
            <w:tcMar>
              <w:top w:w="15" w:type="dxa"/>
              <w:left w:w="15" w:type="dxa"/>
              <w:right w:w="15" w:type="dxa"/>
            </w:tcMar>
            <w:vAlign w:val="center"/>
          </w:tcPr>
          <w:p>
            <w:pPr>
              <w:jc w:val="center"/>
              <w:rPr>
                <w:rFonts w:ascii="Times New Roman" w:hAnsi="Times New Roman" w:eastAsia="仿宋"/>
                <w:b/>
                <w:bCs/>
                <w:color w:val="000000"/>
                <w:sz w:val="24"/>
              </w:rPr>
            </w:pPr>
            <w:r>
              <w:rPr>
                <w:rFonts w:hint="eastAsia" w:ascii="Times New Roman" w:hAnsi="Times New Roman" w:eastAsia="仿宋"/>
                <w:b/>
                <w:bCs/>
                <w:color w:val="000000"/>
                <w:sz w:val="24"/>
                <w:lang w:eastAsia="zh-CN"/>
              </w:rPr>
              <w:t>县</w:t>
            </w:r>
            <w:r>
              <w:rPr>
                <w:rFonts w:hint="eastAsia" w:ascii="Times New Roman" w:hAnsi="Times New Roman" w:eastAsia="仿宋"/>
                <w:b/>
                <w:bCs/>
                <w:color w:val="000000"/>
                <w:sz w:val="24"/>
              </w:rPr>
              <w:t>指挥部</w:t>
            </w:r>
            <w:r>
              <w:rPr>
                <w:rFonts w:ascii="Times New Roman" w:hAnsi="Times New Roman" w:eastAsia="仿宋"/>
                <w:b/>
                <w:bCs/>
                <w:color w:val="000000"/>
                <w:sz w:val="24"/>
              </w:rPr>
              <w:t>办公室主任</w:t>
            </w: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县应急管理局局长</w:t>
            </w:r>
          </w:p>
        </w:tc>
        <w:tc>
          <w:tcPr>
            <w:tcW w:w="10200" w:type="dxa"/>
            <w:vMerge w:val="restart"/>
            <w:noWrap w:val="0"/>
            <w:tcMar>
              <w:top w:w="15" w:type="dxa"/>
              <w:left w:w="15" w:type="dxa"/>
              <w:right w:w="15" w:type="dxa"/>
            </w:tcMar>
            <w:vAlign w:val="center"/>
          </w:tcPr>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承担地质灾害应急指挥部日常工作。</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负责制定、修订地质灾害专项应急预案。</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开展地质灾害风险防控和监测预警工作。</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组织桌面推演、实兵演练等应对地质灾害专项训练。</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协调各方面力量参加地质灾害救援行动。</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协助</w:t>
            </w:r>
            <w:r>
              <w:rPr>
                <w:rFonts w:hint="eastAsia" w:ascii="仿宋_GB2312" w:hAnsi="仿宋_GB2312" w:eastAsia="仿宋_GB2312" w:cs="仿宋_GB2312"/>
                <w:color w:val="000000"/>
                <w:sz w:val="24"/>
                <w:lang w:eastAsia="zh-CN"/>
              </w:rPr>
              <w:t>县</w:t>
            </w:r>
            <w:r>
              <w:rPr>
                <w:rFonts w:hint="eastAsia" w:ascii="仿宋_GB2312" w:hAnsi="仿宋_GB2312" w:eastAsia="仿宋_GB2312" w:cs="仿宋_GB2312"/>
                <w:color w:val="000000"/>
                <w:sz w:val="24"/>
              </w:rPr>
              <w:t>委、</w:t>
            </w:r>
            <w:r>
              <w:rPr>
                <w:rFonts w:hint="eastAsia" w:ascii="仿宋_GB2312" w:hAnsi="仿宋_GB2312" w:eastAsia="仿宋_GB2312" w:cs="仿宋_GB2312"/>
                <w:color w:val="000000"/>
                <w:sz w:val="24"/>
                <w:lang w:eastAsia="zh-CN"/>
              </w:rPr>
              <w:t>县</w:t>
            </w:r>
            <w:r>
              <w:rPr>
                <w:rFonts w:hint="eastAsia" w:ascii="仿宋_GB2312" w:hAnsi="仿宋_GB2312" w:eastAsia="仿宋_GB2312" w:cs="仿宋_GB2312"/>
                <w:color w:val="000000"/>
                <w:sz w:val="24"/>
              </w:rPr>
              <w:t>政府指定的负责同志组织地质灾害应急处置工作。</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组织开展调查评估和协调推进善后处置工作。</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报告和发布地质灾害信息。</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指导各</w:t>
            </w:r>
            <w:r>
              <w:rPr>
                <w:rFonts w:hint="eastAsia" w:ascii="仿宋_GB2312" w:hAnsi="仿宋_GB2312" w:eastAsia="仿宋_GB2312" w:cs="仿宋_GB2312"/>
                <w:color w:val="000000"/>
                <w:sz w:val="24"/>
                <w:lang w:eastAsia="zh-CN"/>
              </w:rPr>
              <w:t>乡（</w:t>
            </w:r>
            <w:r>
              <w:rPr>
                <w:rFonts w:hint="eastAsia" w:ascii="仿宋_GB2312" w:hAnsi="仿宋_GB2312" w:eastAsia="仿宋_GB2312" w:cs="仿宋_GB2312"/>
                <w:color w:val="000000"/>
                <w:sz w:val="24"/>
              </w:rPr>
              <w:t>镇）地质灾害应对等工作。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1156" w:type="dxa"/>
            <w:vMerge w:val="continue"/>
            <w:noWrap w:val="0"/>
            <w:tcMar>
              <w:top w:w="15" w:type="dxa"/>
              <w:left w:w="15" w:type="dxa"/>
              <w:right w:w="15" w:type="dxa"/>
            </w:tcMar>
            <w:vAlign w:val="center"/>
          </w:tcPr>
          <w:p>
            <w:pPr>
              <w:jc w:val="center"/>
              <w:rPr>
                <w:rFonts w:hint="eastAsia" w:ascii="Times New Roman" w:hAnsi="Times New Roman" w:eastAsia="仿宋"/>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县自然资源局局长</w:t>
            </w:r>
          </w:p>
        </w:tc>
        <w:tc>
          <w:tcPr>
            <w:tcW w:w="10200" w:type="dxa"/>
            <w:vMerge w:val="continue"/>
            <w:noWrap w:val="0"/>
            <w:tcMar>
              <w:top w:w="15" w:type="dxa"/>
              <w:left w:w="15" w:type="dxa"/>
              <w:right w:w="15" w:type="dxa"/>
            </w:tcMar>
            <w:vAlign w:val="center"/>
          </w:tcPr>
          <w:p>
            <w:pPr>
              <w:jc w:val="left"/>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trPr>
        <w:tc>
          <w:tcPr>
            <w:tcW w:w="1156" w:type="dxa"/>
            <w:vMerge w:val="restart"/>
            <w:noWrap w:val="0"/>
            <w:tcMar>
              <w:top w:w="15" w:type="dxa"/>
              <w:left w:w="15" w:type="dxa"/>
              <w:right w:w="15" w:type="dxa"/>
            </w:tcMar>
            <w:vAlign w:val="center"/>
          </w:tcPr>
          <w:p>
            <w:pPr>
              <w:jc w:val="center"/>
              <w:rPr>
                <w:rFonts w:ascii="Times New Roman" w:hAnsi="Times New Roman" w:eastAsia="仿宋"/>
                <w:b/>
                <w:bCs/>
                <w:color w:val="000000"/>
                <w:sz w:val="24"/>
              </w:rPr>
            </w:pPr>
          </w:p>
          <w:p>
            <w:pPr>
              <w:jc w:val="center"/>
              <w:rPr>
                <w:rFonts w:ascii="Times New Roman" w:hAnsi="Times New Roman" w:eastAsia="仿宋"/>
                <w:b/>
                <w:bCs/>
                <w:color w:val="000000"/>
                <w:sz w:val="24"/>
              </w:rPr>
            </w:pPr>
          </w:p>
          <w:p>
            <w:pPr>
              <w:jc w:val="center"/>
              <w:rPr>
                <w:rFonts w:ascii="Times New Roman" w:hAnsi="Times New Roman" w:eastAsia="仿宋"/>
                <w:b/>
                <w:bCs/>
                <w:color w:val="000000"/>
                <w:sz w:val="24"/>
              </w:rPr>
            </w:pPr>
          </w:p>
          <w:p>
            <w:pPr>
              <w:jc w:val="center"/>
              <w:rPr>
                <w:rFonts w:ascii="Times New Roman" w:hAnsi="Times New Roman" w:eastAsia="仿宋"/>
                <w:b/>
                <w:bCs/>
                <w:color w:val="000000"/>
                <w:sz w:val="24"/>
              </w:rPr>
            </w:pPr>
          </w:p>
          <w:p>
            <w:pPr>
              <w:jc w:val="center"/>
              <w:rPr>
                <w:rFonts w:ascii="Times New Roman" w:hAnsi="Times New Roman" w:eastAsia="仿宋"/>
                <w:b/>
                <w:bCs/>
                <w:color w:val="000000"/>
                <w:sz w:val="24"/>
              </w:rPr>
            </w:pPr>
          </w:p>
          <w:p>
            <w:pPr>
              <w:jc w:val="center"/>
              <w:rPr>
                <w:rFonts w:ascii="Times New Roman" w:hAnsi="Times New Roman" w:eastAsia="仿宋"/>
                <w:b/>
                <w:bCs/>
                <w:color w:val="000000"/>
                <w:sz w:val="24"/>
              </w:rPr>
            </w:pPr>
          </w:p>
          <w:p>
            <w:pPr>
              <w:jc w:val="center"/>
              <w:rPr>
                <w:rFonts w:ascii="Times New Roman" w:hAnsi="Times New Roman" w:eastAsia="仿宋"/>
                <w:b/>
                <w:bCs/>
                <w:color w:val="000000"/>
                <w:sz w:val="24"/>
              </w:rPr>
            </w:pPr>
          </w:p>
          <w:p>
            <w:pPr>
              <w:jc w:val="center"/>
              <w:rPr>
                <w:rFonts w:hint="eastAsia" w:ascii="Times New Roman" w:hAnsi="Times New Roman" w:eastAsia="仿宋"/>
                <w:b/>
                <w:bCs/>
                <w:color w:val="000000"/>
                <w:sz w:val="24"/>
                <w:lang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-410210</wp:posOffset>
                      </wp:positionH>
                      <wp:positionV relativeFrom="page">
                        <wp:posOffset>2385695</wp:posOffset>
                      </wp:positionV>
                      <wp:extent cx="440055" cy="83248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440055" cy="83248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15—</w:t>
                                  </w:r>
                                </w:p>
                              </w:txbxContent>
                            </wps:txbx>
                            <wps:bodyPr vert="vert" upright="true"/>
                          </wps:wsp>
                        </a:graphicData>
                      </a:graphic>
                    </wp:anchor>
                  </w:drawing>
                </mc:Choice>
                <mc:Fallback>
                  <w:pict>
                    <v:shape id="_x0000_s1026" o:spid="_x0000_s1026" o:spt="202" type="#_x0000_t202" style="position:absolute;left:0pt;margin-left:-32.3pt;margin-top:187.85pt;height:65.55pt;width:34.65pt;mso-position-vertical-relative:page;z-index:251660288;mso-width-relative:page;mso-height-relative:page;" filled="f" stroked="f" coordsize="21600,21600" o:gfxdata="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FgAAAGRycy9QSwECFAAUAAAACACHTuJAiYgMitYA&#10;AAAJAQAADwAAAAAAAAABACAAAAA4AAAAZHJzL2Rvd25yZXYueG1sUEsBAhQAFAAAAAgAh07iQBOb&#10;MKuZAQAAEQMAAA4AAAAAAAAAAQAgAAAAOwEAAGRycy9lMm9Eb2MueG1sUEsFBgAAAAAGAAYAWQEA&#10;AEYFAAAAAA==&#10;">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15—</w:t>
                            </w:r>
                          </w:p>
                        </w:txbxContent>
                      </v:textbox>
                    </v:shape>
                  </w:pict>
                </mc:Fallback>
              </mc:AlternateContent>
            </w:r>
            <w:r>
              <w:rPr>
                <w:rFonts w:ascii="Times New Roman" w:hAnsi="Times New Roman" w:eastAsia="仿宋"/>
                <w:b/>
                <w:bCs/>
                <w:color w:val="000000"/>
                <w:sz w:val="24"/>
              </w:rPr>
              <w:t>成员</w:t>
            </w:r>
            <w:r>
              <w:rPr>
                <w:rFonts w:hint="eastAsia" w:ascii="Times New Roman" w:hAnsi="Times New Roman" w:eastAsia="仿宋"/>
                <w:b/>
                <w:bCs/>
                <w:color w:val="000000"/>
                <w:sz w:val="24"/>
                <w:lang w:eastAsia="zh-CN"/>
              </w:rPr>
              <w:t>单位</w:t>
            </w: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 xml:space="preserve">县委宣传部 </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负责应急新闻报道、舆情分析、媒体记者组织管理等工作。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县发展和改革局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负责全县应急储备物资的管理，组织实施全县应急储备物资的收储、轮换和日常管理，保证紧急情况下物资储备调拨。负责灾区生活必需品市场运行监测，完成支援灾区的生活必需品准备工作。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 xml:space="preserve">县公安局 </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协助受灾乡镇政府对遇险人员进行搜救，动员受灾害威胁的居民以及其他人员疏散，转移到安全地带；确定伤亡和失踪人员身份；</w:t>
            </w:r>
            <w:bookmarkStart w:id="1" w:name="_GoBack"/>
            <w:bookmarkEnd w:id="1"/>
            <w:r>
              <w:rPr>
                <w:rFonts w:hint="eastAsia" w:ascii="仿宋_GB2312" w:hAnsi="仿宋_GB2312" w:eastAsia="仿宋_GB2312" w:cs="仿宋_GB2312"/>
                <w:color w:val="000000"/>
                <w:sz w:val="24"/>
                <w:lang w:val="en-US" w:eastAsia="zh-CN"/>
              </w:rPr>
              <w:t>对遇难人员遗体进行尸体检验、数据勘验和身份识别；协助灾区有关部门维护社会治安，依法打击违法犯罪活动；迅速疏导交通，对灾区和通往灾区的道路实行交通管制，保证抢险救灾工作顺利进行。</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both"/>
              <w:textAlignment w:val="center"/>
              <w:rPr>
                <w:rFonts w:hint="eastAsia" w:ascii="仿宋_GB2312" w:hAnsi="宋体" w:eastAsia="仿宋_GB2312" w:cs="仿宋_GB2312"/>
                <w:i w:val="0"/>
                <w:color w:val="000000"/>
                <w:kern w:val="0"/>
                <w:sz w:val="24"/>
                <w:szCs w:val="24"/>
                <w:u w:val="none"/>
                <w:lang w:val="en-US" w:eastAsia="zh-CN" w:bidi="ar"/>
              </w:rPr>
            </w:pPr>
            <w:r>
              <w:rPr>
                <w:sz w:val="32"/>
              </w:rPr>
              <mc:AlternateContent>
                <mc:Choice Requires="wps">
                  <w:drawing>
                    <wp:anchor distT="0" distB="0" distL="114300" distR="114300" simplePos="0" relativeHeight="251661312" behindDoc="0" locked="0" layoutInCell="1" allowOverlap="1">
                      <wp:simplePos x="0" y="0"/>
                      <wp:positionH relativeFrom="column">
                        <wp:posOffset>-1110615</wp:posOffset>
                      </wp:positionH>
                      <wp:positionV relativeFrom="page">
                        <wp:posOffset>-491490</wp:posOffset>
                      </wp:positionV>
                      <wp:extent cx="440055" cy="720725"/>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440055" cy="72072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16—</w:t>
                                  </w:r>
                                </w:p>
                              </w:txbxContent>
                            </wps:txbx>
                            <wps:bodyPr vert="vert" upright="true"/>
                          </wps:wsp>
                        </a:graphicData>
                      </a:graphic>
                    </wp:anchor>
                  </w:drawing>
                </mc:Choice>
                <mc:Fallback>
                  <w:pict>
                    <v:shape id="_x0000_s1026" o:spid="_x0000_s1026" o:spt="202" type="#_x0000_t202" style="position:absolute;left:0pt;margin-left:-87.45pt;margin-top:-38.7pt;height:56.75pt;width:34.65pt;mso-position-vertical-relative:page;z-index:251661312;mso-width-relative:page;mso-height-relative:page;" filled="f" stroked="f" coordsize="21600,21600" o:gfxdata="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N0et&#10;J9kAAAAMAQAADwAAAAAAAAABACAAAAA4AAAAZHJzL2Rvd25yZXYueG1sUEsBAhQAFAAAAAgAh07i&#10;QL+gRpeZAQAAEQMAAA4AAAAAAAAAAQAgAAAAPgEAAGRycy9lMm9Eb2MueG1sUEsFBgAAAAAGAAYA&#10;WQEAAEkFAAAAAA==&#10;">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16—</w:t>
                            </w:r>
                          </w:p>
                        </w:txbxContent>
                      </v:textbox>
                    </v:shape>
                  </w:pict>
                </mc:Fallback>
              </mc:AlternateContent>
            </w:r>
          </w:p>
          <w:p>
            <w:pPr>
              <w:keepNext w:val="0"/>
              <w:keepLines w:val="0"/>
              <w:widowControl/>
              <w:suppressLineNumbers w:val="0"/>
              <w:jc w:val="both"/>
              <w:textAlignment w:val="center"/>
              <w:rPr>
                <w:rFonts w:hint="eastAsia" w:ascii="仿宋_GB2312" w:hAnsi="宋体" w:eastAsia="仿宋_GB2312" w:cs="仿宋_GB2312"/>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县财政局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按照分级负担原则，负责救灾资金筹集、管理，配合做好财政救灾资金、政府间捐赠资金及其他社会捐赠资金使用管理。负责组织对所需应急救援物资的政府采购，并对县应急救援物资的采购、储存、调运所需资金予以保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default" w:ascii="仿宋_GB2312" w:hAnsi="宋体" w:eastAsia="仿宋_GB2312" w:cs="仿宋_GB2312"/>
                <w:i w:val="0"/>
                <w:color w:val="000000"/>
                <w:kern w:val="0"/>
                <w:sz w:val="24"/>
                <w:szCs w:val="24"/>
                <w:u w:val="none"/>
                <w:lang w:val="en-US" w:eastAsia="zh-CN" w:bidi="ar"/>
              </w:rPr>
              <w:t>县工业和信息化局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负责组织协调各通信运营企业做好通信保障应急工作。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市生态环境局曲沃分局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负责地质灾害引发环境污染次生灾害的监测工作，并加强监控，及时提供环境监测信息。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县住房和城乡建设局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负责对受灾建筑物的损坏程度进行评估，并报告直接经济损失情况；负责灾后恢复重建工程建设监督指导。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县水利局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负责水情和汛情的监测以及地质灾害引发的次生洪涝灾害的处置；对影响水利工程设施安全的地质灾害采取紧急处置措施，避免水利工程遭受或引发地质灾害。</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县自然资源局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突发地质灾害相关信息的收集、分析。组织开展突发地质灾害应急调查和灾害区域周边的隐患排查及专业监测。负责提供地质灾害气象风险预警成果，对灾害发展趋势进行预测，为灾害应急救援提供技术支撑，提出应急处置的措施和建议，对必要的应急处置工程进行技术指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 xml:space="preserve">县交通运输局 </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负责组织抢修损毁的公路交通设施，确保公路畅通；组织协调应急运力，配合有关部门做好救灾人员、物资的运输工作。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县农业农村局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负责综合协调灾县动物疫情防治工作；负责农业生产自救，核实受损情况，指导各乡（镇）落实农业生产恢复。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县文化和旅游局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负责指导A级旅游景区按照《旅游景区质量等级的划分与划定》标准修复被毁的旅游基础设施和旅游服务设施。</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7"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县教科局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负责灾害发生时做好在校学生的安全管理和疏散工作，妥善解决灾区学生的就学问题；负责对学生进行防灾减灾应急知识的宣传教育工作。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2"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县卫体局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负责医学救援组工作。调派专家团队和卫生应急队伍，开展地质灾害伤病员医疗救治、灾区卫生防疫、心理危机干预和相关人员医疗卫生保障；督促本组成员履行相关工作职责。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sz w:val="32"/>
              </w:rPr>
              <mc:AlternateContent>
                <mc:Choice Requires="wps">
                  <w:drawing>
                    <wp:anchor distT="0" distB="0" distL="114300" distR="114300" simplePos="0" relativeHeight="251662336" behindDoc="0" locked="0" layoutInCell="1" allowOverlap="1">
                      <wp:simplePos x="0" y="0"/>
                      <wp:positionH relativeFrom="column">
                        <wp:posOffset>-1156335</wp:posOffset>
                      </wp:positionH>
                      <wp:positionV relativeFrom="page">
                        <wp:posOffset>490855</wp:posOffset>
                      </wp:positionV>
                      <wp:extent cx="440055" cy="832485"/>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440055" cy="83248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17—</w:t>
                                  </w:r>
                                </w:p>
                              </w:txbxContent>
                            </wps:txbx>
                            <wps:bodyPr vert="vert" upright="true"/>
                          </wps:wsp>
                        </a:graphicData>
                      </a:graphic>
                    </wp:anchor>
                  </w:drawing>
                </mc:Choice>
                <mc:Fallback>
                  <w:pict>
                    <v:shape id="_x0000_s1026" o:spid="_x0000_s1026" o:spt="202" type="#_x0000_t202" style="position:absolute;left:0pt;margin-left:-91.05pt;margin-top:38.65pt;height:65.55pt;width:34.65pt;mso-position-vertical-relative:page;z-index:251662336;mso-width-relative:page;mso-height-relative:page;" filled="f" stroked="f" coordsize="21600,21600" o:gfxdata="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WAAAAZHJzL1BLAQIUABQAAAAIAIdO4kBbPjdy&#10;2AAAAAwBAAAPAAAAAAAAAAEAIAAAADgAAABkcnMvZG93bnJldi54bWxQSwECFAAUAAAACACHTuJA&#10;PvHK9JkBAAARAwAADgAAAAAAAAABACAAAAA9AQAAZHJzL2Uyb0RvYy54bWxQSwUGAAAAAAYABgBZ&#10;AQAASAUAAAAA&#10;">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17—</w:t>
                            </w:r>
                          </w:p>
                        </w:txbxContent>
                      </v:textbox>
                    </v:shape>
                  </w:pict>
                </mc:Fallback>
              </mc:AlternateContent>
            </w:r>
            <w:r>
              <w:rPr>
                <w:rFonts w:hint="eastAsia" w:ascii="仿宋_GB2312" w:hAnsi="宋体" w:eastAsia="仿宋_GB2312" w:cs="仿宋_GB2312"/>
                <w:i w:val="0"/>
                <w:color w:val="000000"/>
                <w:kern w:val="0"/>
                <w:sz w:val="24"/>
                <w:szCs w:val="24"/>
                <w:u w:val="none"/>
                <w:lang w:val="en-US" w:eastAsia="zh-CN" w:bidi="ar"/>
              </w:rPr>
              <w:t>县应急管理局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承担县指挥部办公室日常工作。组织协调小型地质灾害救援工作。组织开展小型突发地质灾害调查评估工作。负责组织突发地质灾害抢险救援工作；负责灾民转移、安置，指导突发地质灾害事件中受灾群众的基本生活救助；指导灾区企业开展抢、排险工作；督促本组成员履行相关工作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top"/>
          </w:tcPr>
          <w:p>
            <w:pPr>
              <w:keepNext w:val="0"/>
              <w:keepLines w:val="0"/>
              <w:widowControl/>
              <w:suppressLineNumbers w:val="0"/>
              <w:spacing w:line="720" w:lineRule="auto"/>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仿宋_GB2312" w:eastAsia="仿宋_GB2312" w:cs="仿宋_GB2312"/>
                <w:color w:val="000000"/>
                <w:sz w:val="24"/>
                <w:lang w:val="en-US" w:eastAsia="zh-CN"/>
              </w:rPr>
              <mc:AlternateContent>
                <mc:Choice Requires="wps">
                  <w:drawing>
                    <wp:anchor distT="0" distB="0" distL="114300" distR="114300" simplePos="0" relativeHeight="251663360" behindDoc="0" locked="0" layoutInCell="1" allowOverlap="1">
                      <wp:simplePos x="0" y="0"/>
                      <wp:positionH relativeFrom="column">
                        <wp:posOffset>-1111250</wp:posOffset>
                      </wp:positionH>
                      <wp:positionV relativeFrom="page">
                        <wp:posOffset>-488315</wp:posOffset>
                      </wp:positionV>
                      <wp:extent cx="440055" cy="832485"/>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440055" cy="832485"/>
                              </a:xfrm>
                              <a:prstGeom prst="rect">
                                <a:avLst/>
                              </a:prstGeom>
                              <a:no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18—</w:t>
                                  </w:r>
                                </w:p>
                              </w:txbxContent>
                            </wps:txbx>
                            <wps:bodyPr vert="vert" upright="true"/>
                          </wps:wsp>
                        </a:graphicData>
                      </a:graphic>
                    </wp:anchor>
                  </w:drawing>
                </mc:Choice>
                <mc:Fallback>
                  <w:pict>
                    <v:shape id="_x0000_s1026" o:spid="_x0000_s1026" o:spt="202" type="#_x0000_t202" style="position:absolute;left:0pt;margin-left:-87.5pt;margin-top:-38.45pt;height:65.55pt;width:34.65pt;mso-position-vertical-relative:page;z-index:251663360;mso-width-relative:page;mso-height-relative:page;" filled="f" stroked="f" coordsize="21600,21600" o:gfxdata="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RfgX&#10;N9kAAAAMAQAADwAAAAAAAAABACAAAAA4AAAAZHJzL2Rvd25yZXYueG1sUEsBAhQAFAAAAAgAh07i&#10;QAgRKFGZAQAAEQMAAA4AAAAAAAAAAQAgAAAAPgEAAGRycy9lMm9Eb2MueG1sUEsFBgAAAAAGAAYA&#10;WQEAAEkFAAAAAA==&#10;">
                      <v:fill on="f"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18—</w:t>
                            </w:r>
                          </w:p>
                        </w:txbxContent>
                      </v:textbox>
                    </v:shape>
                  </w:pict>
                </mc:Fallback>
              </mc:AlternateContent>
            </w:r>
            <w:r>
              <w:rPr>
                <w:rFonts w:hint="eastAsia" w:ascii="仿宋_GB2312" w:hAnsi="仿宋_GB2312" w:eastAsia="仿宋_GB2312" w:cs="仿宋_GB2312"/>
                <w:color w:val="000000"/>
                <w:sz w:val="24"/>
                <w:lang w:val="en-US" w:eastAsia="zh-CN"/>
              </w:rPr>
              <w:t>县民政局</w:t>
            </w:r>
          </w:p>
        </w:tc>
        <w:tc>
          <w:tcPr>
            <w:tcW w:w="567" w:type="dxa"/>
            <w:noWrap w:val="0"/>
            <w:tcMar>
              <w:top w:w="15" w:type="dxa"/>
              <w:left w:w="15" w:type="dxa"/>
              <w:right w:w="15" w:type="dxa"/>
            </w:tcMar>
            <w:vAlign w:val="top"/>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协调市局、殡仪馆及时做好死者遗体处置工作，确保社会稳定。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县红十字会</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做好志愿者队伍的管理与调配；依法开展救灾募捐活动，负责接收国内外组织和个人通过红十字会捐赠的物资和资金，保证转款专用；负责红十字会员和志愿者参加医疗防疫并做好相关动员、引导、管理工作；开展自然灾害预防、避险和自救、互救的知识宣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县防震减灾中心</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负责提供地质灾害预警预报所需的地震资料信息。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县气象局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负责为灾害救援处置提供气象保障，会同县自然资源局提供地质灾害气象风险预警。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6"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县人武部</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组织民兵预备役部队、协调驻地部队参加抢险救灾工作，协助受灾乡（镇）政府转移危险区群众。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县消防救援大队</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根据县指挥部要求，参加抢险救灾工作。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2"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县武警中队</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根据县指挥部要求，参加抢险救灾工作。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8" w:hRule="atLeast"/>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国网曲沃县供电公司</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负责对突发地质灾害区域受损电力设施进行恢复。</w:t>
            </w:r>
          </w:p>
        </w:tc>
      </w:tr>
    </w:tbl>
    <w:p>
      <w:pPr>
        <w:pStyle w:val="7"/>
        <w:ind w:left="0" w:leftChars="0" w:firstLine="0" w:firstLineChars="0"/>
        <w:rPr>
          <w:rFonts w:ascii="黑体" w:hAnsi="黑体" w:eastAsia="黑体" w:cs="黑体"/>
        </w:rPr>
        <w:sectPr>
          <w:footerReference r:id="rId3" w:type="default"/>
          <w:pgSz w:w="16838" w:h="11906" w:orient="landscape"/>
          <w:pgMar w:top="1800" w:right="1440" w:bottom="1800" w:left="1440" w:header="851" w:footer="992" w:gutter="0"/>
          <w:pgNumType w:fmt="decimal"/>
          <w:cols w:space="720" w:num="1"/>
          <w:docGrid w:type="lines" w:linePitch="312" w:charSpace="0"/>
        </w:sectPr>
      </w:pPr>
      <w:r>
        <w:rPr>
          <w:sz w:val="32"/>
        </w:rPr>
        <mc:AlternateContent>
          <mc:Choice Requires="wps">
            <w:drawing>
              <wp:anchor distT="0" distB="0" distL="114300" distR="114300" simplePos="0" relativeHeight="251664384" behindDoc="0" locked="0" layoutInCell="1" allowOverlap="1">
                <wp:simplePos x="0" y="0"/>
                <wp:positionH relativeFrom="column">
                  <wp:posOffset>-462280</wp:posOffset>
                </wp:positionH>
                <wp:positionV relativeFrom="paragraph">
                  <wp:posOffset>1376680</wp:posOffset>
                </wp:positionV>
                <wp:extent cx="440055" cy="832485"/>
                <wp:effectExtent l="0" t="0" r="17145" b="5715"/>
                <wp:wrapNone/>
                <wp:docPr id="6" name="文本框 6"/>
                <wp:cNvGraphicFramePr/>
                <a:graphic xmlns:a="http://schemas.openxmlformats.org/drawingml/2006/main">
                  <a:graphicData uri="http://schemas.microsoft.com/office/word/2010/wordprocessingShape">
                    <wps:wsp>
                      <wps:cNvSpPr txBox="true"/>
                      <wps:spPr>
                        <a:xfrm>
                          <a:off x="0" y="0"/>
                          <a:ext cx="440055" cy="832485"/>
                        </a:xfrm>
                        <a:prstGeom prst="rect">
                          <a:avLst/>
                        </a:prstGeom>
                        <a:solidFill>
                          <a:srgbClr val="FFFFFF"/>
                        </a:solidFill>
                        <a:ln>
                          <a:noFill/>
                        </a:ln>
                      </wps:spPr>
                      <wps:txbx>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19—</w:t>
                            </w:r>
                          </w:p>
                        </w:txbxContent>
                      </wps:txbx>
                      <wps:bodyPr vert="vert" upright="true"/>
                    </wps:wsp>
                  </a:graphicData>
                </a:graphic>
              </wp:anchor>
            </w:drawing>
          </mc:Choice>
          <mc:Fallback>
            <w:pict>
              <v:shape id="_x0000_s1026" o:spid="_x0000_s1026" o:spt="202" type="#_x0000_t202" style="position:absolute;left:0pt;margin-left:-36.4pt;margin-top:108.4pt;height:65.55pt;width:34.65pt;z-index:251664384;mso-width-relative:page;mso-height-relative:page;" fillcolor="#FFFFFF" filled="t" stroked="f" coordsize="21600,21600" o:gfxdata="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aSw0QNoAAAAKAQAADwAAAAAAAAABACAAAAA4AAAAZHJzL2Rvd25y&#10;ZXYueG1sUEsBAhQAFAAAAAgAh07iQEDsASytAQAAOgMAAA4AAAAAAAAAAQAgAAAAPwEAAGRycy9l&#10;Mm9Eb2MueG1sUEsFBgAAAAAGAAYAWQEAAF4FAAAAAA==&#10;">
                <v:fill on="t" focussize="0,0"/>
                <v:stroke on="f"/>
                <v:imagedata o:title=""/>
                <o:lock v:ext="edit" aspectratio="f"/>
                <v:textbox style="layout-flow:vertical;">
                  <w:txbxContent>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19—</w:t>
                      </w:r>
                    </w:p>
                  </w:txbxContent>
                </v:textbox>
              </v:shape>
            </w:pict>
          </mc:Fallback>
        </mc:AlternateConten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F27F8"/>
    <w:multiLevelType w:val="singleLevel"/>
    <w:tmpl w:val="8EBF27F8"/>
    <w:lvl w:ilvl="0" w:tentative="0">
      <w:start w:val="1"/>
      <w:numFmt w:val="decimal"/>
      <w:suff w:val="nothing"/>
      <w:lvlText w:val="（%1）"/>
      <w:lvlJc w:val="left"/>
    </w:lvl>
  </w:abstractNum>
  <w:abstractNum w:abstractNumId="1">
    <w:nsid w:val="B3DF2BAD"/>
    <w:multiLevelType w:val="singleLevel"/>
    <w:tmpl w:val="B3DF2BA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FA4172"/>
    <w:rsid w:val="5FFA4172"/>
    <w:rsid w:val="737F0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1"/>
    <w:qFormat/>
    <w:uiPriority w:val="1"/>
    <w:pPr>
      <w:widowControl w:val="0"/>
      <w:jc w:val="both"/>
    </w:pPr>
    <w:rPr>
      <w:rFonts w:ascii="仿宋" w:hAnsi="仿宋" w:eastAsia="仿宋" w:cs="Times New Roman"/>
      <w:kern w:val="2"/>
      <w:sz w:val="21"/>
      <w:szCs w:val="22"/>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next w:val="1"/>
    <w:qFormat/>
    <w:uiPriority w:val="0"/>
    <w:pPr>
      <w:jc w:val="left"/>
    </w:pPr>
    <w:rPr>
      <w:kern w:val="0"/>
      <w:sz w:val="24"/>
    </w:rPr>
  </w:style>
  <w:style w:type="paragraph" w:customStyle="1" w:styleId="7">
    <w:name w:val="正文首行缩进 21"/>
    <w:basedOn w:val="8"/>
    <w:next w:val="4"/>
    <w:qFormat/>
    <w:uiPriority w:val="0"/>
    <w:pPr>
      <w:widowControl/>
      <w:ind w:firstLine="200" w:firstLineChars="200"/>
      <w:jc w:val="left"/>
    </w:pPr>
    <w:rPr>
      <w:rFonts w:ascii="Calibri" w:hAnsi="Calibri" w:eastAsia="仿宋_GB2312" w:cs="Calibri"/>
      <w:kern w:val="0"/>
      <w:sz w:val="24"/>
      <w:szCs w:val="24"/>
    </w:rPr>
  </w:style>
  <w:style w:type="paragraph" w:customStyle="1" w:styleId="8">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2021-09-02T00:36:00Z</dcterms:created>
  <dc:creator>baixin</dc:creator>
  <cp:lastModifiedBy>En</cp:lastModifiedBy>
  <dcterms:modified xsi:type="dcterms:W3CDTF">2023-08-07T19:20:36Z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