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val="0"/>
        <w:adjustRightInd/>
        <w:snapToGrid/>
        <w:spacing w:line="600" w:lineRule="exact"/>
        <w:jc w:val="center"/>
        <w:rPr>
          <w:rFonts w:ascii="方正小标宋简体" w:eastAsia="方正小标宋简体"/>
          <w:color w:val="auto"/>
          <w:sz w:val="44"/>
          <w:szCs w:val="32"/>
        </w:rPr>
      </w:pPr>
      <w:r>
        <w:rPr>
          <w:rFonts w:hint="eastAsia" w:ascii="方正小标宋简体" w:eastAsia="方正小标宋简体"/>
          <w:color w:val="auto"/>
          <w:sz w:val="44"/>
          <w:szCs w:val="32"/>
        </w:rPr>
        <w:t>曲沃县信访局</w:t>
      </w:r>
    </w:p>
    <w:p>
      <w:pPr>
        <w:widowControl w:val="0"/>
        <w:adjustRightInd/>
        <w:snapToGrid/>
        <w:spacing w:line="600" w:lineRule="exact"/>
        <w:jc w:val="center"/>
        <w:rPr>
          <w:rFonts w:eastAsia="仿宋"/>
          <w:color w:val="auto"/>
          <w:sz w:val="32"/>
          <w:szCs w:val="32"/>
        </w:rPr>
      </w:pPr>
      <w:r>
        <w:rPr>
          <w:rFonts w:hint="eastAsia" w:ascii="方正小标宋简体" w:eastAsia="方正小标宋简体"/>
          <w:color w:val="auto"/>
          <w:sz w:val="44"/>
          <w:szCs w:val="32"/>
          <w:lang w:val="en-US" w:eastAsia="zh-CN"/>
        </w:rPr>
        <w:t>2022年度</w:t>
      </w:r>
      <w:r>
        <w:rPr>
          <w:rFonts w:hint="eastAsia" w:ascii="方正小标宋简体" w:eastAsia="方正小标宋简体"/>
          <w:color w:val="auto"/>
          <w:sz w:val="44"/>
          <w:szCs w:val="32"/>
        </w:rPr>
        <w:t>法治政府建设</w:t>
      </w:r>
      <w:r>
        <w:rPr>
          <w:rFonts w:hint="eastAsia" w:ascii="方正小标宋简体" w:eastAsia="方正小标宋简体"/>
          <w:color w:val="auto"/>
          <w:sz w:val="44"/>
          <w:szCs w:val="32"/>
          <w:lang w:eastAsia="zh-CN"/>
        </w:rPr>
        <w:t>情况</w:t>
      </w:r>
      <w:r>
        <w:rPr>
          <w:rFonts w:hint="eastAsia" w:ascii="方正小标宋简体" w:eastAsia="方正小标宋简体"/>
          <w:color w:val="auto"/>
          <w:sz w:val="44"/>
          <w:szCs w:val="32"/>
        </w:rPr>
        <w:t>报告</w:t>
      </w:r>
    </w:p>
    <w:p>
      <w:pPr>
        <w:keepNext w:val="0"/>
        <w:keepLines w:val="0"/>
        <w:pageBreakBefore w:val="0"/>
        <w:widowControl w:val="0"/>
        <w:kinsoku/>
        <w:wordWrap/>
        <w:overflowPunct/>
        <w:topLinePunct w:val="0"/>
        <w:autoSpaceDE/>
        <w:autoSpaceDN/>
        <w:bidi w:val="0"/>
        <w:adjustRightInd/>
        <w:snapToGrid/>
        <w:spacing w:after="0" w:line="600" w:lineRule="exact"/>
        <w:ind w:firstLine="640" w:firstLineChars="200"/>
        <w:jc w:val="both"/>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202</w:t>
      </w:r>
      <w:r>
        <w:rPr>
          <w:rFonts w:hint="eastAsia" w:ascii="仿宋" w:hAnsi="仿宋" w:eastAsia="仿宋" w:cs="仿宋"/>
          <w:color w:val="auto"/>
          <w:sz w:val="32"/>
          <w:szCs w:val="32"/>
          <w:lang w:val="en-US" w:eastAsia="zh-CN"/>
        </w:rPr>
        <w:t>2</w:t>
      </w:r>
      <w:r>
        <w:rPr>
          <w:rFonts w:hint="eastAsia" w:ascii="仿宋" w:hAnsi="仿宋" w:eastAsia="仿宋" w:cs="仿宋"/>
          <w:color w:val="auto"/>
          <w:sz w:val="32"/>
          <w:szCs w:val="32"/>
        </w:rPr>
        <w:t>年曲沃县信访局在</w:t>
      </w:r>
      <w:r>
        <w:rPr>
          <w:rFonts w:hint="eastAsia" w:ascii="仿宋" w:hAnsi="仿宋" w:eastAsia="仿宋" w:cs="仿宋"/>
          <w:color w:val="auto"/>
          <w:sz w:val="32"/>
          <w:szCs w:val="32"/>
          <w:lang w:val="en-US" w:eastAsia="zh-CN"/>
        </w:rPr>
        <w:t>县</w:t>
      </w:r>
      <w:r>
        <w:rPr>
          <w:rFonts w:hint="eastAsia" w:ascii="仿宋" w:hAnsi="仿宋" w:eastAsia="仿宋" w:cs="仿宋"/>
          <w:color w:val="auto"/>
          <w:sz w:val="32"/>
          <w:szCs w:val="32"/>
        </w:rPr>
        <w:t>委、</w:t>
      </w:r>
      <w:r>
        <w:rPr>
          <w:rFonts w:hint="eastAsia" w:ascii="仿宋" w:hAnsi="仿宋" w:eastAsia="仿宋" w:cs="仿宋"/>
          <w:color w:val="auto"/>
          <w:sz w:val="32"/>
          <w:szCs w:val="32"/>
          <w:lang w:val="en-US" w:eastAsia="zh-CN"/>
        </w:rPr>
        <w:t>县</w:t>
      </w:r>
      <w:r>
        <w:rPr>
          <w:rFonts w:hint="eastAsia" w:ascii="仿宋" w:hAnsi="仿宋" w:eastAsia="仿宋" w:cs="仿宋"/>
          <w:color w:val="auto"/>
          <w:sz w:val="32"/>
          <w:szCs w:val="32"/>
        </w:rPr>
        <w:t>政府的领导下，</w:t>
      </w:r>
      <w:r>
        <w:rPr>
          <w:rFonts w:hint="eastAsia" w:ascii="仿宋" w:hAnsi="仿宋" w:eastAsia="仿宋" w:cs="仿宋"/>
          <w:color w:val="auto"/>
          <w:sz w:val="32"/>
          <w:szCs w:val="32"/>
          <w:lang w:eastAsia="zh-CN"/>
        </w:rPr>
        <w:t>始终</w:t>
      </w:r>
      <w:r>
        <w:rPr>
          <w:rFonts w:hint="eastAsia" w:ascii="仿宋" w:hAnsi="仿宋" w:eastAsia="仿宋" w:cs="仿宋"/>
          <w:color w:val="auto"/>
          <w:sz w:val="32"/>
          <w:szCs w:val="32"/>
        </w:rPr>
        <w:t>坚持以习近平新时代中国特色社会主义思想为指导，深入学习贯彻习近平法治思想，全面贯彻落实党的二十大精神</w:t>
      </w:r>
      <w:r>
        <w:rPr>
          <w:rFonts w:hint="eastAsia" w:ascii="仿宋" w:hAnsi="仿宋" w:eastAsia="仿宋" w:cs="仿宋"/>
          <w:color w:val="auto"/>
          <w:sz w:val="32"/>
          <w:szCs w:val="32"/>
          <w:lang w:eastAsia="zh-CN"/>
        </w:rPr>
        <w:t>以及</w:t>
      </w:r>
      <w:r>
        <w:rPr>
          <w:rFonts w:hint="eastAsia" w:ascii="仿宋" w:hAnsi="仿宋" w:eastAsia="仿宋" w:cs="仿宋"/>
          <w:color w:val="auto"/>
          <w:sz w:val="32"/>
          <w:szCs w:val="32"/>
        </w:rPr>
        <w:t>《信访工作条例》，大力推进信访法治化建设，持续深化信访制度改革，治理重复信访、化解信访积案取得显著成效。现将我局2022年度法治政府建设情况报告如下：</w:t>
      </w:r>
    </w:p>
    <w:p>
      <w:pPr>
        <w:widowControl w:val="0"/>
        <w:adjustRightInd/>
        <w:snapToGrid/>
        <w:spacing w:after="0" w:line="600" w:lineRule="exact"/>
        <w:ind w:firstLine="640" w:firstLineChars="200"/>
        <w:jc w:val="both"/>
        <w:rPr>
          <w:rFonts w:ascii="黑体" w:hAnsi="黑体" w:eastAsia="黑体" w:cs="楷体"/>
          <w:bCs/>
          <w:color w:val="auto"/>
          <w:sz w:val="32"/>
          <w:szCs w:val="32"/>
        </w:rPr>
      </w:pPr>
      <w:r>
        <w:rPr>
          <w:rFonts w:hint="eastAsia" w:ascii="黑体" w:hAnsi="黑体" w:eastAsia="黑体" w:cs="楷体"/>
          <w:bCs/>
          <w:color w:val="auto"/>
          <w:sz w:val="32"/>
          <w:szCs w:val="32"/>
        </w:rPr>
        <w:t>一、上一年度推进法治政府建设的主要举措和成效</w:t>
      </w:r>
    </w:p>
    <w:p>
      <w:pPr>
        <w:spacing w:after="0" w:line="600" w:lineRule="exact"/>
        <w:ind w:firstLine="642" w:firstLineChars="200"/>
        <w:jc w:val="both"/>
        <w:rPr>
          <w:rFonts w:hint="eastAsia" w:ascii="楷体" w:hAnsi="楷体" w:eastAsia="楷体" w:cs="楷体"/>
          <w:bCs/>
          <w:color w:val="auto"/>
          <w:sz w:val="32"/>
          <w:szCs w:val="32"/>
          <w:lang w:eastAsia="zh-CN"/>
        </w:rPr>
      </w:pPr>
      <w:r>
        <w:rPr>
          <w:rFonts w:hint="eastAsia" w:ascii="楷体" w:hAnsi="楷体" w:eastAsia="楷体" w:cs="楷体"/>
          <w:b/>
          <w:bCs w:val="0"/>
          <w:color w:val="auto"/>
          <w:sz w:val="32"/>
          <w:szCs w:val="32"/>
        </w:rPr>
        <w:t>（一）</w:t>
      </w:r>
      <w:r>
        <w:rPr>
          <w:rFonts w:hint="eastAsia" w:ascii="楷体" w:hAnsi="楷体" w:eastAsia="楷体" w:cs="楷体"/>
          <w:b/>
          <w:bCs w:val="0"/>
          <w:color w:val="auto"/>
          <w:sz w:val="32"/>
          <w:szCs w:val="32"/>
          <w:lang w:eastAsia="zh-CN"/>
        </w:rPr>
        <w:t>突出政治引领，深入学习会议精神</w:t>
      </w:r>
    </w:p>
    <w:p>
      <w:pPr>
        <w:spacing w:after="0" w:line="600" w:lineRule="exact"/>
        <w:ind w:firstLine="640" w:firstLineChars="200"/>
        <w:jc w:val="both"/>
        <w:rPr>
          <w:rFonts w:hint="eastAsia" w:ascii="仿宋" w:hAnsi="仿宋" w:eastAsia="仿宋" w:cs="仿宋"/>
          <w:color w:val="auto"/>
          <w:sz w:val="32"/>
          <w:szCs w:val="32"/>
        </w:rPr>
      </w:pPr>
      <w:r>
        <w:rPr>
          <w:rFonts w:hint="eastAsia" w:ascii="仿宋" w:hAnsi="仿宋" w:eastAsia="仿宋" w:cs="仿宋"/>
          <w:color w:val="auto"/>
          <w:sz w:val="32"/>
          <w:szCs w:val="32"/>
        </w:rPr>
        <w:t>我局始终坚持以习近平法治思想和党的二十大、二十届一中全会关于法治信访建设的有关精神作为推进信访法治建设的根本遵循，增强运用法治思维和法治方式化解信访矛盾纠纷、维护群众合法权益的意识和能力。</w:t>
      </w:r>
    </w:p>
    <w:p>
      <w:pPr>
        <w:spacing w:after="0" w:line="600" w:lineRule="exact"/>
        <w:ind w:firstLine="640" w:firstLineChars="200"/>
        <w:jc w:val="both"/>
        <w:rPr>
          <w:rFonts w:hint="eastAsia" w:ascii="仿宋" w:hAnsi="仿宋" w:eastAsia="仿宋" w:cs="仿宋"/>
          <w:color w:val="auto"/>
          <w:sz w:val="32"/>
          <w:szCs w:val="32"/>
        </w:rPr>
      </w:pPr>
      <w:r>
        <w:rPr>
          <w:rFonts w:hint="eastAsia" w:ascii="仿宋" w:hAnsi="仿宋" w:eastAsia="仿宋" w:cs="仿宋"/>
          <w:color w:val="auto"/>
          <w:sz w:val="32"/>
          <w:szCs w:val="32"/>
        </w:rPr>
        <w:t>局党组把习近平法治思想和党的二十大、二十届一中全会精神作为局机关理论学习的第一议题、常设议题，列入政治要件推动落实，坚持定期研究部署法治政府建设工作，全体干部职工认真学习贯彻党章党规党纪和相关政策及法律法规，通过党章党规党纪的学习筑牢尊法守法的思想防线。始终将《信访工作条例》等作为准绳和标尺，严格按照条例法规与业务规范程序和要求办理信访事项，不断把法治政府建设向纵深推进。</w:t>
      </w:r>
    </w:p>
    <w:p>
      <w:pPr>
        <w:spacing w:after="0" w:line="600" w:lineRule="exact"/>
        <w:ind w:firstLine="642" w:firstLineChars="200"/>
        <w:jc w:val="both"/>
        <w:rPr>
          <w:rFonts w:hint="eastAsia" w:ascii="仿宋_GB2312" w:hAnsi="微软雅黑" w:eastAsia="仿宋_GB2312"/>
          <w:b/>
          <w:bCs w:val="0"/>
          <w:color w:val="auto"/>
          <w:sz w:val="32"/>
          <w:szCs w:val="32"/>
          <w:lang w:eastAsia="zh-CN"/>
        </w:rPr>
      </w:pPr>
      <w:r>
        <w:rPr>
          <w:rFonts w:hint="eastAsia" w:ascii="楷体" w:hAnsi="楷体" w:eastAsia="楷体" w:cs="楷体"/>
          <w:b/>
          <w:bCs w:val="0"/>
          <w:color w:val="auto"/>
          <w:sz w:val="32"/>
          <w:szCs w:val="32"/>
          <w:lang w:eastAsia="zh-CN"/>
        </w:rPr>
        <w:t>（二）强化</w:t>
      </w:r>
      <w:r>
        <w:rPr>
          <w:rFonts w:hint="eastAsia" w:ascii="楷体" w:hAnsi="楷体" w:eastAsia="楷体" w:cs="楷体"/>
          <w:b/>
          <w:bCs w:val="0"/>
          <w:color w:val="auto"/>
          <w:sz w:val="32"/>
          <w:szCs w:val="32"/>
        </w:rPr>
        <w:t>组织领导，履行法治建设第一责任人职责</w:t>
      </w:r>
    </w:p>
    <w:p>
      <w:pPr>
        <w:spacing w:after="0" w:line="600" w:lineRule="exact"/>
        <w:ind w:firstLine="640" w:firstLineChars="200"/>
        <w:jc w:val="both"/>
        <w:rPr>
          <w:rFonts w:hint="eastAsia" w:ascii="仿宋" w:hAnsi="仿宋" w:eastAsia="仿宋" w:cs="仿宋"/>
          <w:color w:val="auto"/>
          <w:sz w:val="32"/>
          <w:szCs w:val="32"/>
          <w:lang w:eastAsia="zh-CN"/>
        </w:rPr>
      </w:pPr>
      <w:r>
        <w:rPr>
          <w:rFonts w:hint="eastAsia" w:ascii="仿宋" w:hAnsi="仿宋" w:eastAsia="仿宋" w:cs="仿宋"/>
          <w:color w:val="auto"/>
          <w:sz w:val="32"/>
          <w:szCs w:val="32"/>
        </w:rPr>
        <w:t>2022年，</w:t>
      </w:r>
      <w:r>
        <w:rPr>
          <w:rFonts w:hint="eastAsia" w:ascii="仿宋" w:hAnsi="仿宋" w:eastAsia="仿宋" w:cs="仿宋"/>
          <w:color w:val="auto"/>
          <w:sz w:val="32"/>
          <w:szCs w:val="32"/>
          <w:lang w:eastAsia="zh-CN"/>
        </w:rPr>
        <w:t>信访</w:t>
      </w:r>
      <w:r>
        <w:rPr>
          <w:rFonts w:hint="eastAsia" w:ascii="仿宋" w:hAnsi="仿宋" w:eastAsia="仿宋" w:cs="仿宋"/>
          <w:color w:val="auto"/>
          <w:sz w:val="32"/>
          <w:szCs w:val="32"/>
        </w:rPr>
        <w:t>局主要负责人积极履行推进法治建设第一责任人</w:t>
      </w:r>
      <w:r>
        <w:rPr>
          <w:rFonts w:hint="eastAsia" w:ascii="仿宋" w:hAnsi="仿宋" w:eastAsia="仿宋" w:cs="仿宋"/>
          <w:color w:val="auto"/>
          <w:sz w:val="32"/>
          <w:szCs w:val="32"/>
          <w:lang w:eastAsia="zh-CN"/>
        </w:rPr>
        <w:t>的</w:t>
      </w:r>
      <w:r>
        <w:rPr>
          <w:rFonts w:hint="eastAsia" w:ascii="仿宋" w:hAnsi="仿宋" w:eastAsia="仿宋" w:cs="仿宋"/>
          <w:color w:val="auto"/>
          <w:sz w:val="32"/>
          <w:szCs w:val="32"/>
        </w:rPr>
        <w:t>职责，先后多次召开</w:t>
      </w:r>
      <w:r>
        <w:rPr>
          <w:rFonts w:hint="eastAsia" w:ascii="仿宋" w:hAnsi="仿宋" w:eastAsia="仿宋" w:cs="仿宋"/>
          <w:color w:val="auto"/>
          <w:sz w:val="32"/>
          <w:szCs w:val="32"/>
          <w:lang w:val="en-US" w:eastAsia="zh-CN"/>
        </w:rPr>
        <w:t>局</w:t>
      </w:r>
      <w:r>
        <w:rPr>
          <w:rFonts w:hint="eastAsia" w:ascii="仿宋" w:hAnsi="仿宋" w:eastAsia="仿宋" w:cs="仿宋"/>
          <w:color w:val="auto"/>
          <w:sz w:val="32"/>
          <w:szCs w:val="32"/>
        </w:rPr>
        <w:t>党组会议</w:t>
      </w:r>
      <w:r>
        <w:rPr>
          <w:rFonts w:hint="eastAsia" w:ascii="仿宋" w:hAnsi="仿宋" w:eastAsia="仿宋" w:cs="仿宋"/>
          <w:color w:val="auto"/>
          <w:sz w:val="32"/>
          <w:szCs w:val="32"/>
          <w:lang w:eastAsia="zh-CN"/>
        </w:rPr>
        <w:t>和例会</w:t>
      </w:r>
      <w:r>
        <w:rPr>
          <w:rFonts w:hint="eastAsia" w:ascii="仿宋" w:hAnsi="仿宋" w:eastAsia="仿宋" w:cs="仿宋"/>
          <w:color w:val="auto"/>
          <w:sz w:val="32"/>
          <w:szCs w:val="32"/>
        </w:rPr>
        <w:t>传达学习习近平法治思想，在局党组理论学习中心组学习会上专题学习《信访工作条例》等。在日常工作中，多次召开会议专门研究信访法治化建设相关工作，以信访法治化改革为引领，推动全市信访工作专业化、信息化、科学化水平不断迈上新台阶。突出政治引领，深入学习贯彻习近平法治思想和党的二十大、二十届一中全会精神</w:t>
      </w:r>
      <w:r>
        <w:rPr>
          <w:rFonts w:hint="eastAsia" w:ascii="仿宋" w:hAnsi="仿宋" w:eastAsia="仿宋" w:cs="仿宋"/>
          <w:color w:val="auto"/>
          <w:sz w:val="32"/>
          <w:szCs w:val="32"/>
          <w:lang w:eastAsia="zh-CN"/>
        </w:rPr>
        <w:t>。</w:t>
      </w:r>
    </w:p>
    <w:p>
      <w:pPr>
        <w:spacing w:after="0" w:line="600" w:lineRule="exact"/>
        <w:ind w:firstLine="640" w:firstLineChars="200"/>
        <w:jc w:val="both"/>
        <w:rPr>
          <w:rFonts w:hint="eastAsia" w:ascii="仿宋" w:hAnsi="仿宋" w:eastAsia="仿宋" w:cs="仿宋"/>
          <w:bCs/>
          <w:color w:val="auto"/>
          <w:sz w:val="32"/>
          <w:szCs w:val="32"/>
        </w:rPr>
      </w:pPr>
      <w:r>
        <w:rPr>
          <w:rFonts w:hint="eastAsia" w:ascii="仿宋" w:hAnsi="仿宋" w:eastAsia="仿宋" w:cs="仿宋"/>
          <w:color w:val="auto"/>
          <w:sz w:val="32"/>
          <w:szCs w:val="32"/>
        </w:rPr>
        <w:t>　2022年先后多次牵头召集</w:t>
      </w:r>
      <w:r>
        <w:rPr>
          <w:rFonts w:hint="eastAsia" w:ascii="仿宋" w:hAnsi="仿宋" w:eastAsia="仿宋" w:cs="仿宋"/>
          <w:color w:val="auto"/>
          <w:sz w:val="32"/>
          <w:szCs w:val="32"/>
          <w:lang w:eastAsia="zh-CN"/>
        </w:rPr>
        <w:t>县</w:t>
      </w:r>
      <w:r>
        <w:rPr>
          <w:rFonts w:hint="eastAsia" w:ascii="仿宋" w:hAnsi="仿宋" w:eastAsia="仿宋" w:cs="仿宋"/>
          <w:color w:val="auto"/>
          <w:sz w:val="32"/>
          <w:szCs w:val="32"/>
        </w:rPr>
        <w:t>直有关部门召开信访事项协调会议，有效推动突出信访事项及时有效化解。落实局党组定期研究部署信访法治化建设工作，并将其纳入年度目标任务，切实抓好中央和省、市关于信访法治化工作各项决策部署的贯彻落实，牢固树立法治理念，切实增强新形势下推进法治政府、法治信访的责任感和紧迫感，坚持在法治化轨道上推进信访工作，保障合理合法诉求依法及时就地解决。</w:t>
      </w:r>
    </w:p>
    <w:p>
      <w:pPr>
        <w:spacing w:after="0" w:line="600" w:lineRule="exact"/>
        <w:ind w:firstLine="642" w:firstLineChars="200"/>
        <w:jc w:val="both"/>
        <w:rPr>
          <w:rFonts w:hint="eastAsia" w:ascii="楷体" w:hAnsi="楷体" w:eastAsia="楷体" w:cs="楷体"/>
          <w:b/>
          <w:bCs w:val="0"/>
          <w:color w:val="auto"/>
          <w:sz w:val="32"/>
          <w:szCs w:val="32"/>
        </w:rPr>
      </w:pPr>
      <w:r>
        <w:rPr>
          <w:rFonts w:hint="eastAsia" w:ascii="楷体" w:hAnsi="楷体" w:eastAsia="楷体" w:cs="楷体"/>
          <w:b/>
          <w:bCs w:val="0"/>
          <w:color w:val="auto"/>
          <w:sz w:val="32"/>
          <w:szCs w:val="32"/>
        </w:rPr>
        <w:t>（</w:t>
      </w:r>
      <w:r>
        <w:rPr>
          <w:rFonts w:hint="eastAsia" w:ascii="楷体" w:hAnsi="楷体" w:eastAsia="楷体" w:cs="楷体"/>
          <w:b/>
          <w:bCs w:val="0"/>
          <w:color w:val="auto"/>
          <w:sz w:val="32"/>
          <w:szCs w:val="32"/>
          <w:lang w:eastAsia="zh-CN"/>
        </w:rPr>
        <w:t>三</w:t>
      </w:r>
      <w:r>
        <w:rPr>
          <w:rFonts w:hint="eastAsia" w:ascii="楷体" w:hAnsi="楷体" w:eastAsia="楷体" w:cs="楷体"/>
          <w:b/>
          <w:bCs w:val="0"/>
          <w:color w:val="auto"/>
          <w:sz w:val="32"/>
          <w:szCs w:val="32"/>
        </w:rPr>
        <w:t>）</w:t>
      </w:r>
      <w:r>
        <w:rPr>
          <w:rFonts w:hint="eastAsia" w:ascii="楷体" w:hAnsi="楷体" w:eastAsia="楷体" w:cs="楷体"/>
          <w:b/>
          <w:bCs w:val="0"/>
          <w:color w:val="auto"/>
          <w:sz w:val="32"/>
          <w:szCs w:val="32"/>
          <w:lang w:eastAsia="zh-CN"/>
        </w:rPr>
        <w:t>严格落实疫情防控，</w:t>
      </w:r>
      <w:r>
        <w:rPr>
          <w:rFonts w:hint="eastAsia" w:ascii="楷体" w:hAnsi="楷体" w:eastAsia="楷体" w:cs="楷体"/>
          <w:b/>
          <w:bCs w:val="0"/>
          <w:color w:val="auto"/>
          <w:sz w:val="32"/>
          <w:szCs w:val="32"/>
          <w:lang w:val="en-US" w:eastAsia="zh-CN"/>
        </w:rPr>
        <w:t>化解</w:t>
      </w:r>
      <w:r>
        <w:rPr>
          <w:rFonts w:hint="eastAsia" w:ascii="楷体" w:hAnsi="楷体" w:eastAsia="楷体" w:cs="楷体"/>
          <w:b/>
          <w:bCs w:val="0"/>
          <w:color w:val="auto"/>
          <w:sz w:val="32"/>
          <w:szCs w:val="32"/>
          <w:lang w:eastAsia="zh-CN"/>
        </w:rPr>
        <w:t>涉疫信访问题</w:t>
      </w:r>
    </w:p>
    <w:p>
      <w:pPr>
        <w:spacing w:after="0" w:line="600" w:lineRule="exact"/>
        <w:ind w:firstLine="640" w:firstLineChars="200"/>
        <w:jc w:val="both"/>
        <w:rPr>
          <w:rFonts w:hint="eastAsia" w:ascii="仿宋" w:hAnsi="仿宋" w:eastAsia="仿宋" w:cs="仿宋"/>
          <w:color w:val="auto"/>
          <w:sz w:val="32"/>
          <w:szCs w:val="32"/>
          <w:lang w:eastAsia="zh-CN"/>
        </w:rPr>
      </w:pPr>
      <w:r>
        <w:rPr>
          <w:rFonts w:hint="eastAsia" w:ascii="仿宋" w:hAnsi="仿宋" w:eastAsia="仿宋" w:cs="仿宋"/>
          <w:color w:val="auto"/>
          <w:sz w:val="32"/>
          <w:szCs w:val="32"/>
          <w:lang w:eastAsia="zh-CN"/>
        </w:rPr>
        <w:t>我局严格贯彻落实中央依法治国委关于疫情防控有关文件精神，党组书记多次在党组会议上传达习近平总书记关于抗击新冠肺炎疫情的有关重要讲话精神，狠抓疫情防控措施落实、落细、落地，部署做好疫情防控期间信访接待工作。密切关注疫情防控期间出现的特殊矛盾以及信访舆情变化，分析研判、提早安排，切实做到</w:t>
      </w:r>
      <w:r>
        <w:rPr>
          <w:rFonts w:hint="eastAsia" w:ascii="仿宋" w:hAnsi="仿宋" w:eastAsia="仿宋" w:cs="仿宋"/>
          <w:color w:val="auto"/>
          <w:sz w:val="32"/>
          <w:szCs w:val="32"/>
          <w:lang w:val="en-US" w:eastAsia="zh-CN"/>
        </w:rPr>
        <w:t>将</w:t>
      </w:r>
      <w:r>
        <w:rPr>
          <w:rFonts w:hint="eastAsia" w:ascii="仿宋" w:hAnsi="仿宋" w:eastAsia="仿宋" w:cs="仿宋"/>
          <w:color w:val="auto"/>
          <w:sz w:val="32"/>
          <w:szCs w:val="32"/>
          <w:lang w:eastAsia="zh-CN"/>
        </w:rPr>
        <w:t>疫情防控好、群众利益维护好。按照“随接随转”的工作目标，对涉及疫情防控工作的信访问题线索优先受理、加速快办，确保“件件有着落、事事有回音”，为战胜疫情、服务群众、维护稳定营造良好的社会环境。</w:t>
      </w:r>
    </w:p>
    <w:p>
      <w:pPr>
        <w:spacing w:after="0" w:line="600" w:lineRule="exact"/>
        <w:ind w:firstLine="642" w:firstLineChars="200"/>
        <w:jc w:val="both"/>
        <w:rPr>
          <w:rFonts w:hint="eastAsia" w:ascii="仿宋_GB2312" w:hAnsi="微软雅黑" w:eastAsia="仿宋_GB2312"/>
          <w:b/>
          <w:bCs/>
          <w:color w:val="auto"/>
          <w:sz w:val="32"/>
          <w:szCs w:val="32"/>
          <w:lang w:eastAsia="zh-CN"/>
        </w:rPr>
      </w:pPr>
      <w:r>
        <w:rPr>
          <w:rFonts w:hint="eastAsia" w:ascii="楷体" w:hAnsi="楷体" w:eastAsia="楷体" w:cs="楷体"/>
          <w:b/>
          <w:bCs/>
          <w:color w:val="auto"/>
          <w:sz w:val="32"/>
          <w:szCs w:val="32"/>
          <w:lang w:eastAsia="zh-CN"/>
        </w:rPr>
        <w:t>（</w:t>
      </w:r>
      <w:r>
        <w:rPr>
          <w:rFonts w:hint="eastAsia" w:ascii="楷体" w:hAnsi="楷体" w:eastAsia="楷体" w:cs="楷体"/>
          <w:b/>
          <w:bCs/>
          <w:color w:val="auto"/>
          <w:sz w:val="32"/>
          <w:szCs w:val="32"/>
          <w:lang w:val="en-US" w:eastAsia="zh-CN"/>
        </w:rPr>
        <w:t>四</w:t>
      </w:r>
      <w:r>
        <w:rPr>
          <w:rFonts w:hint="eastAsia" w:ascii="楷体" w:hAnsi="楷体" w:eastAsia="楷体" w:cs="楷体"/>
          <w:b/>
          <w:bCs/>
          <w:color w:val="auto"/>
          <w:sz w:val="32"/>
          <w:szCs w:val="32"/>
          <w:lang w:eastAsia="zh-CN"/>
        </w:rPr>
        <w:t>）加大《</w:t>
      </w:r>
      <w:r>
        <w:rPr>
          <w:rFonts w:hint="eastAsia" w:ascii="楷体" w:hAnsi="楷体" w:eastAsia="楷体" w:cs="楷体"/>
          <w:b/>
          <w:bCs/>
          <w:color w:val="auto"/>
          <w:sz w:val="32"/>
          <w:szCs w:val="32"/>
          <w:lang w:val="en-US" w:eastAsia="zh-CN"/>
        </w:rPr>
        <w:t>信访工作条例</w:t>
      </w:r>
      <w:r>
        <w:rPr>
          <w:rFonts w:hint="eastAsia" w:ascii="楷体" w:hAnsi="楷体" w:eastAsia="楷体" w:cs="楷体"/>
          <w:b/>
          <w:bCs/>
          <w:color w:val="auto"/>
          <w:sz w:val="32"/>
          <w:szCs w:val="32"/>
          <w:lang w:eastAsia="zh-CN"/>
        </w:rPr>
        <w:t>》</w:t>
      </w:r>
      <w:r>
        <w:rPr>
          <w:rFonts w:hint="eastAsia" w:ascii="楷体" w:hAnsi="楷体" w:eastAsia="楷体" w:cs="楷体"/>
          <w:b/>
          <w:bCs/>
          <w:color w:val="auto"/>
          <w:sz w:val="32"/>
          <w:szCs w:val="32"/>
        </w:rPr>
        <w:t>宣传</w:t>
      </w:r>
      <w:r>
        <w:rPr>
          <w:rFonts w:hint="eastAsia" w:ascii="楷体" w:hAnsi="楷体" w:eastAsia="楷体" w:cs="楷体"/>
          <w:b/>
          <w:bCs/>
          <w:color w:val="auto"/>
          <w:sz w:val="32"/>
          <w:szCs w:val="32"/>
          <w:lang w:eastAsia="zh-CN"/>
        </w:rPr>
        <w:t>力度</w:t>
      </w:r>
    </w:p>
    <w:p>
      <w:pPr>
        <w:spacing w:after="0" w:line="600" w:lineRule="exact"/>
        <w:ind w:firstLine="640" w:firstLineChars="200"/>
        <w:jc w:val="both"/>
        <w:rPr>
          <w:rFonts w:hint="eastAsia" w:ascii="仿宋" w:hAnsi="仿宋" w:eastAsia="仿宋" w:cs="仿宋"/>
          <w:color w:val="auto"/>
          <w:sz w:val="32"/>
          <w:szCs w:val="32"/>
          <w:lang w:eastAsia="zh-CN"/>
        </w:rPr>
      </w:pPr>
      <w:r>
        <w:rPr>
          <w:rFonts w:hint="eastAsia" w:ascii="仿宋" w:hAnsi="仿宋" w:eastAsia="仿宋" w:cs="仿宋"/>
          <w:color w:val="auto"/>
          <w:sz w:val="32"/>
          <w:szCs w:val="32"/>
          <w:lang w:val="en-US" w:eastAsia="zh-CN"/>
        </w:rPr>
        <w:t>一</w:t>
      </w:r>
      <w:r>
        <w:rPr>
          <w:rFonts w:hint="eastAsia" w:ascii="仿宋" w:hAnsi="仿宋" w:eastAsia="仿宋" w:cs="仿宋"/>
          <w:color w:val="auto"/>
          <w:sz w:val="32"/>
          <w:szCs w:val="32"/>
          <w:lang w:eastAsia="zh-CN"/>
        </w:rPr>
        <w:t>是加强政务新媒体普法阵地。充分</w:t>
      </w:r>
      <w:r>
        <w:rPr>
          <w:rFonts w:hint="eastAsia" w:ascii="仿宋" w:hAnsi="仿宋" w:eastAsia="仿宋" w:cs="仿宋"/>
          <w:color w:val="auto"/>
          <w:sz w:val="32"/>
          <w:szCs w:val="32"/>
          <w:lang w:val="en-US" w:eastAsia="zh-CN"/>
        </w:rPr>
        <w:t>利用县融媒体中心</w:t>
      </w:r>
      <w:r>
        <w:rPr>
          <w:rFonts w:hint="eastAsia" w:ascii="仿宋" w:hAnsi="仿宋" w:eastAsia="仿宋" w:cs="仿宋"/>
          <w:color w:val="auto"/>
          <w:sz w:val="32"/>
          <w:szCs w:val="32"/>
          <w:lang w:eastAsia="zh-CN"/>
        </w:rPr>
        <w:t>等政务新媒体重要平台作用，及时发布和转载《条例》，让群众更清晰便捷了解到《条例》具体规定。</w:t>
      </w:r>
    </w:p>
    <w:p>
      <w:pPr>
        <w:spacing w:after="0" w:line="600" w:lineRule="exact"/>
        <w:ind w:firstLine="640" w:firstLineChars="200"/>
        <w:jc w:val="both"/>
        <w:rPr>
          <w:rFonts w:hint="eastAsia" w:ascii="仿宋" w:hAnsi="仿宋" w:eastAsia="仿宋" w:cs="仿宋"/>
          <w:color w:val="auto"/>
          <w:sz w:val="32"/>
          <w:szCs w:val="32"/>
          <w:lang w:eastAsia="zh-CN"/>
        </w:rPr>
      </w:pPr>
      <w:r>
        <w:rPr>
          <w:rFonts w:hint="eastAsia" w:ascii="仿宋" w:hAnsi="仿宋" w:eastAsia="仿宋" w:cs="仿宋"/>
          <w:color w:val="auto"/>
          <w:sz w:val="32"/>
          <w:szCs w:val="32"/>
          <w:lang w:eastAsia="zh-CN"/>
        </w:rPr>
        <w:t>二是完善传统普法阵地。将人民来访接待厅作为最直接的宣传阵地，通过发放宣传资料、设置LED滚动广告屏等形式，常年常态化向群众宣传《条例》。引入人民调解员，组建调委会，及时向信访群众提供法律咨询和救济途径指引服务，引导群众自觉运用法律武器依法理性维权，营造良好的法治信访环境。</w:t>
      </w:r>
    </w:p>
    <w:p>
      <w:pPr>
        <w:spacing w:after="0" w:line="600" w:lineRule="exact"/>
        <w:ind w:firstLine="640" w:firstLineChars="200"/>
        <w:jc w:val="both"/>
        <w:rPr>
          <w:rFonts w:hint="eastAsia" w:ascii="仿宋" w:hAnsi="仿宋" w:eastAsia="仿宋" w:cs="仿宋"/>
          <w:color w:val="auto"/>
          <w:sz w:val="32"/>
          <w:szCs w:val="32"/>
          <w:lang w:eastAsia="zh-CN"/>
        </w:rPr>
      </w:pPr>
      <w:r>
        <w:rPr>
          <w:rFonts w:hint="eastAsia" w:ascii="仿宋" w:hAnsi="仿宋" w:eastAsia="仿宋" w:cs="仿宋"/>
          <w:color w:val="auto"/>
          <w:sz w:val="32"/>
          <w:szCs w:val="32"/>
          <w:lang w:eastAsia="zh-CN"/>
        </w:rPr>
        <w:t>三是严格执行《条例》规定，认真履行工作职责，及时反映群众呼声，着力化解突出问题，不断提高信访工作能力和水平，以工作实效促进《条例》落实。</w:t>
      </w:r>
    </w:p>
    <w:p>
      <w:pPr>
        <w:numPr>
          <w:ilvl w:val="0"/>
          <w:numId w:val="0"/>
        </w:numPr>
        <w:spacing w:after="0" w:line="600" w:lineRule="exact"/>
        <w:ind w:firstLine="642" w:firstLineChars="200"/>
        <w:jc w:val="both"/>
        <w:rPr>
          <w:rFonts w:hint="eastAsia" w:ascii="楷体" w:hAnsi="楷体" w:eastAsia="楷体"/>
          <w:b/>
          <w:bCs/>
          <w:color w:val="auto"/>
          <w:sz w:val="32"/>
          <w:szCs w:val="32"/>
        </w:rPr>
      </w:pPr>
      <w:r>
        <w:rPr>
          <w:rFonts w:hint="eastAsia" w:ascii="楷体" w:hAnsi="楷体" w:eastAsia="楷体"/>
          <w:b/>
          <w:bCs/>
          <w:color w:val="auto"/>
          <w:sz w:val="32"/>
          <w:szCs w:val="32"/>
          <w:lang w:eastAsia="zh-CN"/>
        </w:rPr>
        <w:t>（</w:t>
      </w:r>
      <w:r>
        <w:rPr>
          <w:rFonts w:hint="eastAsia" w:ascii="楷体" w:hAnsi="楷体" w:eastAsia="楷体"/>
          <w:b/>
          <w:bCs/>
          <w:color w:val="auto"/>
          <w:sz w:val="32"/>
          <w:szCs w:val="32"/>
          <w:lang w:val="en-US" w:eastAsia="zh-CN"/>
        </w:rPr>
        <w:t>五</w:t>
      </w:r>
      <w:r>
        <w:rPr>
          <w:rFonts w:hint="eastAsia" w:ascii="楷体" w:hAnsi="楷体" w:eastAsia="楷体"/>
          <w:b/>
          <w:bCs/>
          <w:color w:val="auto"/>
          <w:sz w:val="32"/>
          <w:szCs w:val="32"/>
          <w:lang w:eastAsia="zh-CN"/>
        </w:rPr>
        <w:t>）</w:t>
      </w:r>
      <w:r>
        <w:rPr>
          <w:rFonts w:hint="eastAsia" w:ascii="楷体" w:hAnsi="楷体" w:eastAsia="楷体"/>
          <w:b/>
          <w:bCs/>
          <w:color w:val="auto"/>
          <w:sz w:val="32"/>
          <w:szCs w:val="32"/>
        </w:rPr>
        <w:t>依法履行信访工作职责，夯实法治建设基础</w:t>
      </w:r>
    </w:p>
    <w:p>
      <w:pPr>
        <w:numPr>
          <w:ilvl w:val="0"/>
          <w:numId w:val="0"/>
        </w:numPr>
        <w:spacing w:after="0" w:line="600" w:lineRule="exact"/>
        <w:ind w:firstLine="640" w:firstLineChars="200"/>
        <w:jc w:val="both"/>
        <w:rPr>
          <w:rFonts w:hint="eastAsia" w:ascii="仿宋" w:hAnsi="仿宋" w:eastAsia="仿宋" w:cs="仿宋"/>
          <w:color w:val="auto"/>
          <w:sz w:val="32"/>
          <w:szCs w:val="32"/>
        </w:rPr>
      </w:pPr>
      <w:r>
        <w:rPr>
          <w:rFonts w:hint="eastAsia" w:ascii="仿宋" w:hAnsi="仿宋" w:eastAsia="仿宋" w:cs="仿宋"/>
          <w:color w:val="auto"/>
          <w:sz w:val="32"/>
          <w:szCs w:val="32"/>
        </w:rPr>
        <w:t>以“法治信访”为抓手，聚焦群众“急难愁盼”问题，依法高效有序处理各类信访事项，今年以来各类信访事项及时受理率和按期办结率均达100%。滚动式排查各类社会矛盾纠纷，常态化开展接访、下访、约访、走访工作，依法按政策解决信访突出问题。重点信访事项实行专班实体运作，强化领导包案、联合接访、政策解释，高质高效治理重复信访、化解信访积案，切实维护人民群众合法权益。</w:t>
      </w:r>
    </w:p>
    <w:p>
      <w:pPr>
        <w:spacing w:after="0" w:line="600" w:lineRule="exact"/>
        <w:ind w:firstLine="640" w:firstLineChars="200"/>
        <w:jc w:val="both"/>
        <w:rPr>
          <w:rFonts w:ascii="黑体" w:hAnsi="黑体" w:eastAsia="黑体"/>
          <w:color w:val="auto"/>
          <w:sz w:val="32"/>
          <w:szCs w:val="32"/>
        </w:rPr>
      </w:pPr>
      <w:r>
        <w:rPr>
          <w:rFonts w:hint="eastAsia" w:ascii="黑体" w:hAnsi="黑体" w:eastAsia="黑体"/>
          <w:color w:val="auto"/>
          <w:sz w:val="32"/>
          <w:szCs w:val="32"/>
        </w:rPr>
        <w:t>二、上一年度推进法治政府建设存在的不足和原因</w:t>
      </w:r>
    </w:p>
    <w:p>
      <w:pPr>
        <w:spacing w:after="0" w:line="600" w:lineRule="exact"/>
        <w:ind w:firstLine="640" w:firstLineChars="200"/>
        <w:jc w:val="both"/>
        <w:rPr>
          <w:rFonts w:hint="eastAsia" w:ascii="仿宋" w:hAnsi="仿宋" w:eastAsia="仿宋" w:cs="仿宋"/>
          <w:color w:val="auto"/>
          <w:sz w:val="32"/>
          <w:szCs w:val="32"/>
        </w:rPr>
      </w:pPr>
      <w:r>
        <w:rPr>
          <w:rFonts w:hint="eastAsia" w:ascii="仿宋" w:hAnsi="仿宋" w:eastAsia="仿宋" w:cs="仿宋"/>
          <w:color w:val="auto"/>
          <w:sz w:val="32"/>
          <w:szCs w:val="32"/>
        </w:rPr>
        <w:t>一是信访干部队伍的法律业务素质有待进一步提升。我局大部分信访干部都不是法学科班出身，虽然很多干部学中干、干中学，但一定程度上也影响了信访法治化工作的开展。</w:t>
      </w:r>
    </w:p>
    <w:p>
      <w:pPr>
        <w:spacing w:after="0" w:line="600" w:lineRule="exact"/>
        <w:ind w:firstLine="640" w:firstLineChars="200"/>
        <w:jc w:val="both"/>
        <w:rPr>
          <w:rFonts w:hint="eastAsia" w:ascii="仿宋" w:hAnsi="仿宋" w:eastAsia="仿宋" w:cs="仿宋"/>
          <w:color w:val="auto"/>
          <w:sz w:val="32"/>
          <w:szCs w:val="32"/>
        </w:rPr>
      </w:pPr>
      <w:r>
        <w:rPr>
          <w:rFonts w:hint="eastAsia" w:ascii="仿宋" w:hAnsi="仿宋" w:eastAsia="仿宋" w:cs="仿宋"/>
          <w:color w:val="auto"/>
          <w:sz w:val="32"/>
          <w:szCs w:val="32"/>
        </w:rPr>
        <w:t>二是学法用法还需进一步加强</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我局干部对法学理论的学习还不够深入，不够主动，重业务、轻学习的思想依然存在，依法解决问题、化解矛盾、推动工作的意识需要进一步增强。</w:t>
      </w:r>
    </w:p>
    <w:p>
      <w:pPr>
        <w:spacing w:after="0" w:line="600" w:lineRule="exact"/>
        <w:ind w:firstLine="640" w:firstLineChars="200"/>
        <w:jc w:val="both"/>
        <w:rPr>
          <w:rFonts w:hint="eastAsia" w:ascii="仿宋" w:hAnsi="仿宋" w:eastAsia="仿宋" w:cs="仿宋"/>
          <w:color w:val="auto"/>
          <w:sz w:val="32"/>
          <w:szCs w:val="32"/>
        </w:rPr>
      </w:pPr>
      <w:r>
        <w:rPr>
          <w:rFonts w:hint="eastAsia" w:ascii="仿宋" w:hAnsi="仿宋" w:eastAsia="仿宋" w:cs="仿宋"/>
          <w:color w:val="auto"/>
          <w:sz w:val="32"/>
          <w:szCs w:val="32"/>
        </w:rPr>
        <w:t>三是诉访分离、依法分类工作衔接机制还有待完善。对</w:t>
      </w:r>
      <w:r>
        <w:rPr>
          <w:rFonts w:hint="eastAsia" w:ascii="仿宋" w:hAnsi="仿宋" w:eastAsia="仿宋" w:cs="仿宋"/>
          <w:color w:val="auto"/>
          <w:sz w:val="32"/>
          <w:szCs w:val="32"/>
          <w:lang w:eastAsia="zh-CN"/>
        </w:rPr>
        <w:t>于</w:t>
      </w:r>
      <w:r>
        <w:rPr>
          <w:rFonts w:hint="eastAsia" w:ascii="仿宋" w:hAnsi="仿宋" w:eastAsia="仿宋" w:cs="仿宋"/>
          <w:color w:val="auto"/>
          <w:sz w:val="32"/>
          <w:szCs w:val="32"/>
        </w:rPr>
        <w:t>这些问题，我局将采取坚决有力措施认真解决。</w:t>
      </w:r>
    </w:p>
    <w:p>
      <w:pPr>
        <w:spacing w:after="0" w:line="600" w:lineRule="exact"/>
        <w:ind w:firstLine="640" w:firstLineChars="200"/>
        <w:jc w:val="both"/>
        <w:rPr>
          <w:rFonts w:ascii="黑体" w:hAnsi="黑体" w:eastAsia="黑体"/>
          <w:color w:val="auto"/>
          <w:sz w:val="32"/>
          <w:szCs w:val="32"/>
        </w:rPr>
      </w:pPr>
      <w:r>
        <w:rPr>
          <w:rFonts w:hint="eastAsia" w:ascii="黑体" w:hAnsi="黑体" w:eastAsia="黑体"/>
          <w:color w:val="auto"/>
          <w:sz w:val="32"/>
          <w:szCs w:val="32"/>
        </w:rPr>
        <w:t>三、上一年度党政主要负责人履行法治建设责任情况</w:t>
      </w:r>
    </w:p>
    <w:p>
      <w:pPr>
        <w:spacing w:after="0" w:line="600" w:lineRule="exact"/>
        <w:ind w:firstLine="640" w:firstLineChars="200"/>
        <w:jc w:val="both"/>
        <w:rPr>
          <w:rFonts w:hint="eastAsia" w:ascii="仿宋" w:hAnsi="仿宋" w:eastAsia="仿宋" w:cs="仿宋"/>
          <w:color w:val="auto"/>
          <w:sz w:val="32"/>
          <w:szCs w:val="32"/>
        </w:rPr>
      </w:pPr>
      <w:r>
        <w:rPr>
          <w:rFonts w:hint="eastAsia" w:ascii="仿宋" w:hAnsi="仿宋" w:eastAsia="仿宋" w:cs="仿宋"/>
          <w:color w:val="auto"/>
          <w:sz w:val="32"/>
          <w:szCs w:val="32"/>
        </w:rPr>
        <w:t>信访局主要负责人严格履行推进法治建设第一责任人职责，高度重视法治建设工作，将法治建设作为局</w:t>
      </w:r>
      <w:r>
        <w:rPr>
          <w:rFonts w:hint="eastAsia" w:ascii="仿宋" w:hAnsi="仿宋" w:eastAsia="仿宋" w:cs="仿宋"/>
          <w:color w:val="auto"/>
          <w:sz w:val="32"/>
          <w:szCs w:val="32"/>
          <w:lang w:val="en-US" w:eastAsia="zh-CN"/>
        </w:rPr>
        <w:t>机关</w:t>
      </w:r>
      <w:r>
        <w:rPr>
          <w:rFonts w:hint="eastAsia" w:ascii="仿宋" w:hAnsi="仿宋" w:eastAsia="仿宋" w:cs="仿宋"/>
          <w:color w:val="auto"/>
          <w:sz w:val="32"/>
          <w:szCs w:val="32"/>
        </w:rPr>
        <w:t>的一项重要工作，精心筹划、有序推进。局领导班子充分发挥统筹协调和督促指导作用，强化组织领导，做到安排部署到位、责任落实到位、推进措施到位、督促检查到位，全面推进</w:t>
      </w:r>
      <w:r>
        <w:rPr>
          <w:rFonts w:hint="eastAsia" w:ascii="仿宋" w:hAnsi="仿宋" w:eastAsia="仿宋" w:cs="仿宋"/>
          <w:color w:val="auto"/>
          <w:sz w:val="32"/>
          <w:szCs w:val="32"/>
          <w:lang w:val="en-US" w:eastAsia="zh-CN"/>
        </w:rPr>
        <w:t>信访</w:t>
      </w:r>
      <w:r>
        <w:rPr>
          <w:rFonts w:hint="eastAsia" w:ascii="仿宋" w:hAnsi="仿宋" w:eastAsia="仿宋" w:cs="仿宋"/>
          <w:color w:val="auto"/>
          <w:sz w:val="32"/>
          <w:szCs w:val="32"/>
        </w:rPr>
        <w:t>法治</w:t>
      </w:r>
      <w:r>
        <w:rPr>
          <w:rFonts w:hint="eastAsia" w:ascii="仿宋" w:hAnsi="仿宋" w:eastAsia="仿宋" w:cs="仿宋"/>
          <w:color w:val="auto"/>
          <w:sz w:val="32"/>
          <w:szCs w:val="32"/>
          <w:lang w:val="en-US" w:eastAsia="zh-CN"/>
        </w:rPr>
        <w:t>化</w:t>
      </w:r>
      <w:r>
        <w:rPr>
          <w:rFonts w:hint="eastAsia" w:ascii="仿宋" w:hAnsi="仿宋" w:eastAsia="仿宋" w:cs="仿宋"/>
          <w:color w:val="auto"/>
          <w:sz w:val="32"/>
          <w:szCs w:val="32"/>
        </w:rPr>
        <w:t>建设。</w:t>
      </w:r>
    </w:p>
    <w:p>
      <w:pPr>
        <w:spacing w:after="0" w:line="600" w:lineRule="exact"/>
        <w:ind w:firstLine="640" w:firstLineChars="200"/>
        <w:jc w:val="both"/>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rPr>
        <w:t>一是深入学习贯彻习近平总书记关于加强和改进人民信访工作的重要思想、习近平总书记对信访工作重要批示指示精神，深刻领会习近平总书记全面依法治国新理念新思想新战略，坚决把党的领导贯穿到全面建设法治政府工作全过程各方面，坚定不移走中国特色社会主义法治道路。</w:t>
      </w:r>
      <w:r>
        <w:rPr>
          <w:rFonts w:hint="eastAsia" w:ascii="仿宋" w:hAnsi="仿宋" w:eastAsia="仿宋" w:cs="仿宋"/>
          <w:color w:val="auto"/>
          <w:sz w:val="32"/>
          <w:szCs w:val="32"/>
          <w:lang w:val="en-US" w:eastAsia="zh-CN"/>
        </w:rPr>
        <w:t xml:space="preserve">      </w:t>
      </w:r>
    </w:p>
    <w:p>
      <w:pPr>
        <w:spacing w:after="0" w:line="600" w:lineRule="exact"/>
        <w:ind w:firstLine="640" w:firstLineChars="200"/>
        <w:jc w:val="both"/>
        <w:rPr>
          <w:rFonts w:hint="eastAsia" w:ascii="仿宋" w:hAnsi="仿宋" w:eastAsia="仿宋" w:cs="仿宋"/>
          <w:color w:val="auto"/>
          <w:sz w:val="32"/>
          <w:szCs w:val="32"/>
        </w:rPr>
      </w:pPr>
      <w:r>
        <w:rPr>
          <w:rFonts w:hint="eastAsia" w:ascii="仿宋" w:hAnsi="仿宋" w:eastAsia="仿宋" w:cs="仿宋"/>
          <w:color w:val="auto"/>
          <w:sz w:val="32"/>
          <w:szCs w:val="32"/>
          <w:lang w:val="en-US" w:eastAsia="zh-CN"/>
        </w:rPr>
        <w:t>二</w:t>
      </w:r>
      <w:r>
        <w:rPr>
          <w:rFonts w:hint="eastAsia" w:ascii="仿宋" w:hAnsi="仿宋" w:eastAsia="仿宋" w:cs="仿宋"/>
          <w:color w:val="auto"/>
          <w:sz w:val="32"/>
          <w:szCs w:val="32"/>
        </w:rPr>
        <w:t>是坚决落实上级党委法治建设工作部署。</w:t>
      </w:r>
      <w:r>
        <w:rPr>
          <w:rFonts w:hint="eastAsia" w:ascii="仿宋" w:hAnsi="仿宋" w:eastAsia="仿宋" w:cs="仿宋"/>
          <w:color w:val="auto"/>
          <w:sz w:val="32"/>
          <w:szCs w:val="32"/>
          <w:lang w:val="en-US" w:eastAsia="zh-CN"/>
        </w:rPr>
        <w:t>定时组织局</w:t>
      </w:r>
      <w:r>
        <w:rPr>
          <w:rFonts w:hint="eastAsia" w:ascii="仿宋" w:hAnsi="仿宋" w:eastAsia="仿宋" w:cs="仿宋"/>
          <w:color w:val="auto"/>
          <w:sz w:val="32"/>
          <w:szCs w:val="32"/>
        </w:rPr>
        <w:t>党组学习贯彻习近平总书记关于法治建设的系列重要论述精神和有关法律法规，研究贯彻落实信访法治化建设工作，加强</w:t>
      </w:r>
      <w:r>
        <w:rPr>
          <w:rFonts w:hint="eastAsia" w:ascii="仿宋" w:hAnsi="仿宋" w:eastAsia="仿宋" w:cs="仿宋"/>
          <w:color w:val="auto"/>
          <w:sz w:val="32"/>
          <w:szCs w:val="32"/>
          <w:lang w:val="en-US" w:eastAsia="zh-CN"/>
        </w:rPr>
        <w:t>信访</w:t>
      </w:r>
      <w:r>
        <w:rPr>
          <w:rFonts w:hint="eastAsia" w:ascii="仿宋" w:hAnsi="仿宋" w:eastAsia="仿宋" w:cs="仿宋"/>
          <w:color w:val="auto"/>
          <w:sz w:val="32"/>
          <w:szCs w:val="32"/>
        </w:rPr>
        <w:t>法治</w:t>
      </w:r>
      <w:r>
        <w:rPr>
          <w:rFonts w:hint="eastAsia" w:ascii="仿宋" w:hAnsi="仿宋" w:eastAsia="仿宋" w:cs="仿宋"/>
          <w:color w:val="auto"/>
          <w:sz w:val="32"/>
          <w:szCs w:val="32"/>
          <w:lang w:val="en-US" w:eastAsia="zh-CN"/>
        </w:rPr>
        <w:t>化</w:t>
      </w:r>
      <w:r>
        <w:rPr>
          <w:rFonts w:hint="eastAsia" w:ascii="仿宋" w:hAnsi="仿宋" w:eastAsia="仿宋" w:cs="仿宋"/>
          <w:color w:val="auto"/>
          <w:sz w:val="32"/>
          <w:szCs w:val="32"/>
        </w:rPr>
        <w:t>建设的总体谋划，细化目标任务。</w:t>
      </w:r>
    </w:p>
    <w:p>
      <w:pPr>
        <w:spacing w:after="0" w:line="600" w:lineRule="exact"/>
        <w:ind w:firstLine="640" w:firstLineChars="200"/>
        <w:jc w:val="both"/>
        <w:rPr>
          <w:rFonts w:hint="eastAsia" w:ascii="仿宋" w:hAnsi="仿宋" w:eastAsia="仿宋" w:cs="仿宋"/>
          <w:color w:val="auto"/>
          <w:sz w:val="32"/>
          <w:szCs w:val="32"/>
        </w:rPr>
      </w:pPr>
      <w:r>
        <w:rPr>
          <w:rFonts w:hint="eastAsia" w:ascii="仿宋" w:hAnsi="仿宋" w:eastAsia="仿宋" w:cs="仿宋"/>
          <w:color w:val="auto"/>
          <w:sz w:val="32"/>
          <w:szCs w:val="32"/>
        </w:rPr>
        <w:t>三是确保经费落实到位。将普法宣传等法治经费项目列入年度财政预算，确保普法和法治建设经费的落实。</w:t>
      </w:r>
    </w:p>
    <w:p>
      <w:pPr>
        <w:spacing w:after="0" w:line="600" w:lineRule="exact"/>
        <w:ind w:firstLine="640" w:firstLineChars="200"/>
        <w:jc w:val="both"/>
        <w:rPr>
          <w:rFonts w:hint="eastAsia" w:ascii="仿宋" w:hAnsi="仿宋" w:eastAsia="仿宋" w:cs="仿宋"/>
          <w:color w:val="auto"/>
          <w:sz w:val="32"/>
          <w:szCs w:val="32"/>
        </w:rPr>
      </w:pPr>
      <w:r>
        <w:rPr>
          <w:rFonts w:hint="eastAsia" w:ascii="仿宋" w:hAnsi="仿宋" w:eastAsia="仿宋" w:cs="仿宋"/>
          <w:color w:val="auto"/>
          <w:sz w:val="32"/>
          <w:szCs w:val="32"/>
        </w:rPr>
        <w:t>四是带头守法学法用法。</w:t>
      </w:r>
      <w:r>
        <w:rPr>
          <w:rFonts w:hint="eastAsia" w:ascii="仿宋" w:hAnsi="仿宋" w:eastAsia="仿宋" w:cs="仿宋"/>
          <w:color w:val="auto"/>
          <w:sz w:val="32"/>
          <w:szCs w:val="32"/>
          <w:lang w:val="en-US" w:eastAsia="zh-CN"/>
        </w:rPr>
        <w:t>县</w:t>
      </w:r>
      <w:r>
        <w:rPr>
          <w:rFonts w:hint="eastAsia" w:ascii="仿宋" w:hAnsi="仿宋" w:eastAsia="仿宋" w:cs="仿宋"/>
          <w:color w:val="auto"/>
          <w:sz w:val="32"/>
          <w:szCs w:val="32"/>
        </w:rPr>
        <w:t>信访局主要负责人始终坚持把法治建设摆在重要位置，聚焦“围绕中心、建设队伍、服务群众”核心任务，组织专题学法，重点学习了《宪法》《民法典》《信访</w:t>
      </w:r>
      <w:r>
        <w:rPr>
          <w:rFonts w:hint="eastAsia" w:ascii="仿宋" w:hAnsi="仿宋" w:eastAsia="仿宋" w:cs="仿宋"/>
          <w:color w:val="auto"/>
          <w:sz w:val="32"/>
          <w:szCs w:val="32"/>
          <w:lang w:val="en-US" w:eastAsia="zh-CN"/>
        </w:rPr>
        <w:t>工作</w:t>
      </w:r>
      <w:r>
        <w:rPr>
          <w:rFonts w:hint="eastAsia" w:ascii="仿宋" w:hAnsi="仿宋" w:eastAsia="仿宋" w:cs="仿宋"/>
          <w:color w:val="auto"/>
          <w:sz w:val="32"/>
          <w:szCs w:val="32"/>
        </w:rPr>
        <w:t>条例》等法律法规，并结合分管工作，加强普法宣传。</w:t>
      </w:r>
    </w:p>
    <w:p>
      <w:pPr>
        <w:spacing w:after="0" w:line="600" w:lineRule="exact"/>
        <w:ind w:firstLine="640" w:firstLineChars="200"/>
        <w:jc w:val="both"/>
        <w:rPr>
          <w:rFonts w:hint="eastAsia" w:ascii="仿宋" w:hAnsi="仿宋" w:eastAsia="仿宋" w:cs="仿宋"/>
          <w:color w:val="auto"/>
          <w:sz w:val="32"/>
          <w:szCs w:val="32"/>
        </w:rPr>
      </w:pPr>
      <w:r>
        <w:rPr>
          <w:rFonts w:hint="eastAsia" w:ascii="仿宋" w:hAnsi="仿宋" w:eastAsia="仿宋" w:cs="仿宋"/>
          <w:color w:val="auto"/>
          <w:sz w:val="32"/>
          <w:szCs w:val="32"/>
        </w:rPr>
        <w:t>五是推动完善内部管理和监督，提升依法行政能力。重视加强信访干部的法治教育，积极培养信访干部学法用法能力，通过日常的纪律教育、法治教育、党员谈心</w:t>
      </w:r>
      <w:r>
        <w:rPr>
          <w:rFonts w:hint="eastAsia" w:ascii="仿宋" w:hAnsi="仿宋" w:eastAsia="仿宋" w:cs="仿宋"/>
          <w:color w:val="auto"/>
          <w:sz w:val="32"/>
          <w:szCs w:val="32"/>
          <w:lang w:eastAsia="zh-CN"/>
        </w:rPr>
        <w:t>等</w:t>
      </w:r>
      <w:r>
        <w:rPr>
          <w:rFonts w:hint="eastAsia" w:ascii="仿宋" w:hAnsi="仿宋" w:eastAsia="仿宋" w:cs="仿宋"/>
          <w:color w:val="auto"/>
          <w:sz w:val="32"/>
          <w:szCs w:val="32"/>
        </w:rPr>
        <w:t>教育活动形式，促使各级信访干部不断增强法治意识、法治思维和法治能力，自觉做尊法学法守法用法表率。</w:t>
      </w:r>
    </w:p>
    <w:p>
      <w:pPr>
        <w:numPr>
          <w:ilvl w:val="0"/>
          <w:numId w:val="1"/>
        </w:numPr>
        <w:spacing w:after="0" w:line="600" w:lineRule="exact"/>
        <w:ind w:firstLine="640" w:firstLineChars="200"/>
        <w:jc w:val="both"/>
        <w:rPr>
          <w:rFonts w:hint="eastAsia" w:ascii="黑体" w:hAnsi="黑体" w:eastAsia="黑体"/>
          <w:color w:val="auto"/>
          <w:sz w:val="32"/>
          <w:szCs w:val="32"/>
          <w:lang w:val="en-US" w:eastAsia="zh-CN"/>
        </w:rPr>
      </w:pPr>
      <w:r>
        <w:rPr>
          <w:rFonts w:hint="eastAsia" w:ascii="黑体" w:hAnsi="黑体" w:eastAsia="黑体"/>
          <w:color w:val="auto"/>
          <w:sz w:val="32"/>
          <w:szCs w:val="32"/>
          <w:lang w:val="en-US" w:eastAsia="zh-CN"/>
        </w:rPr>
        <w:t>本地区、本部门履行法院生效裁判情况</w:t>
      </w:r>
    </w:p>
    <w:p>
      <w:pPr>
        <w:numPr>
          <w:ilvl w:val="0"/>
          <w:numId w:val="0"/>
        </w:numPr>
        <w:spacing w:after="0" w:line="600" w:lineRule="exact"/>
        <w:jc w:val="both"/>
        <w:rPr>
          <w:rFonts w:hint="eastAsia" w:ascii="黑体" w:hAnsi="黑体" w:eastAsia="仿宋_GB2312"/>
          <w:color w:val="auto"/>
          <w:sz w:val="32"/>
          <w:szCs w:val="32"/>
          <w:lang w:val="en-US" w:eastAsia="zh-CN"/>
        </w:rPr>
      </w:pPr>
      <w:r>
        <w:rPr>
          <w:rFonts w:hint="eastAsia" w:ascii="黑体" w:hAnsi="黑体" w:eastAsia="黑体"/>
          <w:color w:val="auto"/>
          <w:sz w:val="32"/>
          <w:szCs w:val="32"/>
          <w:lang w:val="en-US" w:eastAsia="zh-CN"/>
        </w:rPr>
        <w:t xml:space="preserve">    </w:t>
      </w:r>
      <w:r>
        <w:rPr>
          <w:rFonts w:hint="eastAsia" w:ascii="仿宋" w:hAnsi="仿宋" w:eastAsia="仿宋" w:cs="仿宋"/>
          <w:color w:val="auto"/>
          <w:sz w:val="32"/>
          <w:szCs w:val="32"/>
          <w:lang w:val="en-US" w:eastAsia="zh-CN"/>
        </w:rPr>
        <w:t>无。</w:t>
      </w:r>
    </w:p>
    <w:p>
      <w:pPr>
        <w:numPr>
          <w:ilvl w:val="0"/>
          <w:numId w:val="0"/>
        </w:numPr>
        <w:spacing w:after="0" w:line="600" w:lineRule="exact"/>
        <w:ind w:firstLine="640" w:firstLineChars="200"/>
        <w:jc w:val="both"/>
        <w:rPr>
          <w:rFonts w:ascii="黑体" w:hAnsi="黑体" w:eastAsia="黑体"/>
          <w:color w:val="auto"/>
          <w:sz w:val="32"/>
          <w:szCs w:val="32"/>
        </w:rPr>
      </w:pPr>
      <w:r>
        <w:rPr>
          <w:rFonts w:hint="eastAsia" w:ascii="黑体" w:hAnsi="黑体" w:eastAsia="黑体"/>
          <w:color w:val="auto"/>
          <w:sz w:val="32"/>
          <w:szCs w:val="32"/>
          <w:lang w:val="en-US" w:eastAsia="zh-CN"/>
        </w:rPr>
        <w:t>五</w:t>
      </w:r>
      <w:r>
        <w:rPr>
          <w:rFonts w:hint="eastAsia" w:ascii="黑体" w:hAnsi="黑体" w:eastAsia="黑体"/>
          <w:color w:val="auto"/>
          <w:sz w:val="32"/>
          <w:szCs w:val="32"/>
        </w:rPr>
        <w:t>、下一年度推进法治政府建设的主要安排</w:t>
      </w:r>
    </w:p>
    <w:p>
      <w:pPr>
        <w:spacing w:after="0" w:line="600" w:lineRule="exact"/>
        <w:ind w:firstLine="640" w:firstLineChars="200"/>
        <w:jc w:val="both"/>
        <w:rPr>
          <w:rFonts w:hint="eastAsia" w:ascii="仿宋" w:hAnsi="仿宋" w:eastAsia="仿宋" w:cs="仿宋"/>
          <w:color w:val="auto"/>
          <w:sz w:val="32"/>
          <w:szCs w:val="32"/>
        </w:rPr>
      </w:pPr>
      <w:r>
        <w:rPr>
          <w:rFonts w:hint="eastAsia" w:ascii="仿宋" w:hAnsi="仿宋" w:eastAsia="仿宋" w:cs="仿宋"/>
          <w:color w:val="auto"/>
          <w:sz w:val="32"/>
          <w:szCs w:val="32"/>
        </w:rPr>
        <w:t>我们将以习近平法治思想为引领，以法治信访建设为主线，以</w:t>
      </w:r>
      <w:r>
        <w:rPr>
          <w:rFonts w:hint="eastAsia" w:ascii="仿宋" w:hAnsi="仿宋" w:eastAsia="仿宋" w:cs="仿宋"/>
          <w:color w:val="auto"/>
          <w:sz w:val="32"/>
          <w:szCs w:val="32"/>
          <w:lang w:val="en-US" w:eastAsia="zh-CN"/>
        </w:rPr>
        <w:t>全国信访示范县</w:t>
      </w:r>
      <w:r>
        <w:rPr>
          <w:rFonts w:hint="eastAsia" w:ascii="仿宋" w:hAnsi="仿宋" w:eastAsia="仿宋" w:cs="仿宋"/>
          <w:color w:val="auto"/>
          <w:sz w:val="32"/>
          <w:szCs w:val="32"/>
        </w:rPr>
        <w:t>创建工作为重点，严格贯彻落实中央、省、市关于法治政府建设的安排部署，结合</w:t>
      </w:r>
      <w:r>
        <w:rPr>
          <w:rFonts w:hint="eastAsia" w:ascii="仿宋" w:hAnsi="仿宋" w:eastAsia="仿宋" w:cs="仿宋"/>
          <w:color w:val="auto"/>
          <w:sz w:val="32"/>
          <w:szCs w:val="32"/>
          <w:lang w:val="en-US" w:eastAsia="zh-CN"/>
        </w:rPr>
        <w:t>曲沃县</w:t>
      </w:r>
      <w:r>
        <w:rPr>
          <w:rFonts w:hint="eastAsia" w:ascii="仿宋" w:hAnsi="仿宋" w:eastAsia="仿宋" w:cs="仿宋"/>
          <w:color w:val="auto"/>
          <w:sz w:val="32"/>
          <w:szCs w:val="32"/>
        </w:rPr>
        <w:t>信访工作实际，不断深化依法信访</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积极推动依法分类处理信访诉求工作落实。</w:t>
      </w:r>
    </w:p>
    <w:p>
      <w:pPr>
        <w:spacing w:after="0" w:line="600" w:lineRule="exact"/>
        <w:ind w:firstLine="642" w:firstLineChars="200"/>
        <w:jc w:val="both"/>
        <w:rPr>
          <w:rFonts w:hint="eastAsia" w:ascii="仿宋" w:hAnsi="仿宋" w:eastAsia="仿宋" w:cs="仿宋"/>
          <w:color w:val="auto"/>
          <w:sz w:val="32"/>
          <w:szCs w:val="32"/>
        </w:rPr>
      </w:pPr>
      <w:r>
        <w:rPr>
          <w:rFonts w:hint="eastAsia" w:ascii="楷体" w:hAnsi="楷体" w:eastAsia="楷体" w:cs="楷体"/>
          <w:b/>
          <w:bCs w:val="0"/>
          <w:color w:val="auto"/>
          <w:sz w:val="32"/>
          <w:szCs w:val="32"/>
          <w:lang w:eastAsia="zh-CN"/>
        </w:rPr>
        <w:t>（</w:t>
      </w:r>
      <w:r>
        <w:rPr>
          <w:rFonts w:hint="eastAsia" w:ascii="楷体" w:hAnsi="楷体" w:eastAsia="楷体" w:cs="楷体"/>
          <w:b/>
          <w:bCs w:val="0"/>
          <w:color w:val="auto"/>
          <w:sz w:val="32"/>
          <w:szCs w:val="32"/>
          <w:lang w:val="en-US" w:eastAsia="zh-CN"/>
        </w:rPr>
        <w:t>一</w:t>
      </w:r>
      <w:r>
        <w:rPr>
          <w:rFonts w:hint="eastAsia" w:ascii="楷体" w:hAnsi="楷体" w:eastAsia="楷体" w:cs="楷体"/>
          <w:b/>
          <w:bCs w:val="0"/>
          <w:color w:val="auto"/>
          <w:sz w:val="32"/>
          <w:szCs w:val="32"/>
          <w:lang w:eastAsia="zh-CN"/>
        </w:rPr>
        <w:t>）严格落实信访工作责任制。</w:t>
      </w:r>
      <w:r>
        <w:rPr>
          <w:rFonts w:hint="eastAsia" w:ascii="仿宋" w:hAnsi="仿宋" w:eastAsia="仿宋" w:cs="仿宋"/>
          <w:color w:val="auto"/>
          <w:sz w:val="32"/>
          <w:szCs w:val="32"/>
        </w:rPr>
        <w:t>按照“属地管理、分级负责，谁主管、谁负责”原则，依法规范各级党政机关履行信访工作职责。对因工作不落实导致信访突出问题发生的，进行责任倒查。同时，加强依法打击力度，对缠访、闹访、进京非访等重点信访人的违法行为，坚决协助司法机关予以打击处理。</w:t>
      </w:r>
    </w:p>
    <w:p>
      <w:pPr>
        <w:spacing w:after="0" w:line="600" w:lineRule="exact"/>
        <w:ind w:firstLine="642" w:firstLineChars="200"/>
        <w:jc w:val="both"/>
        <w:rPr>
          <w:rFonts w:hint="eastAsia" w:ascii="仿宋" w:hAnsi="仿宋" w:eastAsia="仿宋" w:cs="仿宋"/>
          <w:color w:val="auto"/>
          <w:sz w:val="32"/>
          <w:szCs w:val="32"/>
        </w:rPr>
      </w:pPr>
      <w:r>
        <w:rPr>
          <w:rFonts w:hint="eastAsia" w:ascii="楷体" w:hAnsi="楷体" w:eastAsia="楷体" w:cs="楷体"/>
          <w:b/>
          <w:bCs w:val="0"/>
          <w:color w:val="auto"/>
          <w:sz w:val="32"/>
          <w:szCs w:val="32"/>
          <w:lang w:eastAsia="zh-CN"/>
        </w:rPr>
        <w:t>（</w:t>
      </w:r>
      <w:r>
        <w:rPr>
          <w:rFonts w:hint="eastAsia" w:ascii="楷体" w:hAnsi="楷体" w:eastAsia="楷体" w:cs="楷体"/>
          <w:b/>
          <w:bCs w:val="0"/>
          <w:color w:val="auto"/>
          <w:sz w:val="32"/>
          <w:szCs w:val="32"/>
          <w:lang w:val="en-US" w:eastAsia="zh-CN"/>
        </w:rPr>
        <w:t>二</w:t>
      </w:r>
      <w:r>
        <w:rPr>
          <w:rFonts w:hint="eastAsia" w:ascii="楷体" w:hAnsi="楷体" w:eastAsia="楷体" w:cs="楷体"/>
          <w:b/>
          <w:bCs w:val="0"/>
          <w:color w:val="auto"/>
          <w:sz w:val="32"/>
          <w:szCs w:val="32"/>
          <w:lang w:eastAsia="zh-CN"/>
        </w:rPr>
        <w:t>）不断加强</w:t>
      </w:r>
      <w:r>
        <w:rPr>
          <w:rFonts w:hint="eastAsia" w:ascii="楷体" w:hAnsi="楷体" w:eastAsia="楷体" w:cs="楷体"/>
          <w:b/>
          <w:bCs w:val="0"/>
          <w:color w:val="auto"/>
          <w:sz w:val="32"/>
          <w:szCs w:val="32"/>
          <w:lang w:val="en-US" w:eastAsia="zh-CN"/>
        </w:rPr>
        <w:t>信访干部</w:t>
      </w:r>
      <w:r>
        <w:rPr>
          <w:rFonts w:hint="eastAsia" w:ascii="楷体" w:hAnsi="楷体" w:eastAsia="楷体" w:cs="楷体"/>
          <w:b/>
          <w:bCs w:val="0"/>
          <w:color w:val="auto"/>
          <w:sz w:val="32"/>
          <w:szCs w:val="32"/>
          <w:lang w:eastAsia="zh-CN"/>
        </w:rPr>
        <w:t>队伍建设。</w:t>
      </w:r>
      <w:r>
        <w:rPr>
          <w:rFonts w:hint="eastAsia" w:ascii="仿宋" w:hAnsi="仿宋" w:eastAsia="仿宋" w:cs="仿宋"/>
          <w:color w:val="auto"/>
          <w:sz w:val="32"/>
          <w:szCs w:val="32"/>
        </w:rPr>
        <w:t>深入学习贯彻习近平法治思想，增强</w:t>
      </w:r>
      <w:r>
        <w:rPr>
          <w:rFonts w:hint="eastAsia" w:ascii="仿宋" w:hAnsi="仿宋" w:eastAsia="仿宋" w:cs="仿宋"/>
          <w:color w:val="auto"/>
          <w:sz w:val="32"/>
          <w:szCs w:val="32"/>
          <w:lang w:val="en-US" w:eastAsia="zh-CN"/>
        </w:rPr>
        <w:t>曲沃县</w:t>
      </w:r>
      <w:r>
        <w:rPr>
          <w:rFonts w:hint="eastAsia" w:ascii="仿宋" w:hAnsi="仿宋" w:eastAsia="仿宋" w:cs="仿宋"/>
          <w:color w:val="auto"/>
          <w:sz w:val="32"/>
          <w:szCs w:val="32"/>
        </w:rPr>
        <w:t>信访干部“四个意识”，坚定“四个自信”、做到“两个维护”，提升政治自觉。强化信访业务培训，不断提升全</w:t>
      </w:r>
      <w:r>
        <w:rPr>
          <w:rFonts w:hint="eastAsia" w:ascii="仿宋" w:hAnsi="仿宋" w:eastAsia="仿宋" w:cs="仿宋"/>
          <w:color w:val="auto"/>
          <w:sz w:val="32"/>
          <w:szCs w:val="32"/>
          <w:lang w:val="en-US" w:eastAsia="zh-CN"/>
        </w:rPr>
        <w:t>局</w:t>
      </w:r>
      <w:r>
        <w:rPr>
          <w:rFonts w:hint="eastAsia" w:ascii="仿宋" w:hAnsi="仿宋" w:eastAsia="仿宋" w:cs="仿宋"/>
          <w:color w:val="auto"/>
          <w:sz w:val="32"/>
          <w:szCs w:val="32"/>
        </w:rPr>
        <w:t>信访干部的综合素质和业务能力</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强化作风纪律约束</w:t>
      </w:r>
      <w:r>
        <w:rPr>
          <w:rFonts w:hint="eastAsia" w:ascii="仿宋" w:hAnsi="仿宋" w:eastAsia="仿宋" w:cs="仿宋"/>
          <w:color w:val="auto"/>
          <w:sz w:val="32"/>
          <w:szCs w:val="32"/>
          <w:lang w:eastAsia="zh-CN"/>
        </w:rPr>
        <w:t>，</w:t>
      </w:r>
      <w:r>
        <w:rPr>
          <w:rFonts w:hint="eastAsia" w:ascii="仿宋" w:hAnsi="仿宋" w:eastAsia="仿宋" w:cs="仿宋"/>
          <w:color w:val="auto"/>
          <w:sz w:val="32"/>
          <w:szCs w:val="32"/>
        </w:rPr>
        <w:t>持续不断加强纪律建设和作风养成，发扬不怕疲劳、连续作战的优良作风，锐意进取，</w:t>
      </w:r>
      <w:bookmarkStart w:id="0" w:name="_GoBack"/>
      <w:bookmarkEnd w:id="0"/>
      <w:r>
        <w:rPr>
          <w:rFonts w:hint="eastAsia" w:ascii="仿宋" w:hAnsi="仿宋" w:eastAsia="仿宋" w:cs="仿宋"/>
          <w:color w:val="auto"/>
          <w:sz w:val="32"/>
          <w:szCs w:val="32"/>
        </w:rPr>
        <w:t>埋头苦干，以更加有力有效的工作服务大局、保障大局，努力在新时代展现信访工作新作为。</w:t>
      </w:r>
    </w:p>
    <w:p>
      <w:pPr>
        <w:spacing w:after="0" w:line="600" w:lineRule="exact"/>
        <w:ind w:firstLine="642" w:firstLineChars="200"/>
        <w:jc w:val="both"/>
        <w:rPr>
          <w:rFonts w:hint="eastAsia" w:ascii="仿宋" w:hAnsi="仿宋" w:eastAsia="仿宋" w:cs="仿宋"/>
          <w:bCs/>
          <w:color w:val="auto"/>
          <w:sz w:val="32"/>
          <w:szCs w:val="32"/>
          <w:lang w:eastAsia="zh-CN"/>
        </w:rPr>
      </w:pPr>
      <w:r>
        <w:rPr>
          <w:rFonts w:hint="eastAsia" w:ascii="楷体" w:hAnsi="楷体" w:eastAsia="楷体" w:cs="楷体"/>
          <w:b/>
          <w:bCs/>
          <w:color w:val="auto"/>
          <w:sz w:val="32"/>
          <w:szCs w:val="32"/>
          <w:lang w:eastAsia="zh-CN"/>
        </w:rPr>
        <w:t>（</w:t>
      </w:r>
      <w:r>
        <w:rPr>
          <w:rFonts w:hint="eastAsia" w:ascii="楷体" w:hAnsi="楷体" w:eastAsia="楷体" w:cs="楷体"/>
          <w:b/>
          <w:bCs/>
          <w:color w:val="auto"/>
          <w:sz w:val="32"/>
          <w:szCs w:val="32"/>
          <w:lang w:val="en-US" w:eastAsia="zh-CN"/>
        </w:rPr>
        <w:t>三</w:t>
      </w:r>
      <w:r>
        <w:rPr>
          <w:rFonts w:hint="eastAsia" w:ascii="楷体" w:hAnsi="楷体" w:eastAsia="楷体" w:cs="楷体"/>
          <w:b/>
          <w:bCs/>
          <w:color w:val="auto"/>
          <w:sz w:val="32"/>
          <w:szCs w:val="32"/>
          <w:lang w:eastAsia="zh-CN"/>
        </w:rPr>
        <w:t>）充分发挥信访事项联席会议作用，</w:t>
      </w:r>
      <w:r>
        <w:rPr>
          <w:rFonts w:hint="eastAsia" w:ascii="仿宋" w:hAnsi="仿宋" w:eastAsia="仿宋" w:cs="仿宋"/>
          <w:bCs/>
          <w:color w:val="auto"/>
          <w:sz w:val="32"/>
          <w:szCs w:val="32"/>
          <w:lang w:eastAsia="zh-CN"/>
        </w:rPr>
        <w:t>推动信访问题及时就地解决。</w:t>
      </w:r>
    </w:p>
    <w:p>
      <w:pPr>
        <w:spacing w:after="0" w:line="600" w:lineRule="exact"/>
        <w:ind w:firstLine="640" w:firstLineChars="200"/>
        <w:jc w:val="both"/>
        <w:rPr>
          <w:rFonts w:hint="eastAsia" w:ascii="仿宋" w:hAnsi="仿宋" w:eastAsia="仿宋" w:cs="仿宋"/>
          <w:color w:val="auto"/>
          <w:sz w:val="32"/>
          <w:szCs w:val="32"/>
        </w:rPr>
      </w:pPr>
      <w:r>
        <w:rPr>
          <w:rFonts w:hint="eastAsia" w:ascii="仿宋" w:hAnsi="仿宋" w:eastAsia="仿宋" w:cs="仿宋"/>
          <w:color w:val="auto"/>
          <w:sz w:val="32"/>
          <w:szCs w:val="32"/>
        </w:rPr>
        <w:t>充分发挥信访工作联席会议综合协调、组织推动、督导</w:t>
      </w:r>
      <w:r>
        <w:rPr>
          <w:rFonts w:hint="eastAsia" w:ascii="仿宋" w:hAnsi="仿宋" w:eastAsia="仿宋" w:cs="仿宋"/>
          <w:color w:val="auto"/>
          <w:sz w:val="32"/>
          <w:szCs w:val="32"/>
          <w:lang w:val="en-US" w:eastAsia="zh-CN"/>
        </w:rPr>
        <w:t>落</w:t>
      </w:r>
      <w:r>
        <w:rPr>
          <w:rFonts w:hint="eastAsia" w:ascii="仿宋" w:hAnsi="仿宋" w:eastAsia="仿宋" w:cs="仿宋"/>
          <w:color w:val="auto"/>
          <w:sz w:val="32"/>
          <w:szCs w:val="32"/>
        </w:rPr>
        <w:t>实等</w:t>
      </w:r>
      <w:r>
        <w:rPr>
          <w:rFonts w:hint="eastAsia" w:ascii="仿宋" w:hAnsi="仿宋" w:eastAsia="仿宋" w:cs="仿宋"/>
          <w:color w:val="auto"/>
          <w:sz w:val="32"/>
          <w:szCs w:val="32"/>
          <w:lang w:val="en-US" w:eastAsia="zh-CN"/>
        </w:rPr>
        <w:t>职能</w:t>
      </w:r>
      <w:r>
        <w:rPr>
          <w:rFonts w:hint="eastAsia" w:ascii="仿宋" w:hAnsi="仿宋" w:eastAsia="仿宋" w:cs="仿宋"/>
          <w:color w:val="auto"/>
          <w:sz w:val="32"/>
          <w:szCs w:val="32"/>
        </w:rPr>
        <w:t>作用，及时协调督促责任单位依法及时就地解决信访人的合理诉求。对于久拖不决、涉及群众多、社会影响面广的信访积案和信访突出问题，要综合利用各种社会资源，充分利用行政、经济、法律等手段，采用对话、说理、协商、调解、听证等多元化方式推动案件化解。定期开展信访矛盾排查工作，对群众反映突出的信访矛盾问题，定期分析研判，注重从政策层面研究化解方案，实实在在地推动解决问题。</w:t>
      </w:r>
    </w:p>
    <w:p>
      <w:pPr>
        <w:spacing w:after="0" w:line="600" w:lineRule="exact"/>
        <w:ind w:firstLine="640" w:firstLineChars="200"/>
        <w:jc w:val="both"/>
        <w:rPr>
          <w:rFonts w:ascii="黑体" w:hAnsi="黑体" w:eastAsia="黑体"/>
          <w:color w:val="auto"/>
          <w:sz w:val="32"/>
          <w:szCs w:val="32"/>
        </w:rPr>
      </w:pPr>
      <w:r>
        <w:rPr>
          <w:rFonts w:hint="eastAsia" w:ascii="黑体" w:hAnsi="黑体" w:eastAsia="黑体"/>
          <w:color w:val="auto"/>
          <w:sz w:val="32"/>
          <w:szCs w:val="32"/>
          <w:lang w:val="en-US" w:eastAsia="zh-CN"/>
        </w:rPr>
        <w:t>六</w:t>
      </w:r>
      <w:r>
        <w:rPr>
          <w:rFonts w:hint="eastAsia" w:ascii="黑体" w:hAnsi="黑体" w:eastAsia="黑体"/>
          <w:color w:val="auto"/>
          <w:sz w:val="32"/>
          <w:szCs w:val="32"/>
        </w:rPr>
        <w:t>、对全县加强法治政府建设的意见、建议</w:t>
      </w:r>
    </w:p>
    <w:p>
      <w:pPr>
        <w:spacing w:after="0" w:line="600" w:lineRule="exact"/>
        <w:ind w:firstLine="642" w:firstLineChars="200"/>
        <w:jc w:val="both"/>
        <w:rPr>
          <w:rFonts w:hint="eastAsia" w:ascii="楷体" w:hAnsi="楷体" w:eastAsia="楷体" w:cs="楷体"/>
          <w:b/>
          <w:bCs/>
          <w:color w:val="auto"/>
          <w:sz w:val="32"/>
          <w:szCs w:val="32"/>
          <w:lang w:val="en-US" w:eastAsia="zh-CN"/>
        </w:rPr>
      </w:pPr>
      <w:r>
        <w:rPr>
          <w:rFonts w:hint="eastAsia" w:ascii="楷体" w:hAnsi="楷体" w:eastAsia="楷体" w:cs="楷体"/>
          <w:b/>
          <w:bCs/>
          <w:color w:val="auto"/>
          <w:sz w:val="32"/>
          <w:szCs w:val="32"/>
        </w:rPr>
        <w:t>（一）</w:t>
      </w:r>
      <w:r>
        <w:rPr>
          <w:rFonts w:hint="eastAsia" w:ascii="楷体" w:hAnsi="楷体" w:eastAsia="楷体" w:cs="楷体"/>
          <w:b/>
          <w:bCs/>
          <w:color w:val="auto"/>
          <w:sz w:val="32"/>
          <w:szCs w:val="32"/>
          <w:lang w:val="en-US" w:eastAsia="zh-CN"/>
        </w:rPr>
        <w:t>加强依法治理的基层基础建设</w:t>
      </w:r>
    </w:p>
    <w:p>
      <w:pPr>
        <w:spacing w:after="0" w:line="600" w:lineRule="exact"/>
        <w:ind w:firstLine="640" w:firstLineChars="200"/>
        <w:jc w:val="both"/>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建设高素质法治政府工作队伍，建立健全政府工作人员的法治教育培训制度，分级分类开展专题培训；加强普法宣传工作，除司法局承担的普法宣传的常规职能外，落实“谁执法，谁普法”的主体责任，引导群众理性维权，有序解决问题和矛盾。</w:t>
      </w:r>
    </w:p>
    <w:p>
      <w:pPr>
        <w:spacing w:after="0" w:line="600" w:lineRule="exact"/>
        <w:ind w:firstLine="642" w:firstLineChars="200"/>
        <w:jc w:val="both"/>
        <w:rPr>
          <w:rFonts w:hint="eastAsia" w:ascii="楷体" w:hAnsi="楷体" w:eastAsia="楷体" w:cs="楷体"/>
          <w:b/>
          <w:bCs/>
          <w:color w:val="auto"/>
          <w:sz w:val="32"/>
          <w:szCs w:val="32"/>
          <w:lang w:val="en-US" w:eastAsia="zh-CN"/>
        </w:rPr>
      </w:pPr>
      <w:r>
        <w:rPr>
          <w:rFonts w:hint="eastAsia" w:ascii="楷体" w:hAnsi="楷体" w:eastAsia="楷体" w:cs="楷体"/>
          <w:b/>
          <w:bCs/>
          <w:color w:val="auto"/>
          <w:sz w:val="32"/>
          <w:szCs w:val="32"/>
          <w:lang w:val="en-US" w:eastAsia="zh-CN"/>
        </w:rPr>
        <w:t>（二）提高行政执法人员的法治意识</w:t>
      </w:r>
    </w:p>
    <w:p>
      <w:pPr>
        <w:numPr>
          <w:ilvl w:val="0"/>
          <w:numId w:val="0"/>
        </w:numPr>
        <w:spacing w:after="0" w:line="600" w:lineRule="exact"/>
        <w:ind w:firstLine="640" w:firstLineChars="200"/>
        <w:jc w:val="both"/>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强化“权不乱用”意识，公职人员既要从思想上接受职权法定、权责统一等法治基本理念，更重要的是把法治思维转化为对自身的要求和约束，形成对日常工作和生活的惯性。强化“责不可待”意识，既要解决乱作为问题，又要解决不作为问题，依法行政不仅是一种工作导向和要求，更是一种法定义务。</w:t>
      </w:r>
    </w:p>
    <w:p>
      <w:pPr>
        <w:spacing w:after="0" w:line="600" w:lineRule="exact"/>
        <w:ind w:firstLine="642" w:firstLineChars="200"/>
        <w:jc w:val="both"/>
        <w:rPr>
          <w:rFonts w:hint="eastAsia" w:ascii="楷体" w:hAnsi="楷体" w:eastAsia="楷体" w:cs="楷体"/>
          <w:b/>
          <w:bCs/>
          <w:color w:val="auto"/>
          <w:sz w:val="32"/>
          <w:szCs w:val="32"/>
          <w:lang w:eastAsia="zh-CN"/>
        </w:rPr>
      </w:pPr>
      <w:r>
        <w:rPr>
          <w:rFonts w:hint="eastAsia" w:ascii="楷体" w:hAnsi="楷体" w:eastAsia="楷体" w:cs="楷体"/>
          <w:b/>
          <w:bCs/>
          <w:color w:val="auto"/>
          <w:sz w:val="32"/>
          <w:szCs w:val="32"/>
        </w:rPr>
        <w:t>（</w:t>
      </w:r>
      <w:r>
        <w:rPr>
          <w:rFonts w:hint="eastAsia" w:ascii="楷体" w:hAnsi="楷体" w:eastAsia="楷体" w:cs="楷体"/>
          <w:b/>
          <w:bCs/>
          <w:color w:val="auto"/>
          <w:sz w:val="32"/>
          <w:szCs w:val="32"/>
          <w:lang w:val="en-US" w:eastAsia="zh-CN"/>
        </w:rPr>
        <w:t>三</w:t>
      </w:r>
      <w:r>
        <w:rPr>
          <w:rFonts w:hint="eastAsia" w:ascii="楷体" w:hAnsi="楷体" w:eastAsia="楷体" w:cs="楷体"/>
          <w:b/>
          <w:bCs/>
          <w:color w:val="auto"/>
          <w:sz w:val="32"/>
          <w:szCs w:val="32"/>
        </w:rPr>
        <w:t>）</w:t>
      </w:r>
      <w:r>
        <w:rPr>
          <w:rFonts w:hint="eastAsia" w:ascii="楷体" w:hAnsi="楷体" w:eastAsia="楷体" w:cs="楷体"/>
          <w:b/>
          <w:bCs/>
          <w:color w:val="auto"/>
          <w:sz w:val="32"/>
          <w:szCs w:val="32"/>
          <w:lang w:val="en-US" w:eastAsia="zh-CN"/>
        </w:rPr>
        <w:t>进一步推进政府信息公开</w:t>
      </w:r>
    </w:p>
    <w:p>
      <w:pPr>
        <w:spacing w:after="0" w:line="600" w:lineRule="exact"/>
        <w:ind w:firstLine="640" w:firstLineChars="200"/>
        <w:jc w:val="both"/>
        <w:rPr>
          <w:rFonts w:hint="eastAsia" w:ascii="仿宋_GB2312" w:hAnsi="微软雅黑" w:eastAsia="仿宋_GB2312"/>
          <w:color w:val="auto"/>
          <w:sz w:val="32"/>
          <w:szCs w:val="32"/>
        </w:rPr>
      </w:pPr>
      <w:r>
        <w:rPr>
          <w:rFonts w:hint="eastAsia" w:ascii="仿宋" w:hAnsi="仿宋" w:eastAsia="仿宋" w:cs="仿宋"/>
          <w:color w:val="auto"/>
          <w:sz w:val="32"/>
          <w:szCs w:val="32"/>
          <w:lang w:val="en-US" w:eastAsia="zh-CN"/>
        </w:rPr>
        <w:t>对于法定的主动公开范围做到全覆盖并同步进行动态调整，提高公开的信息质量，对于公众关心的热点领域问题予以全面及时地回应。同时</w:t>
      </w:r>
      <w:r>
        <w:rPr>
          <w:rFonts w:hint="eastAsia" w:ascii="仿宋" w:hAnsi="仿宋" w:eastAsia="仿宋" w:cs="仿宋"/>
          <w:color w:val="auto"/>
          <w:sz w:val="32"/>
          <w:szCs w:val="32"/>
        </w:rPr>
        <w:t>拓宽群众监督渠道，建立24小时举报投诉电话，对</w:t>
      </w:r>
      <w:r>
        <w:rPr>
          <w:rFonts w:hint="eastAsia" w:ascii="仿宋" w:hAnsi="仿宋" w:eastAsia="仿宋" w:cs="仿宋"/>
          <w:color w:val="auto"/>
          <w:sz w:val="32"/>
          <w:szCs w:val="32"/>
          <w:lang w:val="en-US" w:eastAsia="zh-CN"/>
        </w:rPr>
        <w:t>违法行为</w:t>
      </w:r>
      <w:r>
        <w:rPr>
          <w:rFonts w:hint="eastAsia" w:ascii="仿宋" w:hAnsi="仿宋" w:eastAsia="仿宋" w:cs="仿宋"/>
          <w:color w:val="auto"/>
          <w:sz w:val="32"/>
          <w:szCs w:val="32"/>
        </w:rPr>
        <w:t>导致公众利益受损的，要严肃追究相关人员责任。</w:t>
      </w:r>
    </w:p>
    <w:p>
      <w:pPr>
        <w:spacing w:after="0" w:line="600" w:lineRule="exact"/>
        <w:ind w:firstLine="640" w:firstLineChars="200"/>
        <w:jc w:val="both"/>
        <w:rPr>
          <w:rFonts w:ascii="黑体" w:hAnsi="黑体" w:eastAsia="黑体"/>
          <w:color w:val="auto"/>
          <w:sz w:val="32"/>
          <w:szCs w:val="32"/>
        </w:rPr>
      </w:pPr>
      <w:r>
        <w:rPr>
          <w:rFonts w:hint="eastAsia" w:ascii="黑体" w:hAnsi="黑体" w:eastAsia="黑体"/>
          <w:color w:val="auto"/>
          <w:sz w:val="32"/>
          <w:szCs w:val="32"/>
          <w:lang w:val="en-US" w:eastAsia="zh-CN"/>
        </w:rPr>
        <w:t>七</w:t>
      </w:r>
      <w:r>
        <w:rPr>
          <w:rFonts w:hint="eastAsia" w:ascii="黑体" w:hAnsi="黑体" w:eastAsia="黑体"/>
          <w:color w:val="auto"/>
          <w:sz w:val="32"/>
          <w:szCs w:val="32"/>
        </w:rPr>
        <w:t>、其他需要报告的重要事项</w:t>
      </w:r>
    </w:p>
    <w:p>
      <w:pPr>
        <w:spacing w:after="0" w:line="600" w:lineRule="exact"/>
        <w:ind w:firstLine="640" w:firstLineChars="200"/>
        <w:jc w:val="both"/>
        <w:rPr>
          <w:rFonts w:hint="eastAsia" w:ascii="仿宋" w:hAnsi="仿宋" w:eastAsia="仿宋" w:cs="仿宋"/>
          <w:color w:val="auto"/>
          <w:sz w:val="32"/>
          <w:szCs w:val="32"/>
        </w:rPr>
      </w:pPr>
      <w:r>
        <w:rPr>
          <w:rFonts w:hint="eastAsia" w:ascii="仿宋" w:hAnsi="仿宋" w:eastAsia="仿宋" w:cs="仿宋"/>
          <w:color w:val="auto"/>
          <w:sz w:val="32"/>
          <w:szCs w:val="32"/>
        </w:rPr>
        <w:t>无</w:t>
      </w:r>
    </w:p>
    <w:p>
      <w:pPr>
        <w:spacing w:after="0" w:line="600" w:lineRule="exact"/>
        <w:ind w:firstLine="640" w:firstLineChars="200"/>
        <w:jc w:val="both"/>
        <w:rPr>
          <w:rFonts w:hint="eastAsia" w:ascii="仿宋" w:hAnsi="仿宋" w:eastAsia="仿宋" w:cs="仿宋"/>
          <w:color w:val="auto"/>
          <w:sz w:val="32"/>
          <w:szCs w:val="32"/>
        </w:rPr>
      </w:pPr>
    </w:p>
    <w:p>
      <w:pPr>
        <w:spacing w:after="0" w:line="600" w:lineRule="exact"/>
        <w:ind w:firstLine="640" w:firstLineChars="200"/>
        <w:jc w:val="both"/>
        <w:rPr>
          <w:rFonts w:hint="eastAsia" w:ascii="仿宋" w:hAnsi="仿宋" w:eastAsia="仿宋" w:cs="仿宋"/>
          <w:color w:val="auto"/>
          <w:sz w:val="32"/>
          <w:szCs w:val="32"/>
        </w:rPr>
      </w:pPr>
    </w:p>
    <w:p>
      <w:pPr>
        <w:spacing w:after="0" w:line="600" w:lineRule="exact"/>
        <w:ind w:firstLine="640" w:firstLineChars="200"/>
        <w:jc w:val="both"/>
        <w:rPr>
          <w:rFonts w:hint="eastAsia" w:ascii="仿宋" w:hAnsi="仿宋" w:eastAsia="仿宋" w:cs="仿宋"/>
          <w:color w:val="auto"/>
          <w:sz w:val="32"/>
          <w:szCs w:val="32"/>
        </w:rPr>
      </w:pPr>
    </w:p>
    <w:p>
      <w:pPr>
        <w:spacing w:after="0" w:line="600" w:lineRule="exact"/>
        <w:ind w:firstLine="5760" w:firstLineChars="1800"/>
        <w:jc w:val="both"/>
        <w:rPr>
          <w:rFonts w:hint="eastAsia" w:ascii="仿宋" w:hAnsi="仿宋" w:eastAsia="仿宋" w:cs="仿宋"/>
          <w:color w:val="auto"/>
          <w:sz w:val="32"/>
          <w:szCs w:val="32"/>
          <w:lang w:eastAsia="zh-CN"/>
        </w:rPr>
      </w:pPr>
      <w:r>
        <w:rPr>
          <w:rFonts w:hint="eastAsia" w:ascii="仿宋" w:hAnsi="仿宋" w:eastAsia="仿宋" w:cs="仿宋"/>
          <w:color w:val="auto"/>
          <w:sz w:val="32"/>
          <w:szCs w:val="32"/>
          <w:lang w:eastAsia="zh-CN"/>
        </w:rPr>
        <w:t>曲沃县信访局</w:t>
      </w:r>
    </w:p>
    <w:p>
      <w:pPr>
        <w:spacing w:after="0" w:line="600" w:lineRule="exact"/>
        <w:ind w:firstLine="5760" w:firstLineChars="1800"/>
        <w:jc w:val="both"/>
        <w:rPr>
          <w:rFonts w:hint="eastAsia" w:ascii="仿宋" w:hAnsi="仿宋" w:eastAsia="仿宋" w:cs="仿宋"/>
          <w:color w:val="auto"/>
          <w:sz w:val="32"/>
          <w:szCs w:val="32"/>
          <w:lang w:val="en-US" w:eastAsia="zh-CN"/>
        </w:rPr>
      </w:pPr>
      <w:r>
        <w:rPr>
          <w:rFonts w:hint="eastAsia" w:ascii="仿宋" w:hAnsi="仿宋" w:eastAsia="仿宋" w:cs="仿宋"/>
          <w:color w:val="auto"/>
          <w:sz w:val="32"/>
          <w:szCs w:val="32"/>
          <w:lang w:val="en-US" w:eastAsia="zh-CN"/>
        </w:rPr>
        <w:t>2023年1月6日</w:t>
      </w:r>
    </w:p>
    <w:p>
      <w:pPr>
        <w:spacing w:after="0" w:line="600" w:lineRule="exact"/>
        <w:ind w:firstLine="640" w:firstLineChars="200"/>
        <w:jc w:val="both"/>
        <w:rPr>
          <w:rFonts w:hint="eastAsia" w:ascii="仿宋" w:hAnsi="仿宋" w:eastAsia="仿宋" w:cs="仿宋"/>
          <w:color w:val="auto"/>
          <w:sz w:val="32"/>
          <w:szCs w:val="32"/>
        </w:rPr>
      </w:pPr>
    </w:p>
    <w:p>
      <w:pPr>
        <w:spacing w:after="0" w:line="600" w:lineRule="exact"/>
        <w:ind w:firstLine="640" w:firstLineChars="200"/>
        <w:jc w:val="both"/>
        <w:rPr>
          <w:rFonts w:hint="eastAsia" w:ascii="仿宋" w:hAnsi="仿宋" w:eastAsia="仿宋" w:cs="仿宋"/>
          <w:color w:val="auto"/>
          <w:sz w:val="32"/>
          <w:szCs w:val="32"/>
        </w:rPr>
      </w:pPr>
    </w:p>
    <w:p>
      <w:pPr>
        <w:spacing w:line="220" w:lineRule="atLeast"/>
        <w:jc w:val="both"/>
        <w:rPr>
          <w:color w:val="auto"/>
        </w:rPr>
      </w:pPr>
    </w:p>
    <w:sectPr>
      <w:footerReference r:id="rId3" w:type="default"/>
      <w:pgSz w:w="11906" w:h="16838"/>
      <w:pgMar w:top="1440" w:right="1800" w:bottom="1440" w:left="1800" w:header="708" w:footer="708"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Tahoma">
    <w:altName w:val="DejaVu Sans"/>
    <w:panose1 w:val="020B0604030504040204"/>
    <w:charset w:val="00"/>
    <w:family w:val="swiss"/>
    <w:pitch w:val="default"/>
    <w:sig w:usb0="00000000" w:usb1="00000000" w:usb2="00000029" w:usb3="00000000" w:csb0="200101FF" w:csb1="20280000"/>
  </w:font>
  <w:font w:name="微软雅黑">
    <w:altName w:val="黑体"/>
    <w:panose1 w:val="020B0503020204020204"/>
    <w:charset w:val="86"/>
    <w:family w:val="swiss"/>
    <w:pitch w:val="default"/>
    <w:sig w:usb0="00000000" w:usb1="00000000" w:usb2="00000016" w:usb3="00000000" w:csb0="0004001F" w:csb1="00000000"/>
  </w:font>
  <w:font w:name="方正小标宋简体">
    <w:altName w:val="方正小标宋_GBK"/>
    <w:panose1 w:val="02010601030101010101"/>
    <w:charset w:val="86"/>
    <w:family w:val="script"/>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方正书宋_GBK">
    <w:panose1 w:val="02000000000000000000"/>
    <w:charset w:val="86"/>
    <w:family w:val="auto"/>
    <w:pitch w:val="default"/>
    <w:sig w:usb0="A00002BF" w:usb1="38CF7CFA" w:usb2="00082016" w:usb3="00000000" w:csb0="00040001" w:csb1="00000000"/>
  </w:font>
  <w:font w:name="方正小标宋_GBK">
    <w:panose1 w:val="02000000000000000000"/>
    <w:charset w:val="86"/>
    <w:family w:val="auto"/>
    <w:pitch w:val="default"/>
    <w:sig w:usb0="A00002BF" w:usb1="38CF7CFA" w:usb2="00082016" w:usb3="00000000" w:csb0="00040001" w:csb1="00000000"/>
  </w:font>
  <w:font w:name="DejaVu Sans">
    <w:panose1 w:val="020B0603030804020204"/>
    <w:charset w:val="00"/>
    <w:family w:val="auto"/>
    <w:pitch w:val="default"/>
    <w:sig w:usb0="E7006EFF" w:usb1="D200FDFF" w:usb2="0A246029" w:usb3="0400200C" w:csb0="600001FF" w:csb1="DFFF0000"/>
  </w:font>
  <w:font w:name="Noto Sans CJK JP Bold">
    <w:panose1 w:val="020B0800000000000000"/>
    <w:charset w:val="86"/>
    <w:family w:val="auto"/>
    <w:pitch w:val="default"/>
    <w:sig w:usb0="30000003" w:usb1="2BDF3C10" w:usb2="00000016" w:usb3="00000000" w:csb0="602E0107"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3481848"/>
    </w:sdtPr>
    <w:sdtContent>
      <w:p>
        <w:pPr>
          <w:pStyle w:val="3"/>
          <w:jc w:val="center"/>
        </w:pPr>
        <w:r>
          <w:fldChar w:fldCharType="begin"/>
        </w:r>
        <w:r>
          <w:instrText xml:space="preserve"> PAGE   \* MERGEFORMAT </w:instrText>
        </w:r>
        <w:r>
          <w:fldChar w:fldCharType="separate"/>
        </w:r>
        <w:r>
          <w:rPr>
            <w:lang w:val="zh-CN"/>
          </w:rPr>
          <w:t>6</w:t>
        </w:r>
        <w:r>
          <w:rPr>
            <w:lang w:val="zh-CN"/>
          </w:rPr>
          <w:fldChar w:fldCharType="end"/>
        </w:r>
      </w:p>
    </w:sdtContent>
  </w:sdt>
  <w:p>
    <w:pPr>
      <w:pStyle w:val="3"/>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F3D819B"/>
    <w:multiLevelType w:val="singleLevel"/>
    <w:tmpl w:val="EF3D819B"/>
    <w:lvl w:ilvl="0" w:tentative="0">
      <w:start w:val="4"/>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false"/>
  <w:bordersDoNotSurroundFooter w:val="false"/>
  <w:documentProtection w:enforcement="0"/>
  <w:defaultTabStop w:val="720"/>
  <w:displayHorizontalDrawingGridEvery w:val="1"/>
  <w:displayVerticalDrawingGridEvery w:val="1"/>
  <w:noPunctuationKerning w:val="true"/>
  <w:characterSpacingControl w:val="doNotCompress"/>
  <w:compat>
    <w:doNotExpandShiftReturn/>
    <w:doNotWrapTextWithPunct/>
    <w:doNotUseEastAsianBreakRules/>
    <w:useFELayout/>
    <w:doNotUseIndentAsNumberingTabStop/>
    <w:useAltKinsokuLineBreakRules/>
    <w:compatSetting w:name="compatibilityMode" w:uri="http://schemas.microsoft.com/office/word" w:val="12"/>
  </w:compat>
  <w:docVars>
    <w:docVar w:name="commondata" w:val="eyJoZGlkIjoiMTUxYWE5YzcyZDAyMmM5YjQzMTVkMTg2ZTFjODhiNjAifQ=="/>
  </w:docVars>
  <w:rsids>
    <w:rsidRoot w:val="00D31D50"/>
    <w:rsid w:val="00011D0F"/>
    <w:rsid w:val="00017E42"/>
    <w:rsid w:val="000229D2"/>
    <w:rsid w:val="00036BD8"/>
    <w:rsid w:val="00061056"/>
    <w:rsid w:val="0009721C"/>
    <w:rsid w:val="000A0B88"/>
    <w:rsid w:val="000A7389"/>
    <w:rsid w:val="000E1F64"/>
    <w:rsid w:val="000F447C"/>
    <w:rsid w:val="00103771"/>
    <w:rsid w:val="00105FBE"/>
    <w:rsid w:val="00112DA5"/>
    <w:rsid w:val="001140EB"/>
    <w:rsid w:val="00115641"/>
    <w:rsid w:val="00125434"/>
    <w:rsid w:val="001326AF"/>
    <w:rsid w:val="001422E3"/>
    <w:rsid w:val="00162E3C"/>
    <w:rsid w:val="001714EE"/>
    <w:rsid w:val="00174454"/>
    <w:rsid w:val="00193A2D"/>
    <w:rsid w:val="001B0294"/>
    <w:rsid w:val="001C0621"/>
    <w:rsid w:val="00256F05"/>
    <w:rsid w:val="00263AF7"/>
    <w:rsid w:val="00272DDB"/>
    <w:rsid w:val="00277002"/>
    <w:rsid w:val="00297A9D"/>
    <w:rsid w:val="002A6EF3"/>
    <w:rsid w:val="00313789"/>
    <w:rsid w:val="00323B43"/>
    <w:rsid w:val="00325905"/>
    <w:rsid w:val="00392E79"/>
    <w:rsid w:val="00395E1A"/>
    <w:rsid w:val="003A06B2"/>
    <w:rsid w:val="003D37D8"/>
    <w:rsid w:val="003D4602"/>
    <w:rsid w:val="003F6BC9"/>
    <w:rsid w:val="0041318F"/>
    <w:rsid w:val="00415A28"/>
    <w:rsid w:val="00426133"/>
    <w:rsid w:val="004358AB"/>
    <w:rsid w:val="00444421"/>
    <w:rsid w:val="004550DA"/>
    <w:rsid w:val="00491738"/>
    <w:rsid w:val="004B6C06"/>
    <w:rsid w:val="004C15D5"/>
    <w:rsid w:val="004C173C"/>
    <w:rsid w:val="004C6381"/>
    <w:rsid w:val="004E7272"/>
    <w:rsid w:val="004F160B"/>
    <w:rsid w:val="0053698A"/>
    <w:rsid w:val="00542CBA"/>
    <w:rsid w:val="00547A91"/>
    <w:rsid w:val="00592C47"/>
    <w:rsid w:val="005B0304"/>
    <w:rsid w:val="005F2F04"/>
    <w:rsid w:val="00605233"/>
    <w:rsid w:val="00606120"/>
    <w:rsid w:val="006168DB"/>
    <w:rsid w:val="006352C0"/>
    <w:rsid w:val="00650A14"/>
    <w:rsid w:val="00684FBE"/>
    <w:rsid w:val="006B1693"/>
    <w:rsid w:val="006E1438"/>
    <w:rsid w:val="006E4ECC"/>
    <w:rsid w:val="006F36DC"/>
    <w:rsid w:val="007175E9"/>
    <w:rsid w:val="00731158"/>
    <w:rsid w:val="00740AEB"/>
    <w:rsid w:val="007A2DD9"/>
    <w:rsid w:val="007A5A05"/>
    <w:rsid w:val="007B3DDC"/>
    <w:rsid w:val="0081437F"/>
    <w:rsid w:val="00853422"/>
    <w:rsid w:val="008563FA"/>
    <w:rsid w:val="0086564C"/>
    <w:rsid w:val="00872CDB"/>
    <w:rsid w:val="00875BEC"/>
    <w:rsid w:val="00883085"/>
    <w:rsid w:val="008A03C5"/>
    <w:rsid w:val="008A5BAD"/>
    <w:rsid w:val="008A7447"/>
    <w:rsid w:val="008B7726"/>
    <w:rsid w:val="008C3494"/>
    <w:rsid w:val="008E7E1E"/>
    <w:rsid w:val="0092192F"/>
    <w:rsid w:val="00927E1A"/>
    <w:rsid w:val="0093166B"/>
    <w:rsid w:val="009362CE"/>
    <w:rsid w:val="009903A7"/>
    <w:rsid w:val="0099374E"/>
    <w:rsid w:val="0099658A"/>
    <w:rsid w:val="00996C38"/>
    <w:rsid w:val="009A19B9"/>
    <w:rsid w:val="009D572D"/>
    <w:rsid w:val="009E068D"/>
    <w:rsid w:val="009E5A44"/>
    <w:rsid w:val="009F4273"/>
    <w:rsid w:val="00A05C96"/>
    <w:rsid w:val="00A159B2"/>
    <w:rsid w:val="00A46428"/>
    <w:rsid w:val="00A53D96"/>
    <w:rsid w:val="00A67CBE"/>
    <w:rsid w:val="00A8169A"/>
    <w:rsid w:val="00AB1BBF"/>
    <w:rsid w:val="00AB4B15"/>
    <w:rsid w:val="00AE6C18"/>
    <w:rsid w:val="00AF0153"/>
    <w:rsid w:val="00AF42C6"/>
    <w:rsid w:val="00B01C1A"/>
    <w:rsid w:val="00B052FF"/>
    <w:rsid w:val="00B24598"/>
    <w:rsid w:val="00B27203"/>
    <w:rsid w:val="00B277BB"/>
    <w:rsid w:val="00B32EB5"/>
    <w:rsid w:val="00B466D6"/>
    <w:rsid w:val="00B55194"/>
    <w:rsid w:val="00B73A14"/>
    <w:rsid w:val="00B805ED"/>
    <w:rsid w:val="00B836FB"/>
    <w:rsid w:val="00B977BF"/>
    <w:rsid w:val="00BA4F4F"/>
    <w:rsid w:val="00BB072B"/>
    <w:rsid w:val="00BF0748"/>
    <w:rsid w:val="00BF6CEB"/>
    <w:rsid w:val="00BF755E"/>
    <w:rsid w:val="00C56330"/>
    <w:rsid w:val="00CA0488"/>
    <w:rsid w:val="00CB2B96"/>
    <w:rsid w:val="00CB37D1"/>
    <w:rsid w:val="00CB54CA"/>
    <w:rsid w:val="00CE46A0"/>
    <w:rsid w:val="00CF6AEE"/>
    <w:rsid w:val="00D0038D"/>
    <w:rsid w:val="00D31D50"/>
    <w:rsid w:val="00D3419F"/>
    <w:rsid w:val="00D5418A"/>
    <w:rsid w:val="00D658D6"/>
    <w:rsid w:val="00D76C15"/>
    <w:rsid w:val="00D814BA"/>
    <w:rsid w:val="00D860F5"/>
    <w:rsid w:val="00DA65D1"/>
    <w:rsid w:val="00DD4879"/>
    <w:rsid w:val="00DE12A7"/>
    <w:rsid w:val="00E12CB4"/>
    <w:rsid w:val="00E17B52"/>
    <w:rsid w:val="00E2070A"/>
    <w:rsid w:val="00E25D15"/>
    <w:rsid w:val="00E30318"/>
    <w:rsid w:val="00E37017"/>
    <w:rsid w:val="00E43E51"/>
    <w:rsid w:val="00E511D6"/>
    <w:rsid w:val="00E51BC7"/>
    <w:rsid w:val="00E574AA"/>
    <w:rsid w:val="00E80CFF"/>
    <w:rsid w:val="00E879C1"/>
    <w:rsid w:val="00EB1DC2"/>
    <w:rsid w:val="00ED24AB"/>
    <w:rsid w:val="00ED3C81"/>
    <w:rsid w:val="00ED53F4"/>
    <w:rsid w:val="00EF20D8"/>
    <w:rsid w:val="00F01D53"/>
    <w:rsid w:val="00F144B9"/>
    <w:rsid w:val="00F33AB3"/>
    <w:rsid w:val="00F76E38"/>
    <w:rsid w:val="00F8399E"/>
    <w:rsid w:val="00F96C99"/>
    <w:rsid w:val="00FB15BA"/>
    <w:rsid w:val="00FC21A6"/>
    <w:rsid w:val="00FD7C57"/>
    <w:rsid w:val="00FF74D2"/>
    <w:rsid w:val="043D2664"/>
    <w:rsid w:val="062713F2"/>
    <w:rsid w:val="06A524F1"/>
    <w:rsid w:val="06E1730A"/>
    <w:rsid w:val="095B4279"/>
    <w:rsid w:val="098B6BAF"/>
    <w:rsid w:val="0BB408B0"/>
    <w:rsid w:val="0DE250D5"/>
    <w:rsid w:val="0E921100"/>
    <w:rsid w:val="17D96E0E"/>
    <w:rsid w:val="18382B71"/>
    <w:rsid w:val="19F16090"/>
    <w:rsid w:val="243416B3"/>
    <w:rsid w:val="32DD31FD"/>
    <w:rsid w:val="33365982"/>
    <w:rsid w:val="36AA448A"/>
    <w:rsid w:val="3B037F1B"/>
    <w:rsid w:val="421C21D4"/>
    <w:rsid w:val="4E265E62"/>
    <w:rsid w:val="50FFF1F2"/>
    <w:rsid w:val="51FE442F"/>
    <w:rsid w:val="560C19AB"/>
    <w:rsid w:val="5D16268B"/>
    <w:rsid w:val="65086298"/>
    <w:rsid w:val="6E08031D"/>
    <w:rsid w:val="703318BD"/>
    <w:rsid w:val="78716788"/>
    <w:rsid w:val="78AB6BDF"/>
    <w:rsid w:val="793953DF"/>
    <w:rsid w:val="CFFEB77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qFormat="1" w:uiPriority="99" w:name="HTML Acronym"/>
    <w:lsdException w:uiPriority="99" w:name="HTML Address"/>
    <w:lsdException w:qFormat="1" w:uiPriority="99" w:name="HTML Cite"/>
    <w:lsdException w:qFormat="1" w:uiPriority="99" w:name="HTML Code"/>
    <w:lsdException w:qFormat="1" w:uiPriority="99" w:name="HTML Definition"/>
    <w:lsdException w:uiPriority="99" w:name="HTML Keyboard"/>
    <w:lsdException w:uiPriority="99" w:name="HTML Preformatted"/>
    <w:lsdException w:uiPriority="99" w:name="HTML Sample"/>
    <w:lsdException w:uiPriority="99" w:name="HTML Typewriter"/>
    <w:lsdException w:qFormat="1"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adjustRightInd w:val="0"/>
      <w:snapToGrid w:val="0"/>
      <w:spacing w:after="200"/>
    </w:pPr>
    <w:rPr>
      <w:rFonts w:ascii="Tahoma" w:hAnsi="Tahoma" w:eastAsia="微软雅黑" w:cstheme="minorBidi"/>
      <w:sz w:val="22"/>
      <w:szCs w:val="22"/>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20"/>
    <w:semiHidden/>
    <w:unhideWhenUsed/>
    <w:qFormat/>
    <w:uiPriority w:val="99"/>
    <w:pPr>
      <w:spacing w:after="0"/>
    </w:pPr>
    <w:rPr>
      <w:sz w:val="18"/>
      <w:szCs w:val="18"/>
    </w:rPr>
  </w:style>
  <w:style w:type="paragraph" w:styleId="3">
    <w:name w:val="footer"/>
    <w:basedOn w:val="1"/>
    <w:link w:val="17"/>
    <w:unhideWhenUsed/>
    <w:qFormat/>
    <w:uiPriority w:val="99"/>
    <w:pPr>
      <w:tabs>
        <w:tab w:val="center" w:pos="4153"/>
        <w:tab w:val="right" w:pos="8306"/>
      </w:tabs>
    </w:pPr>
    <w:rPr>
      <w:sz w:val="18"/>
      <w:szCs w:val="18"/>
    </w:rPr>
  </w:style>
  <w:style w:type="paragraph" w:styleId="4">
    <w:name w:val="header"/>
    <w:basedOn w:val="1"/>
    <w:link w:val="16"/>
    <w:semiHidden/>
    <w:unhideWhenUsed/>
    <w:qFormat/>
    <w:uiPriority w:val="99"/>
    <w:pPr>
      <w:pBdr>
        <w:bottom w:val="single" w:color="auto" w:sz="6" w:space="1"/>
      </w:pBdr>
      <w:tabs>
        <w:tab w:val="center" w:pos="4153"/>
        <w:tab w:val="right" w:pos="8306"/>
      </w:tabs>
      <w:jc w:val="center"/>
    </w:pPr>
    <w:rPr>
      <w:sz w:val="18"/>
      <w:szCs w:val="18"/>
    </w:rPr>
  </w:style>
  <w:style w:type="paragraph" w:styleId="5">
    <w:name w:val="Normal (Web)"/>
    <w:basedOn w:val="1"/>
    <w:unhideWhenUsed/>
    <w:qFormat/>
    <w:uiPriority w:val="99"/>
    <w:pPr>
      <w:adjustRightInd/>
      <w:snapToGrid/>
      <w:spacing w:before="100" w:beforeAutospacing="1" w:after="100" w:afterAutospacing="1"/>
    </w:pPr>
    <w:rPr>
      <w:rFonts w:ascii="宋体" w:hAnsi="宋体" w:eastAsia="宋体" w:cs="宋体"/>
      <w:sz w:val="24"/>
      <w:szCs w:val="24"/>
    </w:rPr>
  </w:style>
  <w:style w:type="character" w:styleId="8">
    <w:name w:val="FollowedHyperlink"/>
    <w:basedOn w:val="7"/>
    <w:semiHidden/>
    <w:unhideWhenUsed/>
    <w:qFormat/>
    <w:uiPriority w:val="99"/>
    <w:rPr>
      <w:color w:val="800080"/>
      <w:u w:val="none"/>
    </w:rPr>
  </w:style>
  <w:style w:type="character" w:styleId="9">
    <w:name w:val="Emphasis"/>
    <w:basedOn w:val="7"/>
    <w:qFormat/>
    <w:uiPriority w:val="20"/>
  </w:style>
  <w:style w:type="character" w:styleId="10">
    <w:name w:val="HTML Definition"/>
    <w:basedOn w:val="7"/>
    <w:semiHidden/>
    <w:unhideWhenUsed/>
    <w:qFormat/>
    <w:uiPriority w:val="99"/>
  </w:style>
  <w:style w:type="character" w:styleId="11">
    <w:name w:val="HTML Acronym"/>
    <w:basedOn w:val="7"/>
    <w:semiHidden/>
    <w:unhideWhenUsed/>
    <w:qFormat/>
    <w:uiPriority w:val="99"/>
  </w:style>
  <w:style w:type="character" w:styleId="12">
    <w:name w:val="HTML Variable"/>
    <w:basedOn w:val="7"/>
    <w:semiHidden/>
    <w:unhideWhenUsed/>
    <w:qFormat/>
    <w:uiPriority w:val="99"/>
  </w:style>
  <w:style w:type="character" w:styleId="13">
    <w:name w:val="Hyperlink"/>
    <w:basedOn w:val="7"/>
    <w:semiHidden/>
    <w:unhideWhenUsed/>
    <w:qFormat/>
    <w:uiPriority w:val="99"/>
    <w:rPr>
      <w:color w:val="0000FF"/>
      <w:u w:val="none"/>
    </w:rPr>
  </w:style>
  <w:style w:type="character" w:styleId="14">
    <w:name w:val="HTML Code"/>
    <w:basedOn w:val="7"/>
    <w:semiHidden/>
    <w:unhideWhenUsed/>
    <w:qFormat/>
    <w:uiPriority w:val="99"/>
    <w:rPr>
      <w:rFonts w:ascii="Courier New" w:hAnsi="Courier New"/>
      <w:sz w:val="20"/>
    </w:rPr>
  </w:style>
  <w:style w:type="character" w:styleId="15">
    <w:name w:val="HTML Cite"/>
    <w:basedOn w:val="7"/>
    <w:semiHidden/>
    <w:unhideWhenUsed/>
    <w:qFormat/>
    <w:uiPriority w:val="99"/>
  </w:style>
  <w:style w:type="character" w:customStyle="1" w:styleId="16">
    <w:name w:val="页眉 Char"/>
    <w:basedOn w:val="7"/>
    <w:link w:val="4"/>
    <w:semiHidden/>
    <w:qFormat/>
    <w:uiPriority w:val="99"/>
    <w:rPr>
      <w:rFonts w:ascii="Tahoma" w:hAnsi="Tahoma"/>
      <w:sz w:val="18"/>
      <w:szCs w:val="18"/>
    </w:rPr>
  </w:style>
  <w:style w:type="character" w:customStyle="1" w:styleId="17">
    <w:name w:val="页脚 Char"/>
    <w:basedOn w:val="7"/>
    <w:link w:val="3"/>
    <w:qFormat/>
    <w:uiPriority w:val="99"/>
    <w:rPr>
      <w:rFonts w:ascii="Tahoma" w:hAnsi="Tahoma"/>
      <w:sz w:val="18"/>
      <w:szCs w:val="18"/>
    </w:rPr>
  </w:style>
  <w:style w:type="paragraph" w:customStyle="1" w:styleId="18">
    <w:name w:val="Char"/>
    <w:basedOn w:val="1"/>
    <w:qFormat/>
    <w:uiPriority w:val="0"/>
    <w:pPr>
      <w:widowControl w:val="0"/>
      <w:adjustRightInd/>
      <w:snapToGrid/>
      <w:spacing w:after="0"/>
      <w:jc w:val="both"/>
    </w:pPr>
    <w:rPr>
      <w:rFonts w:ascii="Times New Roman" w:hAnsi="Times New Roman" w:eastAsia="宋体" w:cs="Times New Roman"/>
      <w:kern w:val="2"/>
      <w:sz w:val="21"/>
      <w:szCs w:val="24"/>
    </w:rPr>
  </w:style>
  <w:style w:type="paragraph" w:styleId="19">
    <w:name w:val="List Paragraph"/>
    <w:basedOn w:val="1"/>
    <w:qFormat/>
    <w:uiPriority w:val="34"/>
    <w:pPr>
      <w:ind w:firstLine="420" w:firstLineChars="200"/>
    </w:pPr>
  </w:style>
  <w:style w:type="character" w:customStyle="1" w:styleId="20">
    <w:name w:val="批注框文本 Char"/>
    <w:basedOn w:val="7"/>
    <w:link w:val="2"/>
    <w:semiHidden/>
    <w:qFormat/>
    <w:uiPriority w:val="99"/>
    <w:rPr>
      <w:rFonts w:ascii="Tahoma" w:hAnsi="Tahoma"/>
      <w:sz w:val="18"/>
      <w:szCs w:val="18"/>
    </w:rPr>
  </w:style>
  <w:style w:type="character" w:customStyle="1" w:styleId="21">
    <w:name w:val="info-content"/>
    <w:basedOn w:val="7"/>
    <w:qFormat/>
    <w:uiPriority w:val="0"/>
    <w:rPr>
      <w:color w:val="808080"/>
    </w:rPr>
  </w:style>
  <w:style w:type="character" w:customStyle="1" w:styleId="22">
    <w:name w:val="current"/>
    <w:basedOn w:val="7"/>
    <w:qFormat/>
    <w:uiPriority w:val="0"/>
    <w:rPr>
      <w:color w:val="00C1DE"/>
    </w:rPr>
  </w:style>
  <w:style w:type="character" w:customStyle="1" w:styleId="23">
    <w:name w:val="current1"/>
    <w:basedOn w:val="7"/>
    <w:qFormat/>
    <w:uiPriority w:val="0"/>
    <w:rPr>
      <w:color w:val="00C1DE"/>
    </w:rPr>
  </w:style>
  <w:style w:type="character" w:customStyle="1" w:styleId="24">
    <w:name w:val="info-label"/>
    <w:basedOn w:val="7"/>
    <w:qFormat/>
    <w:uiPriority w:val="0"/>
    <w:rPr>
      <w:b/>
      <w:bCs/>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Pages>
  <Words>3651</Words>
  <Characters>3672</Characters>
  <Lines>24</Lines>
  <Paragraphs>6</Paragraphs>
  <TotalTime>100</TotalTime>
  <ScaleCrop>false</ScaleCrop>
  <LinksUpToDate>false</LinksUpToDate>
  <CharactersWithSpaces>3684</CharactersWithSpaces>
  <Application>WPS Office_11.1.0.10161_F1E327BC-269C-435d-A152-05C5408002CA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2008-09-12T17:20:00Z</dcterms:created>
  <dc:creator>Administrator</dc:creator>
  <cp:lastModifiedBy>baixin</cp:lastModifiedBy>
  <cp:lastPrinted>2022-03-08T02:53:00Z</cp:lastPrinted>
  <dcterms:modified xsi:type="dcterms:W3CDTF">2025-03-04T09:19:31Z</dcterms:modified>
  <cp:revision>232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2052-11.1.0.10161</vt:lpwstr>
  </property>
  <property fmtid="{D5CDD505-2E9C-101B-9397-08002B2CF9AE}" pid="3" name="ICV">
    <vt:lpwstr>74C93A992B694161892315E862740B48</vt:lpwstr>
  </property>
</Properties>
</file>