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4"/>
        <w:tblW w:w="5000" w:type="pct"/>
        <w:jc w:val="center"/>
        <w:tblLayout w:type="autofit"/>
        <w:tblCellMar>
          <w:top w:w="0" w:type="dxa"/>
          <w:left w:w="108" w:type="dxa"/>
          <w:bottom w:w="0" w:type="dxa"/>
          <w:right w:w="108" w:type="dxa"/>
        </w:tblCellMar>
      </w:tblPr>
      <w:tblGrid>
        <w:gridCol w:w="590"/>
        <w:gridCol w:w="2333"/>
        <w:gridCol w:w="11251"/>
      </w:tblGrid>
      <w:tr>
        <w:tblPrEx>
          <w:tblCellMar>
            <w:top w:w="0" w:type="dxa"/>
            <w:left w:w="108" w:type="dxa"/>
            <w:bottom w:w="0" w:type="dxa"/>
            <w:right w:w="108" w:type="dxa"/>
          </w:tblCellMar>
        </w:tblPrEx>
        <w:trPr>
          <w:trHeight w:val="480" w:hRule="atLeast"/>
          <w:jc w:val="center"/>
        </w:trPr>
        <w:tc>
          <w:tcPr>
            <w:tcW w:w="5000" w:type="pct"/>
            <w:gridSpan w:val="3"/>
            <w:tcBorders>
              <w:top w:val="nil"/>
              <w:left w:val="nil"/>
              <w:bottom w:val="nil"/>
              <w:right w:val="nil"/>
            </w:tcBorders>
            <w:noWrap w:val="0"/>
            <w:vAlign w:val="top"/>
          </w:tcPr>
          <w:p>
            <w:pPr>
              <w:keepNext w:val="0"/>
              <w:keepLines w:val="0"/>
              <w:widowControl/>
              <w:suppressLineNumbers w:val="0"/>
              <w:jc w:val="left"/>
              <w:textAlignment w:val="top"/>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附件2</w:t>
            </w:r>
          </w:p>
        </w:tc>
      </w:tr>
      <w:tr>
        <w:tblPrEx>
          <w:tblCellMar>
            <w:top w:w="0" w:type="dxa"/>
            <w:left w:w="108" w:type="dxa"/>
            <w:bottom w:w="0" w:type="dxa"/>
            <w:right w:w="108" w:type="dxa"/>
          </w:tblCellMar>
        </w:tblPrEx>
        <w:trPr>
          <w:trHeight w:val="540" w:hRule="atLeast"/>
          <w:jc w:val="center"/>
        </w:trPr>
        <w:tc>
          <w:tcPr>
            <w:tcW w:w="5000" w:type="pct"/>
            <w:gridSpan w:val="3"/>
            <w:tcBorders>
              <w:top w:val="nil"/>
              <w:left w:val="nil"/>
              <w:bottom w:val="nil"/>
              <w:right w:val="nil"/>
            </w:tcBorders>
            <w:noWrap w:val="0"/>
            <w:vAlign w:val="center"/>
          </w:tcPr>
          <w:p>
            <w:pPr>
              <w:keepNext w:val="0"/>
              <w:keepLines w:val="0"/>
              <w:widowControl/>
              <w:suppressLineNumbers w:val="0"/>
              <w:jc w:val="center"/>
              <w:textAlignment w:val="center"/>
              <w:rPr>
                <w:rFonts w:hint="eastAsia" w:ascii="方正小标宋简体" w:hAnsi="方正小标宋简体" w:eastAsia="方正小标宋简体" w:cs="方正小标宋简体"/>
                <w:i w:val="0"/>
                <w:iCs w:val="0"/>
                <w:color w:val="000000"/>
                <w:sz w:val="44"/>
                <w:szCs w:val="44"/>
                <w:u w:val="none"/>
              </w:rPr>
            </w:pPr>
            <w:r>
              <w:rPr>
                <w:rFonts w:hint="eastAsia" w:ascii="方正小标宋简体" w:hAnsi="方正小标宋简体" w:eastAsia="方正小标宋简体" w:cs="方正小标宋简体"/>
                <w:i w:val="0"/>
                <w:iCs w:val="0"/>
                <w:color w:val="000000"/>
                <w:kern w:val="0"/>
                <w:sz w:val="44"/>
                <w:szCs w:val="44"/>
                <w:u w:val="none"/>
                <w:lang w:val="en-US" w:eastAsia="zh-CN" w:bidi="ar"/>
              </w:rPr>
              <w:t>曲沃县冶金工贸行业生产安全事故应急指挥机构及职责</w:t>
            </w:r>
          </w:p>
        </w:tc>
      </w:tr>
      <w:tr>
        <w:tblPrEx>
          <w:tblCellMar>
            <w:top w:w="0" w:type="dxa"/>
            <w:left w:w="108" w:type="dxa"/>
            <w:bottom w:w="0" w:type="dxa"/>
            <w:right w:w="108" w:type="dxa"/>
          </w:tblCellMar>
        </w:tblPrEx>
        <w:trPr>
          <w:trHeight w:val="485" w:hRule="atLeast"/>
          <w:jc w:val="center"/>
        </w:trPr>
        <w:tc>
          <w:tcPr>
            <w:tcW w:w="208" w:type="pct"/>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楷体" w:hAnsi="楷体" w:eastAsia="楷体" w:cs="楷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lang w:eastAsia="zh-CN"/>
              </w:rPr>
            </w:pPr>
            <w:r>
              <w:rPr>
                <w:rFonts w:hint="eastAsia" w:ascii="黑体" w:hAnsi="宋体" w:eastAsia="黑体" w:cs="黑体"/>
                <w:i w:val="0"/>
                <w:iCs w:val="0"/>
                <w:color w:val="000000"/>
                <w:sz w:val="32"/>
                <w:szCs w:val="32"/>
                <w:u w:val="none"/>
                <w:lang w:eastAsia="zh-CN"/>
              </w:rPr>
              <w:t>组成</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指挥机构职责</w:t>
            </w:r>
          </w:p>
        </w:tc>
      </w:tr>
      <w:tr>
        <w:tblPrEx>
          <w:tblCellMar>
            <w:top w:w="0" w:type="dxa"/>
            <w:left w:w="108" w:type="dxa"/>
            <w:bottom w:w="0" w:type="dxa"/>
            <w:right w:w="108" w:type="dxa"/>
          </w:tblCellMar>
        </w:tblPrEx>
        <w:trPr>
          <w:cantSplit/>
          <w:trHeight w:val="1486" w:hRule="exact"/>
          <w:jc w:val="center"/>
        </w:trPr>
        <w:tc>
          <w:tcPr>
            <w:tcW w:w="20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指挥长</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县政府分管应急管理工作的</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副县长</w:t>
            </w:r>
          </w:p>
        </w:tc>
        <w:tc>
          <w:tcPr>
            <w:tcW w:w="3968"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00" w:lineRule="exact"/>
              <w:ind w:firstLine="562" w:firstLineChars="200"/>
              <w:jc w:val="left"/>
              <w:textAlignment w:val="center"/>
              <w:rPr>
                <w:rStyle w:val="7"/>
                <w:rFonts w:hint="eastAsia" w:ascii="仿宋_GB2312" w:hAnsi="仿宋_GB2312" w:eastAsia="仿宋_GB2312" w:cs="仿宋_GB2312"/>
                <w:b/>
                <w:bCs/>
                <w:lang w:val="en-US" w:eastAsia="zh-CN" w:bidi="ar"/>
              </w:rPr>
            </w:pPr>
            <w:r>
              <w:rPr>
                <w:rStyle w:val="7"/>
                <w:rFonts w:hint="eastAsia" w:ascii="仿宋_GB2312" w:hAnsi="仿宋_GB2312" w:eastAsia="仿宋_GB2312" w:cs="仿宋_GB2312"/>
                <w:b/>
                <w:bCs/>
                <w:lang w:val="en-US" w:eastAsia="zh-CN" w:bidi="ar"/>
              </w:rPr>
              <w:t>县指挥部职责：</w:t>
            </w:r>
            <w:r>
              <w:rPr>
                <w:rStyle w:val="6"/>
                <w:rFonts w:hint="eastAsia" w:ascii="仿宋_GB2312" w:hAnsi="仿宋_GB2312" w:eastAsia="仿宋_GB2312" w:cs="仿宋_GB2312"/>
                <w:lang w:val="en-US" w:eastAsia="zh-CN" w:bidi="ar"/>
              </w:rPr>
              <w:t>贯彻落实中央、省、市关于安全生产工作的决策部署，统筹协调全县生产安全事故防范和隐患排查治理工作，制定安全生产重要措施、总体规划，组织指挥生产安全事故应急处置工作，指导协调生产安全事故调查评估和善后处置工作，落实县委、县政府和县应急救援总指挥部交办的生产安全事故应急处置的其他重大事项。</w:t>
            </w:r>
          </w:p>
          <w:p>
            <w:pPr>
              <w:keepNext w:val="0"/>
              <w:keepLines w:val="0"/>
              <w:pageBreakBefore w:val="0"/>
              <w:widowControl/>
              <w:suppressLineNumbers w:val="0"/>
              <w:kinsoku/>
              <w:wordWrap/>
              <w:overflowPunct/>
              <w:topLinePunct w:val="0"/>
              <w:autoSpaceDE/>
              <w:autoSpaceDN/>
              <w:bidi w:val="0"/>
              <w:adjustRightInd/>
              <w:snapToGrid/>
              <w:spacing w:line="400" w:lineRule="exact"/>
              <w:ind w:firstLine="562" w:firstLineChars="200"/>
              <w:jc w:val="left"/>
              <w:textAlignment w:val="center"/>
              <w:rPr>
                <w:rFonts w:hint="eastAsia" w:ascii="仿宋_GB2312" w:hAnsi="仿宋_GB2312" w:eastAsia="仿宋_GB2312" w:cs="仿宋_GB2312"/>
                <w:i w:val="0"/>
                <w:iCs w:val="0"/>
                <w:color w:val="000000"/>
                <w:sz w:val="28"/>
                <w:szCs w:val="28"/>
                <w:u w:val="none"/>
              </w:rPr>
            </w:pPr>
            <w:r>
              <w:rPr>
                <w:rStyle w:val="7"/>
                <w:rFonts w:hint="eastAsia" w:ascii="仿宋_GB2312" w:hAnsi="仿宋_GB2312" w:eastAsia="仿宋_GB2312" w:cs="仿宋_GB2312"/>
                <w:b/>
                <w:bCs/>
                <w:lang w:val="en-US" w:eastAsia="zh-CN" w:bidi="ar"/>
              </w:rPr>
              <w:t>县指挥部办公室职责</w:t>
            </w:r>
            <w:r>
              <w:rPr>
                <w:rStyle w:val="8"/>
                <w:rFonts w:hint="eastAsia" w:ascii="仿宋_GB2312" w:hAnsi="仿宋_GB2312" w:eastAsia="仿宋_GB2312" w:cs="仿宋_GB2312"/>
                <w:b/>
                <w:bCs/>
                <w:lang w:val="en-US" w:eastAsia="zh-CN" w:bidi="ar"/>
              </w:rPr>
              <w:t>：</w:t>
            </w:r>
            <w:r>
              <w:rPr>
                <w:rStyle w:val="6"/>
                <w:rFonts w:hint="eastAsia" w:ascii="仿宋_GB2312" w:hAnsi="仿宋_GB2312" w:eastAsia="仿宋_GB2312" w:cs="仿宋_GB2312"/>
                <w:lang w:val="en-US" w:eastAsia="zh-CN" w:bidi="ar"/>
              </w:rPr>
              <w:t>承担县生产安全事故应急指挥部日常工作，制定、修订曲沃县生产安全事故专项应急预案，组织生产安全事故防范和隐患排查治理工作，开展桌面推演、实战演练等应对生产安全事故专项训练，协调各方面力量参加生产安全事故应急处置行动，协助县委、县政府指定的负责同志组织生产安全事故应急处置工作，协调组织生产安全事故调查评估和善后处置工作，对生产安全事故和典型事故进行挂牌督办，报告和发布生产安全事故信息，指导生产安全事故应对等工作。</w:t>
            </w:r>
          </w:p>
        </w:tc>
      </w:tr>
      <w:tr>
        <w:tblPrEx>
          <w:tblCellMar>
            <w:top w:w="0" w:type="dxa"/>
            <w:left w:w="108" w:type="dxa"/>
            <w:bottom w:w="0" w:type="dxa"/>
            <w:right w:w="108" w:type="dxa"/>
          </w:tblCellMar>
        </w:tblPrEx>
        <w:trPr>
          <w:cantSplit/>
          <w:trHeight w:val="955" w:hRule="exact"/>
          <w:jc w:val="center"/>
        </w:trPr>
        <w:tc>
          <w:tcPr>
            <w:tcW w:w="208" w:type="pct"/>
            <w:vMerge w:val="restart"/>
            <w:tcBorders>
              <w:top w:val="single" w:color="000000" w:sz="4" w:space="0"/>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副指挥长</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县政府办协助</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工作的副主任</w:t>
            </w:r>
          </w:p>
        </w:tc>
        <w:tc>
          <w:tcPr>
            <w:tcW w:w="3968" w:type="pct"/>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40" w:lineRule="exact"/>
              <w:ind w:firstLine="562" w:firstLineChars="200"/>
              <w:jc w:val="left"/>
              <w:textAlignment w:val="center"/>
              <w:rPr>
                <w:rStyle w:val="7"/>
                <w:rFonts w:hint="eastAsia" w:ascii="仿宋_GB2312" w:hAnsi="仿宋_GB2312" w:eastAsia="仿宋_GB2312" w:cs="仿宋_GB2312"/>
                <w:b/>
                <w:bCs/>
                <w:lang w:val="en-US" w:eastAsia="zh-CN" w:bidi="ar"/>
              </w:rPr>
            </w:pPr>
          </w:p>
        </w:tc>
      </w:tr>
      <w:tr>
        <w:tblPrEx>
          <w:tblCellMar>
            <w:top w:w="0" w:type="dxa"/>
            <w:left w:w="108" w:type="dxa"/>
            <w:bottom w:w="0" w:type="dxa"/>
            <w:right w:w="108" w:type="dxa"/>
          </w:tblCellMar>
        </w:tblPrEx>
        <w:trPr>
          <w:cantSplit/>
          <w:trHeight w:val="1213" w:hRule="exact"/>
          <w:jc w:val="center"/>
        </w:trPr>
        <w:tc>
          <w:tcPr>
            <w:tcW w:w="208" w:type="pct"/>
            <w:vMerge w:val="continue"/>
            <w:tcBorders>
              <w:left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县应急管理局</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主要负责人</w:t>
            </w:r>
          </w:p>
        </w:tc>
        <w:tc>
          <w:tcPr>
            <w:tcW w:w="3968" w:type="pct"/>
            <w:vMerge w:val="continue"/>
            <w:tcBorders>
              <w:left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sz w:val="28"/>
                <w:szCs w:val="28"/>
                <w:u w:val="none"/>
              </w:rPr>
            </w:pPr>
          </w:p>
        </w:tc>
      </w:tr>
      <w:tr>
        <w:tblPrEx>
          <w:tblCellMar>
            <w:top w:w="0" w:type="dxa"/>
            <w:left w:w="108" w:type="dxa"/>
            <w:bottom w:w="0" w:type="dxa"/>
            <w:right w:w="108" w:type="dxa"/>
          </w:tblCellMar>
        </w:tblPrEx>
        <w:trPr>
          <w:trHeight w:val="829" w:hRule="exact"/>
          <w:jc w:val="center"/>
        </w:trPr>
        <w:tc>
          <w:tcPr>
            <w:tcW w:w="208"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县工信局</w:t>
            </w:r>
          </w:p>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主要负责人</w:t>
            </w:r>
          </w:p>
        </w:tc>
        <w:tc>
          <w:tcPr>
            <w:tcW w:w="3968" w:type="pct"/>
            <w:vMerge w:val="continue"/>
            <w:tcBorders>
              <w:left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r>
      <w:tr>
        <w:tblPrEx>
          <w:tblCellMar>
            <w:top w:w="0" w:type="dxa"/>
            <w:left w:w="108" w:type="dxa"/>
            <w:bottom w:w="0" w:type="dxa"/>
            <w:right w:w="108" w:type="dxa"/>
          </w:tblCellMar>
        </w:tblPrEx>
        <w:trPr>
          <w:trHeight w:val="1156" w:hRule="exact"/>
          <w:jc w:val="center"/>
        </w:trPr>
        <w:tc>
          <w:tcPr>
            <w:tcW w:w="208" w:type="pct"/>
            <w:vMerge w:val="continue"/>
            <w:tcBorders>
              <w:left w:val="single" w:color="000000" w:sz="4" w:space="0"/>
              <w:right w:val="single" w:color="000000" w:sz="4" w:space="0"/>
            </w:tcBorders>
            <w:noWrap w:val="0"/>
            <w:vAlign w:val="center"/>
          </w:tcPr>
          <w:p>
            <w:pPr>
              <w:keepNext w:val="0"/>
              <w:keepLines w:val="0"/>
              <w:pageBreakBefore w:val="0"/>
              <w:widowControl/>
              <w:kinsoku/>
              <w:wordWrap/>
              <w:overflowPunct/>
              <w:topLinePunct w:val="0"/>
              <w:autoSpaceDE/>
              <w:autoSpaceDN/>
              <w:bidi w:val="0"/>
              <w:adjustRightInd/>
              <w:snapToGrid/>
              <w:spacing w:line="300" w:lineRule="exact"/>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县消防救援大队主要负责人</w:t>
            </w:r>
          </w:p>
        </w:tc>
        <w:tc>
          <w:tcPr>
            <w:tcW w:w="3968" w:type="pct"/>
            <w:vMerge w:val="continue"/>
            <w:tcBorders>
              <w:left w:val="single" w:color="000000" w:sz="4" w:space="0"/>
              <w:right w:val="single" w:color="000000" w:sz="4" w:space="0"/>
            </w:tcBorders>
            <w:noWrap w:val="0"/>
            <w:vAlign w:val="center"/>
          </w:tcPr>
          <w:p>
            <w:pPr>
              <w:jc w:val="left"/>
              <w:rPr>
                <w:rFonts w:hint="eastAsia" w:ascii="仿宋_GB2312" w:hAnsi="仿宋_GB2312" w:eastAsia="仿宋_GB2312" w:cs="仿宋_GB2312"/>
                <w:i w:val="0"/>
                <w:iCs w:val="0"/>
                <w:color w:val="000000"/>
                <w:sz w:val="28"/>
                <w:szCs w:val="28"/>
                <w:u w:val="none"/>
              </w:rPr>
            </w:pPr>
          </w:p>
        </w:tc>
      </w:tr>
      <w:tr>
        <w:tblPrEx>
          <w:tblCellMar>
            <w:top w:w="0" w:type="dxa"/>
            <w:left w:w="108" w:type="dxa"/>
            <w:bottom w:w="0" w:type="dxa"/>
            <w:right w:w="108" w:type="dxa"/>
          </w:tblCellMar>
        </w:tblPrEx>
        <w:trPr>
          <w:trHeight w:val="847" w:hRule="exact"/>
          <w:jc w:val="center"/>
        </w:trPr>
        <w:tc>
          <w:tcPr>
            <w:tcW w:w="208" w:type="pct"/>
            <w:vMerge w:val="continue"/>
            <w:tcBorders>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center"/>
              <w:textAlignment w:val="center"/>
              <w:rPr>
                <w:rFonts w:hint="eastAsia" w:ascii="黑体" w:hAnsi="宋体" w:eastAsia="黑体" w:cs="黑体"/>
                <w:i w:val="0"/>
                <w:iCs w:val="0"/>
                <w:color w:val="000000"/>
                <w:kern w:val="0"/>
                <w:sz w:val="32"/>
                <w:szCs w:val="32"/>
                <w:u w:val="none"/>
                <w:lang w:val="en-US" w:eastAsia="zh-CN" w:bidi="ar"/>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360" w:lineRule="exact"/>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事发地乡镇政府主要负责人</w:t>
            </w:r>
          </w:p>
        </w:tc>
        <w:tc>
          <w:tcPr>
            <w:tcW w:w="3968" w:type="pct"/>
            <w:vMerge w:val="continue"/>
            <w:tcBorders>
              <w:left w:val="single" w:color="000000" w:sz="4" w:space="0"/>
              <w:bottom w:val="single" w:color="000000" w:sz="4" w:space="0"/>
              <w:right w:val="single" w:color="000000" w:sz="4" w:space="0"/>
            </w:tcBorders>
            <w:noWrap w:val="0"/>
            <w:vAlign w:val="center"/>
          </w:tcPr>
          <w:p>
            <w:pPr>
              <w:keepNext w:val="0"/>
              <w:keepLines w:val="0"/>
              <w:widowControl/>
              <w:suppressLineNumbers w:val="0"/>
              <w:jc w:val="left"/>
              <w:textAlignment w:val="center"/>
              <w:rPr>
                <w:rFonts w:hint="eastAsia" w:ascii="仿宋_GB2312" w:hAnsi="仿宋_GB2312" w:eastAsia="仿宋_GB2312" w:cs="仿宋_GB2312"/>
                <w:i w:val="0"/>
                <w:iCs w:val="0"/>
                <w:color w:val="000000"/>
                <w:kern w:val="0"/>
                <w:sz w:val="28"/>
                <w:szCs w:val="28"/>
                <w:u w:val="none"/>
                <w:lang w:val="en-US" w:eastAsia="zh-CN" w:bidi="ar"/>
              </w:rPr>
            </w:pPr>
          </w:p>
        </w:tc>
      </w:tr>
      <w:tr>
        <w:tblPrEx>
          <w:tblCellMar>
            <w:top w:w="0" w:type="dxa"/>
            <w:left w:w="108" w:type="dxa"/>
            <w:bottom w:w="0" w:type="dxa"/>
            <w:right w:w="108" w:type="dxa"/>
          </w:tblCellMar>
        </w:tblPrEx>
        <w:trPr>
          <w:trHeight w:val="660" w:hRule="atLeast"/>
          <w:jc w:val="center"/>
        </w:trPr>
        <w:tc>
          <w:tcPr>
            <w:tcW w:w="208" w:type="pct"/>
            <w:vMerge w:val="restar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both"/>
              <w:textAlignment w:val="center"/>
              <w:rPr>
                <w:rFonts w:hint="eastAsia"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成员</w:t>
            </w: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县委宣传部</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负责组织协调新闻媒体做好应急新闻报道，正确引导舆论。</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县发改局</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负责落实县级重要物资和应急储备物资动用计划和指令。</w:t>
            </w:r>
          </w:p>
        </w:tc>
      </w:tr>
      <w:tr>
        <w:tblPrEx>
          <w:tblCellMar>
            <w:top w:w="0" w:type="dxa"/>
            <w:left w:w="108" w:type="dxa"/>
            <w:bottom w:w="0" w:type="dxa"/>
            <w:right w:w="108" w:type="dxa"/>
          </w:tblCellMar>
        </w:tblPrEx>
        <w:trPr>
          <w:trHeight w:val="75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县工信局</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suppressLineNumbers w:val="0"/>
              <w:kinsoku/>
              <w:wordWrap/>
              <w:overflowPunct/>
              <w:topLinePunct w:val="0"/>
              <w:autoSpaceDE/>
              <w:autoSpaceDN/>
              <w:bidi w:val="0"/>
              <w:adjustRightInd/>
              <w:snapToGrid/>
              <w:spacing w:line="480" w:lineRule="exact"/>
              <w:ind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督促落实工业企业生产安全事故防范和隐患排查治理工作，协调有关方面力量参加生产安全事故应急救援行动。配合有关部门开展商务领域应急管理组织工作；指导商务领域安全生产，参与商贸行业重大事故抢险救援。</w:t>
            </w:r>
          </w:p>
        </w:tc>
      </w:tr>
      <w:tr>
        <w:tblPrEx>
          <w:tblCellMar>
            <w:top w:w="0" w:type="dxa"/>
            <w:left w:w="108" w:type="dxa"/>
            <w:bottom w:w="0" w:type="dxa"/>
            <w:right w:w="108" w:type="dxa"/>
          </w:tblCellMar>
        </w:tblPrEx>
        <w:trPr>
          <w:trHeight w:val="732"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县公安局</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 xml:space="preserve">负责组织和指导属地公安机关维护事故现场及周边治安秩序，做好事故现场及周边道路交通管制，维护交通秩序，保障道路畅通。 </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县民政局</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sz w:val="28"/>
                <w:szCs w:val="28"/>
                <w:lang w:eastAsia="zh-CN"/>
              </w:rPr>
              <w:t>负责对事故造成受伤人员和遇难家属生活救助，</w:t>
            </w:r>
            <w:r>
              <w:rPr>
                <w:rFonts w:hint="eastAsia" w:ascii="仿宋_GB2312" w:hAnsi="仿宋_GB2312" w:eastAsia="仿宋_GB2312" w:cs="仿宋_GB2312"/>
                <w:i w:val="0"/>
                <w:iCs w:val="0"/>
                <w:color w:val="000000"/>
                <w:kern w:val="0"/>
                <w:sz w:val="28"/>
                <w:szCs w:val="28"/>
                <w:u w:val="none"/>
                <w:lang w:val="en-US" w:eastAsia="zh-CN" w:bidi="ar"/>
              </w:rPr>
              <w:t xml:space="preserve">遇难者遗体处置及相关善后事宜。 </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县财政局</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负责落实事故应急处置专项配套资金的预算、支付和监督使用。</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县人社局</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负责事故伤亡人员工伤保险待遇落实和受灾人员就业工作。</w:t>
            </w:r>
          </w:p>
        </w:tc>
      </w:tr>
      <w:tr>
        <w:tblPrEx>
          <w:tblCellMar>
            <w:top w:w="0" w:type="dxa"/>
            <w:left w:w="108" w:type="dxa"/>
            <w:bottom w:w="0" w:type="dxa"/>
            <w:right w:w="108" w:type="dxa"/>
          </w:tblCellMar>
        </w:tblPrEx>
        <w:trPr>
          <w:trHeight w:val="768"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县自然资源局</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center"/>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负责事故发生区域地质灾害风险预警，为事故抢险救援提供地质灾害相关资料，进行技术指导。</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市生态环境局曲沃分局</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负责生产安全事故对生态环境污染和生态破坏风险应急、预警，提出防控环境污染的建议。</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县交通运输局</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lang w:eastAsia="zh-CN"/>
              </w:rPr>
            </w:pPr>
            <w:r>
              <w:rPr>
                <w:rFonts w:hint="eastAsia" w:ascii="仿宋_GB2312" w:hAnsi="仿宋_GB2312" w:eastAsia="仿宋_GB2312" w:cs="仿宋_GB2312"/>
                <w:sz w:val="28"/>
                <w:szCs w:val="28"/>
              </w:rPr>
              <w:t>负责组织协调交通运力，做好救援物资的运输工作；保障救援期间救援车辆的公路畅通</w:t>
            </w:r>
            <w:r>
              <w:rPr>
                <w:rFonts w:hint="eastAsia" w:ascii="仿宋_GB2312" w:hAnsi="仿宋_GB2312" w:eastAsia="仿宋_GB2312" w:cs="仿宋_GB2312"/>
                <w:sz w:val="28"/>
                <w:szCs w:val="28"/>
                <w:lang w:eastAsia="zh-CN"/>
              </w:rPr>
              <w:t>。</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县农业农村局</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参与相关涉氨制冷果库和屠宰企业事故的抢险救援和善后工作。</w:t>
            </w:r>
          </w:p>
        </w:tc>
      </w:tr>
      <w:tr>
        <w:tblPrEx>
          <w:tblCellMar>
            <w:top w:w="0" w:type="dxa"/>
            <w:left w:w="108" w:type="dxa"/>
            <w:bottom w:w="0" w:type="dxa"/>
            <w:right w:w="108" w:type="dxa"/>
          </w:tblCellMar>
        </w:tblPrEx>
        <w:trPr>
          <w:trHeight w:val="75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县卫体局</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 xml:space="preserve">负责组织协调事发地卫生健康部门，协调调派专家团队，开展事故伤病员救治和相关人员医疗卫生保障。 </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县应急管理局</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 xml:space="preserve">承担县冶金工贸行业生产安全事故应急指挥部办公室的日常工作；负责组织协调有关部门做好事故抢险救援的各项工作；承担冶金工贸行业事故信息的收集、分析、评估、审核和上传下达等工作；会同有关部门组织开展预案宣传、培训和演练，并根据实际情况，适时组织进行评估和修订。  </w:t>
            </w:r>
          </w:p>
        </w:tc>
      </w:tr>
      <w:tr>
        <w:tblPrEx>
          <w:tblCellMar>
            <w:top w:w="0" w:type="dxa"/>
            <w:left w:w="108" w:type="dxa"/>
            <w:bottom w:w="0" w:type="dxa"/>
            <w:right w:w="108" w:type="dxa"/>
          </w:tblCellMar>
        </w:tblPrEx>
        <w:trPr>
          <w:trHeight w:val="1123"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县市场监督</w:t>
            </w:r>
          </w:p>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管理局</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负责事故应急救援中特种设备的安全监督管理工作。</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县气象局</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负责为事故应急救援提供气象监测、气象预报保障。</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县交警大队</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rPr>
            </w:pPr>
            <w:r>
              <w:rPr>
                <w:rFonts w:hint="eastAsia" w:ascii="仿宋_GB2312" w:hAnsi="仿宋_GB2312" w:eastAsia="仿宋_GB2312" w:cs="仿宋_GB2312"/>
                <w:i w:val="0"/>
                <w:iCs w:val="0"/>
                <w:color w:val="000000"/>
                <w:kern w:val="0"/>
                <w:sz w:val="28"/>
                <w:szCs w:val="28"/>
                <w:u w:val="none"/>
                <w:lang w:val="en-US" w:eastAsia="zh-CN" w:bidi="ar"/>
              </w:rPr>
              <w:t>负责做好事故现场交通管制、疏导。</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县武警中队</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sz w:val="28"/>
                <w:szCs w:val="28"/>
                <w:u w:val="none"/>
                <w:lang w:val="en-US"/>
              </w:rPr>
            </w:pPr>
            <w:r>
              <w:rPr>
                <w:rFonts w:hint="eastAsia" w:ascii="仿宋_GB2312" w:hAnsi="仿宋_GB2312" w:eastAsia="仿宋_GB2312" w:cs="仿宋_GB2312"/>
                <w:i w:val="0"/>
                <w:iCs w:val="0"/>
                <w:color w:val="000000"/>
                <w:kern w:val="0"/>
                <w:sz w:val="28"/>
                <w:szCs w:val="28"/>
                <w:u w:val="none"/>
                <w:lang w:val="en-US" w:eastAsia="zh-CN" w:bidi="ar"/>
              </w:rPr>
              <w:t>负责组织协调驻曲武警部队参加抢险救援工作。</w:t>
            </w:r>
          </w:p>
        </w:tc>
      </w:tr>
      <w:tr>
        <w:tblPrEx>
          <w:tblCellMar>
            <w:top w:w="0" w:type="dxa"/>
            <w:left w:w="108" w:type="dxa"/>
            <w:bottom w:w="0" w:type="dxa"/>
            <w:right w:w="108" w:type="dxa"/>
          </w:tblCellMar>
        </w:tblPrEx>
        <w:trPr>
          <w:trHeight w:val="660"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jc w:val="center"/>
              <w:textAlignment w:val="center"/>
              <w:rPr>
                <w:rStyle w:val="6"/>
                <w:rFonts w:hint="eastAsia" w:ascii="仿宋_GB2312" w:hAnsi="仿宋_GB2312" w:eastAsia="仿宋_GB2312" w:cs="仿宋_GB2312"/>
                <w:lang w:val="en-US" w:eastAsia="zh-CN" w:bidi="ar"/>
              </w:rPr>
            </w:pPr>
            <w:r>
              <w:rPr>
                <w:rStyle w:val="6"/>
                <w:rFonts w:hint="eastAsia" w:ascii="仿宋_GB2312" w:hAnsi="仿宋_GB2312" w:eastAsia="仿宋_GB2312" w:cs="仿宋_GB2312"/>
                <w:lang w:val="en-US" w:eastAsia="zh-CN" w:bidi="ar"/>
              </w:rPr>
              <w:t>县消防救援大队</w:t>
            </w:r>
          </w:p>
        </w:tc>
        <w:tc>
          <w:tcPr>
            <w:tcW w:w="3968" w:type="pct"/>
            <w:tcBorders>
              <w:top w:val="single" w:color="000000" w:sz="4" w:space="0"/>
              <w:left w:val="single" w:color="000000" w:sz="4" w:space="0"/>
              <w:bottom w:val="single" w:color="000000" w:sz="4" w:space="0"/>
              <w:right w:val="single" w:color="000000" w:sz="4" w:space="0"/>
            </w:tcBorders>
            <w:noWrap w:val="0"/>
            <w:vAlign w:val="top"/>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 xml:space="preserve">参加事故现场消防和抢险救援工作。  </w:t>
            </w:r>
          </w:p>
        </w:tc>
      </w:tr>
      <w:tr>
        <w:tblPrEx>
          <w:tblCellMar>
            <w:top w:w="0" w:type="dxa"/>
            <w:left w:w="108" w:type="dxa"/>
            <w:bottom w:w="0" w:type="dxa"/>
            <w:right w:w="108" w:type="dxa"/>
          </w:tblCellMar>
        </w:tblPrEx>
        <w:trPr>
          <w:trHeight w:val="658" w:hRule="atLeast"/>
          <w:jc w:val="center"/>
        </w:trPr>
        <w:tc>
          <w:tcPr>
            <w:tcW w:w="208" w:type="pct"/>
            <w:vMerge w:val="continue"/>
            <w:tcBorders>
              <w:top w:val="single" w:color="000000" w:sz="4" w:space="0"/>
              <w:left w:val="single" w:color="000000" w:sz="4" w:space="0"/>
              <w:bottom w:val="single" w:color="000000" w:sz="4" w:space="0"/>
              <w:right w:val="single" w:color="000000" w:sz="4" w:space="0"/>
            </w:tcBorders>
            <w:noWrap w:val="0"/>
            <w:vAlign w:val="center"/>
          </w:tcPr>
          <w:p>
            <w:pPr>
              <w:jc w:val="center"/>
              <w:rPr>
                <w:rFonts w:hint="eastAsia" w:ascii="黑体" w:hAnsi="宋体" w:eastAsia="黑体" w:cs="黑体"/>
                <w:i w:val="0"/>
                <w:iCs w:val="0"/>
                <w:color w:val="000000"/>
                <w:sz w:val="32"/>
                <w:szCs w:val="32"/>
                <w:u w:val="none"/>
              </w:rPr>
            </w:pPr>
          </w:p>
        </w:tc>
        <w:tc>
          <w:tcPr>
            <w:tcW w:w="823" w:type="pct"/>
            <w:tcBorders>
              <w:top w:val="single" w:color="000000" w:sz="4" w:space="0"/>
              <w:left w:val="single" w:color="000000" w:sz="4" w:space="0"/>
              <w:bottom w:val="single" w:color="000000" w:sz="4" w:space="0"/>
              <w:right w:val="single" w:color="000000" w:sz="4" w:space="0"/>
            </w:tcBorders>
            <w:noWrap w:val="0"/>
            <w:vAlign w:val="center"/>
          </w:tcPr>
          <w:p>
            <w:pPr>
              <w:widowControl/>
              <w:spacing w:line="400" w:lineRule="exact"/>
              <w:jc w:val="center"/>
              <w:textAlignment w:val="center"/>
              <w:rPr>
                <w:rFonts w:hint="eastAsia" w:ascii="仿宋_GB2312" w:hAnsi="仿宋_GB2312" w:eastAsia="仿宋_GB2312" w:cs="仿宋_GB2312"/>
                <w:color w:val="auto"/>
                <w:spacing w:val="5"/>
                <w:sz w:val="28"/>
                <w:szCs w:val="28"/>
                <w:lang w:val="en-US" w:eastAsia="zh-CN"/>
              </w:rPr>
            </w:pPr>
            <w:r>
              <w:rPr>
                <w:rFonts w:hint="eastAsia" w:ascii="仿宋_GB2312" w:hAnsi="仿宋_GB2312" w:eastAsia="仿宋_GB2312" w:cs="仿宋_GB2312"/>
                <w:color w:val="auto"/>
                <w:spacing w:val="3"/>
                <w:sz w:val="28"/>
                <w:szCs w:val="28"/>
              </w:rPr>
              <w:t>中国移动</w:t>
            </w:r>
            <w:r>
              <w:rPr>
                <w:rFonts w:hint="eastAsia" w:ascii="仿宋_GB2312" w:hAnsi="仿宋_GB2312" w:eastAsia="仿宋_GB2312" w:cs="仿宋_GB2312"/>
                <w:color w:val="auto"/>
                <w:spacing w:val="3"/>
                <w:sz w:val="28"/>
                <w:szCs w:val="28"/>
                <w:lang w:eastAsia="zh-CN"/>
              </w:rPr>
              <w:t>、</w:t>
            </w:r>
            <w:r>
              <w:rPr>
                <w:rFonts w:hint="eastAsia" w:ascii="仿宋_GB2312" w:hAnsi="仿宋_GB2312" w:eastAsia="仿宋_GB2312" w:cs="仿宋_GB2312"/>
                <w:color w:val="auto"/>
                <w:spacing w:val="1"/>
                <w:sz w:val="28"/>
                <w:szCs w:val="28"/>
              </w:rPr>
              <w:t>联通</w:t>
            </w:r>
            <w:r>
              <w:rPr>
                <w:rFonts w:hint="eastAsia" w:ascii="仿宋_GB2312" w:hAnsi="仿宋_GB2312" w:eastAsia="仿宋_GB2312" w:cs="仿宋_GB2312"/>
                <w:color w:val="auto"/>
                <w:spacing w:val="1"/>
                <w:sz w:val="28"/>
                <w:szCs w:val="28"/>
                <w:lang w:eastAsia="zh-CN"/>
              </w:rPr>
              <w:t>、</w:t>
            </w:r>
            <w:r>
              <w:rPr>
                <w:rFonts w:hint="eastAsia" w:ascii="仿宋_GB2312" w:hAnsi="仿宋_GB2312" w:eastAsia="仿宋_GB2312" w:cs="仿宋_GB2312"/>
                <w:color w:val="auto"/>
                <w:spacing w:val="3"/>
                <w:sz w:val="28"/>
                <w:szCs w:val="28"/>
              </w:rPr>
              <w:t>电信</w:t>
            </w:r>
            <w:r>
              <w:rPr>
                <w:rFonts w:hint="eastAsia" w:ascii="仿宋_GB2312" w:hAnsi="仿宋_GB2312" w:eastAsia="仿宋_GB2312" w:cs="仿宋_GB2312"/>
                <w:color w:val="auto"/>
                <w:spacing w:val="5"/>
                <w:sz w:val="28"/>
                <w:szCs w:val="28"/>
                <w:lang w:val="en-US" w:eastAsia="zh-CN"/>
              </w:rPr>
              <w:t>曲沃</w:t>
            </w:r>
          </w:p>
          <w:p>
            <w:pPr>
              <w:widowControl/>
              <w:spacing w:line="400" w:lineRule="exact"/>
              <w:jc w:val="center"/>
              <w:textAlignment w:val="center"/>
              <w:rPr>
                <w:rStyle w:val="6"/>
                <w:rFonts w:hint="eastAsia" w:ascii="仿宋_GB2312" w:hAnsi="仿宋_GB2312" w:eastAsia="仿宋_GB2312" w:cs="仿宋_GB2312"/>
                <w:lang w:val="en-US" w:eastAsia="zh-CN" w:bidi="ar"/>
              </w:rPr>
            </w:pPr>
            <w:r>
              <w:rPr>
                <w:rFonts w:hint="eastAsia" w:ascii="仿宋_GB2312" w:hAnsi="仿宋_GB2312" w:eastAsia="仿宋_GB2312" w:cs="仿宋_GB2312"/>
                <w:color w:val="auto"/>
                <w:spacing w:val="5"/>
                <w:sz w:val="28"/>
                <w:szCs w:val="28"/>
              </w:rPr>
              <w:t>分公司</w:t>
            </w:r>
          </w:p>
        </w:tc>
        <w:tc>
          <w:tcPr>
            <w:tcW w:w="3968" w:type="pct"/>
            <w:tcBorders>
              <w:top w:val="single" w:color="000000" w:sz="4" w:space="0"/>
              <w:left w:val="single" w:color="000000" w:sz="4" w:space="0"/>
              <w:bottom w:val="single" w:color="000000" w:sz="4" w:space="0"/>
              <w:right w:val="single" w:color="000000" w:sz="4" w:space="0"/>
            </w:tcBorders>
            <w:noWrap w:val="0"/>
            <w:vAlign w:val="center"/>
          </w:tcPr>
          <w:p>
            <w:pPr>
              <w:keepNext w:val="0"/>
              <w:keepLines w:val="0"/>
              <w:widowControl/>
              <w:suppressLineNumbers w:val="0"/>
              <w:ind w:firstLine="560" w:firstLineChars="200"/>
              <w:jc w:val="left"/>
              <w:textAlignment w:val="top"/>
              <w:rPr>
                <w:rFonts w:hint="eastAsia" w:ascii="仿宋_GB2312" w:hAnsi="仿宋_GB2312" w:eastAsia="仿宋_GB2312" w:cs="仿宋_GB2312"/>
                <w:i w:val="0"/>
                <w:iCs w:val="0"/>
                <w:color w:val="000000"/>
                <w:kern w:val="0"/>
                <w:sz w:val="28"/>
                <w:szCs w:val="28"/>
                <w:u w:val="none"/>
                <w:lang w:val="en-US" w:eastAsia="zh-CN" w:bidi="ar"/>
              </w:rPr>
            </w:pPr>
            <w:r>
              <w:rPr>
                <w:rFonts w:hint="eastAsia" w:ascii="仿宋_GB2312" w:hAnsi="仿宋_GB2312" w:eastAsia="仿宋_GB2312" w:cs="仿宋_GB2312"/>
                <w:i w:val="0"/>
                <w:iCs w:val="0"/>
                <w:color w:val="000000"/>
                <w:kern w:val="0"/>
                <w:sz w:val="28"/>
                <w:szCs w:val="28"/>
                <w:u w:val="none"/>
                <w:lang w:val="en-US" w:eastAsia="zh-CN" w:bidi="ar"/>
              </w:rPr>
              <w:t>负责救援的通信保障工作。</w:t>
            </w:r>
          </w:p>
        </w:tc>
      </w:tr>
    </w:tbl>
    <w:p>
      <w:bookmarkStart w:id="0" w:name="_GoBack"/>
      <w:bookmarkEnd w:id="0"/>
    </w:p>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Nimbus Roman No9 L">
    <w:panose1 w:val="00000000000000000000"/>
    <w:charset w:val="00"/>
    <w:family w:val="auto"/>
    <w:pitch w:val="default"/>
    <w:sig w:usb0="00000000" w:usb1="00000000" w:usb2="00000000" w:usb3="00000000" w:csb0="00000000" w:csb1="00000000"/>
  </w:font>
  <w:font w:name="方正黑体_GBK">
    <w:panose1 w:val="02000000000000000000"/>
    <w:charset w:val="86"/>
    <w:family w:val="auto"/>
    <w:pitch w:val="default"/>
    <w:sig w:usb0="A00002BF" w:usb1="38CF7CFA" w:usb2="00082016" w:usb3="00000000" w:csb0="00040001" w:csb1="00000000"/>
  </w:font>
  <w:font w:name="方正小标宋简体">
    <w:altName w:val="方正小标宋_GBK"/>
    <w:panose1 w:val="02010601030101010101"/>
    <w:charset w:val="00"/>
    <w:family w:val="script"/>
    <w:pitch w:val="default"/>
    <w:sig w:usb0="00000000" w:usb1="00000000" w:usb2="00000000" w:usb3="00000000" w:csb0="00040000" w:csb1="00000000"/>
  </w:font>
  <w:font w:name="楷体">
    <w:altName w:val="方正楷体_GBK"/>
    <w:panose1 w:val="02010609060101010101"/>
    <w:charset w:val="00"/>
    <w:family w:val="auto"/>
    <w:pitch w:val="default"/>
    <w:sig w:usb0="00000000" w:usb1="00000000" w:usb2="00000016" w:usb3="00000000" w:csb0="00040001" w:csb1="00000000"/>
  </w:font>
  <w:font w:name="仿宋_GB2312">
    <w:altName w:val="方正仿宋_GBK"/>
    <w:panose1 w:val="02010609030101010101"/>
    <w:charset w:val="00"/>
    <w:family w:val="modern"/>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方正仿宋_GBK">
    <w:panose1 w:val="02000000000000000000"/>
    <w:charset w:val="86"/>
    <w:family w:val="auto"/>
    <w:pitch w:val="default"/>
    <w:sig w:usb0="A00002BF" w:usb1="38CF7CFA" w:usb2="00082016" w:usb3="00000000" w:csb0="00040001" w:csb1="00000000"/>
  </w:font>
  <w:font w:name="方正楷体_GBK">
    <w:panose1 w:val="02000000000000000000"/>
    <w:charset w:val="86"/>
    <w:family w:val="auto"/>
    <w:pitch w:val="default"/>
    <w:sig w:usb0="A00002BF" w:usb1="38CF7CFA" w:usb2="00082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BF6A2181"/>
    <w:rsid w:val="BF6A218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2">
    <w:name w:val="No Spacing_ad81b47b-6779-4c76-b471-79375858c8cb"/>
    <w:basedOn w:val="1"/>
    <w:qFormat/>
    <w:uiPriority w:val="0"/>
    <w:pPr>
      <w:ind w:firstLine="200" w:firstLineChars="200"/>
    </w:pPr>
  </w:style>
  <w:style w:type="paragraph" w:styleId="3">
    <w:name w:val="footer"/>
    <w:basedOn w:val="1"/>
    <w:unhideWhenUsed/>
    <w:qFormat/>
    <w:uiPriority w:val="0"/>
    <w:pPr>
      <w:tabs>
        <w:tab w:val="center" w:pos="4153"/>
        <w:tab w:val="right" w:pos="8306"/>
      </w:tabs>
      <w:snapToGrid w:val="0"/>
      <w:jc w:val="left"/>
    </w:pPr>
    <w:rPr>
      <w:rFonts w:ascii="Calibri" w:hAnsi="Calibri"/>
      <w:sz w:val="18"/>
      <w:szCs w:val="18"/>
    </w:rPr>
  </w:style>
  <w:style w:type="character" w:customStyle="1" w:styleId="6">
    <w:name w:val="font61"/>
    <w:basedOn w:val="5"/>
    <w:qFormat/>
    <w:uiPriority w:val="0"/>
    <w:rPr>
      <w:rFonts w:hint="eastAsia" w:ascii="宋体" w:hAnsi="宋体" w:eastAsia="宋体" w:cs="宋体"/>
      <w:color w:val="000000"/>
      <w:sz w:val="28"/>
      <w:szCs w:val="28"/>
      <w:u w:val="none"/>
    </w:rPr>
  </w:style>
  <w:style w:type="character" w:customStyle="1" w:styleId="7">
    <w:name w:val="font41"/>
    <w:basedOn w:val="5"/>
    <w:qFormat/>
    <w:uiPriority w:val="0"/>
    <w:rPr>
      <w:rFonts w:hint="eastAsia" w:ascii="黑体" w:hAnsi="宋体" w:eastAsia="黑体" w:cs="黑体"/>
      <w:color w:val="000000"/>
      <w:sz w:val="28"/>
      <w:szCs w:val="28"/>
      <w:u w:val="none"/>
    </w:rPr>
  </w:style>
  <w:style w:type="character" w:customStyle="1" w:styleId="8">
    <w:name w:val="font101"/>
    <w:basedOn w:val="5"/>
    <w:qFormat/>
    <w:uiPriority w:val="0"/>
    <w:rPr>
      <w:rFonts w:hint="eastAsia" w:ascii="宋体" w:hAnsi="宋体" w:eastAsia="宋体" w:cs="宋体"/>
      <w:b/>
      <w:bCs/>
      <w:color w:val="000000"/>
      <w:sz w:val="28"/>
      <w:szCs w:val="28"/>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2022-01-18T15:57:00Z</dcterms:created>
  <dc:creator>baixin</dc:creator>
  <cp:lastModifiedBy>baixin</cp:lastModifiedBy>
  <dcterms:modified xsi:type="dcterms:W3CDTF">2022-01-18T15:58:57Z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