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5</w:t>
      </w:r>
    </w:p>
    <w:p>
      <w:pPr>
        <w:jc w:val="center"/>
        <w:rPr>
          <w:rFonts w:hint="eastAsia" w:ascii="方正小标宋简体" w:hAnsi="黑体" w:eastAsia="方正小标宋简体" w:cs="黑体"/>
          <w:color w:val="00B050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 w:cs="黑体"/>
          <w:color w:val="000000"/>
          <w:kern w:val="0"/>
          <w:sz w:val="44"/>
          <w:szCs w:val="44"/>
        </w:rPr>
        <w:t>曲沃县校园安全事故应急响应条件及应急措施</w:t>
      </w:r>
      <w:bookmarkEnd w:id="0"/>
    </w:p>
    <w:tbl>
      <w:tblPr>
        <w:tblStyle w:val="8"/>
        <w:tblW w:w="1354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0"/>
        <w:gridCol w:w="2478"/>
        <w:gridCol w:w="2126"/>
        <w:gridCol w:w="644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ascii="黑体" w:hAnsi="黑体" w:eastAsia="黑体" w:cs="黑体"/>
                <w:b w:val="0"/>
                <w:bCs/>
                <w:kern w:val="0"/>
                <w:sz w:val="28"/>
                <w:szCs w:val="28"/>
              </w:rPr>
              <w:t>1</w:t>
            </w: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级响应</w:t>
            </w:r>
          </w:p>
        </w:tc>
        <w:tc>
          <w:tcPr>
            <w:tcW w:w="2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ascii="黑体" w:hAnsi="黑体" w:eastAsia="黑体" w:cs="黑体"/>
                <w:b w:val="0"/>
                <w:bCs/>
                <w:kern w:val="0"/>
                <w:sz w:val="28"/>
                <w:szCs w:val="28"/>
              </w:rPr>
              <w:t>2</w:t>
            </w: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级响应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ascii="黑体" w:hAnsi="黑体" w:eastAsia="黑体" w:cs="黑体"/>
                <w:b w:val="0"/>
                <w:bCs/>
                <w:kern w:val="0"/>
                <w:sz w:val="28"/>
                <w:szCs w:val="28"/>
              </w:rPr>
              <w:t>3</w:t>
            </w: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级响应</w:t>
            </w:r>
          </w:p>
        </w:tc>
        <w:tc>
          <w:tcPr>
            <w:tcW w:w="6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8"/>
                <w:szCs w:val="28"/>
              </w:rPr>
              <w:t>4级响应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4" w:hRule="atLeast"/>
          <w:jc w:val="center"/>
        </w:trPr>
        <w:tc>
          <w:tcPr>
            <w:tcW w:w="24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启动条件：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发生特别重大教育安全事故，或县指挥部认为需要启动1级响应的情形。</w:t>
            </w:r>
          </w:p>
          <w:p>
            <w:pPr>
              <w:widowControl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应急措施：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1、落实2级响应的应急措施；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2、贯彻落实党中央、国务院领导同志的指示批示精神；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3、积极配合国家指挥部工作组，认真落实相应的工作。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启动条件：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发生重大教育安全事故，或县指挥部认为需要启动2级响应的情形。</w:t>
            </w:r>
          </w:p>
          <w:p>
            <w:pPr>
              <w:widowControl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应急措施：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1、落实3级响应的应急措施；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2、贯彻落实省委、省政府领导同志的指示批示精神；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3、积极配合省指挥部工作组，认真落实相应的工作；</w:t>
            </w:r>
          </w:p>
          <w:p>
            <w:pPr>
              <w:widowControl/>
              <w:ind w:firstLine="420" w:firstLineChars="200"/>
              <w:rPr>
                <w:rFonts w:hint="eastAsia" w:ascii="仿宋_GB2312" w:hAnsi="仿宋" w:eastAsia="仿宋_GB2312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4、县指挥部办公室随时掌握应急处置进展情况，做好扩大响应的准备。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启动条件：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发生较大教育安全事故，或县指挥部认为需要启动3级响应的情形。</w:t>
            </w:r>
          </w:p>
          <w:p>
            <w:pPr>
              <w:widowControl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应急措施：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1、落实4级响应的应急措施；</w:t>
            </w:r>
          </w:p>
          <w:p>
            <w:pPr>
              <w:pStyle w:val="7"/>
              <w:ind w:left="0" w:leftChars="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2、积极配合市指挥部工作组，认真落实相应工作；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3、县指挥部办公室随时掌握应急处置进展情况，做好扩大响应的准备。</w:t>
            </w:r>
          </w:p>
        </w:tc>
        <w:tc>
          <w:tcPr>
            <w:tcW w:w="64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</w:pPr>
          </w:p>
          <w:p>
            <w:pPr>
              <w:widowControl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启动条件：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发生一般教育安全事故，或县指挥部认为需要启动4级响应的情形。</w:t>
            </w:r>
          </w:p>
          <w:p>
            <w:pPr>
              <w:widowControl/>
              <w:rPr>
                <w:rFonts w:hint="eastAsia" w:ascii="仿宋_GB2312" w:eastAsia="仿宋_GB2312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应急措施：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/>
              </w:rPr>
              <w:t>1、县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指挥部办公室主任立即向指挥长报告，提出赶赴事发现场的副指挥长、成员单位领导和专家人选。相关人员收到指令后，立即赶赴现场；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2、指挥长到达现场后，应迅速成立现场指挥部及其工作组，接管指挥权，开展事故会商，了解前期处置情况，分析研判事故形势，研究制定事故处置方案和保障方案，指挥各组迅速展开行动；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3、指挥部办公室根据事故现场应急处置需要，协调增调救援力量，做好交通、通讯、电力、物资等应急保障工作；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4、现场指挥部加强对重要目标物和重大危险源的排查和安全处置工作，防范次生灾害；</w:t>
            </w:r>
          </w:p>
          <w:p>
            <w:pPr>
              <w:autoSpaceDE w:val="0"/>
              <w:autoSpaceDN w:val="0"/>
              <w:adjustRightInd w:val="0"/>
              <w:ind w:firstLine="420" w:firstLineChars="20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5、现场指挥部及时发布应急处置信息，协调媒体加强事故应急救援宣传报道，统一发布应急救援信息；收集分析舆情，做好事故应急救援宣传报道及舆论引导工作；</w:t>
            </w:r>
          </w:p>
          <w:p>
            <w:pPr>
              <w:pStyle w:val="7"/>
              <w:ind w:left="0" w:leftChars="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6、认真贯彻落实市委、市政府领导同志指示批示精神以及市教育局、市应急局和县委、县政府工作要求。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jc w:val="both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/>
    <w:sectPr>
      <w:footerReference r:id="rId5" w:type="first"/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67456" behindDoc="0" locked="1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4" name="文本框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2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aGmCS9MAAAAFAQAADwAAAAAAAAABACAA&#10;AAA4AAAAZHJzL2Rvd25yZXYueG1sUEsBAhQAFAAAAAgAh07iQGbh1RPDAQAAawMAAA4AAAAAAAAA&#10;AQAgAAAAOAEAAGRycy9lMm9Eb2MueG1sUEsFBgAAAAAGAAYAWQEAAG0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AF46F"/>
    <w:rsid w:val="3DFAF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 3"/>
    <w:basedOn w:val="1"/>
    <w:qFormat/>
    <w:uiPriority w:val="0"/>
    <w:pPr>
      <w:spacing w:after="120"/>
    </w:pPr>
    <w:rPr>
      <w:rFonts w:ascii="Calibri" w:hAnsi="Calibri" w:eastAsia="宋体" w:cs="Times New Roman"/>
      <w:sz w:val="16"/>
      <w:szCs w:val="16"/>
    </w:rPr>
  </w:style>
  <w:style w:type="paragraph" w:styleId="4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qFormat/>
    <w:uiPriority w:val="99"/>
    <w:pPr>
      <w:spacing w:after="0"/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2023-04-28T16:26:00Z</dcterms:created>
  <dc:creator>baixin</dc:creator>
  <cp:lastModifiedBy>baixin</cp:lastModifiedBy>
  <dcterms:modified xsi:type="dcterms:W3CDTF">2023-04-28T16:38:52Z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