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3192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 </w:t>
      </w: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分级响应条件</w:t>
      </w:r>
      <w:bookmarkEnd w:id="0"/>
    </w:p>
    <w:bookmarkEnd w:id="1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2095"/>
        <w:gridCol w:w="2095"/>
        <w:gridCol w:w="2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四级响应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三级响应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二级响应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一级响应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8" w:hRule="atLeast"/>
        </w:trPr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造成3人以下死亡，或者10人以下重伤，或者1000万元以下直接经济损失的。</w:t>
            </w:r>
          </w:p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县指挥部认为需要启动四级响应的其他情形。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造成3人以上10人以下死亡，或者10人以上50人以下重伤，或者1000万元以上5000万元以下直接经济损失的。</w:t>
            </w:r>
          </w:p>
          <w:p>
            <w:pPr>
              <w:widowControl/>
              <w:spacing w:line="560" w:lineRule="exact"/>
              <w:jc w:val="both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市应急指挥部认为需要启动三级响应的其他情形。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造成10人以上30人以下死亡，或者50人以上100人以下重伤，或者5000万元以上1亿元以下直接经济损失的。</w:t>
            </w:r>
          </w:p>
          <w:p>
            <w:pPr>
              <w:widowControl/>
              <w:spacing w:line="560" w:lineRule="exact"/>
              <w:jc w:val="both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省应急指挥部认为需要启动二级响应的其他情形。</w:t>
            </w:r>
          </w:p>
        </w:tc>
        <w:tc>
          <w:tcPr>
            <w:tcW w:w="2095" w:type="dxa"/>
            <w:vAlign w:val="center"/>
          </w:tcPr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造成30人以上死亡，或者100人以上重伤，或者1亿元以上直接经济损失的。</w:t>
            </w:r>
          </w:p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both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从事故造成涉险人员数量初判，可能达到特别重大事故、抢险救援难度很大的事故。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8380" w:type="dxa"/>
            <w:gridSpan w:val="4"/>
            <w:vAlign w:val="center"/>
          </w:tcPr>
          <w:p>
            <w:pPr>
              <w:widowControl/>
              <w:spacing w:line="56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ascii="方正仿宋_GB2312" w:hAnsi="方正仿宋_GB2312" w:eastAsia="方正仿宋_GB2312" w:cs="方正仿宋_GB2312"/>
                <w:sz w:val="28"/>
                <w:szCs w:val="28"/>
              </w:rPr>
              <w:t>备注：上述数量表述中，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“</w:t>
            </w:r>
            <w:r>
              <w:rPr>
                <w:rFonts w:ascii="方正仿宋_GB2312" w:hAnsi="方正仿宋_GB2312" w:eastAsia="方正仿宋_GB2312" w:cs="方正仿宋_GB2312"/>
                <w:sz w:val="28"/>
                <w:szCs w:val="28"/>
              </w:rPr>
              <w:t>以上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”</w:t>
            </w:r>
            <w:r>
              <w:rPr>
                <w:rFonts w:ascii="方正仿宋_GB2312" w:hAnsi="方正仿宋_GB2312" w:eastAsia="方正仿宋_GB2312" w:cs="方正仿宋_GB2312"/>
                <w:sz w:val="28"/>
                <w:szCs w:val="28"/>
              </w:rPr>
              <w:t>含本数，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“</w:t>
            </w:r>
            <w:r>
              <w:rPr>
                <w:rFonts w:ascii="方正仿宋_GB2312" w:hAnsi="方正仿宋_GB2312" w:eastAsia="方正仿宋_GB2312" w:cs="方正仿宋_GB2312"/>
                <w:sz w:val="28"/>
                <w:szCs w:val="28"/>
              </w:rPr>
              <w:t>以下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”</w:t>
            </w:r>
            <w:r>
              <w:rPr>
                <w:rFonts w:ascii="方正仿宋_GB2312" w:hAnsi="方正仿宋_GB2312" w:eastAsia="方正仿宋_GB2312" w:cs="方正仿宋_GB2312"/>
                <w:sz w:val="28"/>
                <w:szCs w:val="28"/>
              </w:rPr>
              <w:t>不含本数。</w:t>
            </w:r>
          </w:p>
        </w:tc>
      </w:tr>
    </w:tbl>
    <w:p>
      <w:pPr>
        <w:rPr>
          <w:rFonts w:ascii="仿宋_GB2312" w:hAnsi="仿宋_GB2312" w:eastAsia="仿宋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" w:cs="仿宋_GB2312"/>
          <w:b/>
          <w:bCs/>
          <w:sz w:val="32"/>
          <w:szCs w:val="32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361576"/>
    <w:rsid w:val="7B36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2026-03-27T17:10:00Z</dcterms:created>
  <dc:creator>baixin</dc:creator>
  <cp:lastModifiedBy>baixin</cp:lastModifiedBy>
  <dcterms:modified xsi:type="dcterms:W3CDTF">2026-03-27T17:12:29Z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3EFFC4FD4A5CC04D6A49C66912C3A618</vt:lpwstr>
  </property>
</Properties>
</file>