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jc w:val="center"/>
        <w:rPr>
          <w:rFonts w:hint="eastAsia" w:ascii="CESI黑体-GB18030" w:hAnsi="CESI黑体-GB18030" w:eastAsia="黑体" w:cs="CESI黑体-GB18030"/>
          <w:sz w:val="28"/>
          <w:szCs w:val="28"/>
          <w:lang w:val="en-US" w:eastAsia="zh-CN"/>
        </w:rPr>
      </w:pP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曲沃县</w:t>
      </w:r>
      <w:r>
        <w:rPr>
          <w:rFonts w:hint="eastAsia" w:ascii="方正小标宋_GBK" w:hAnsi="方正小标宋_GBK" w:eastAsia="方正小标宋_GBK" w:cs="方正小标宋_GBK"/>
          <w:sz w:val="44"/>
          <w:szCs w:val="44"/>
          <w:lang w:val="en-US" w:eastAsia="zh-CN"/>
        </w:rPr>
        <w:t>2021年度政务公开工作考核细则、评分标准、任务分工表</w:t>
      </w:r>
    </w:p>
    <w:p>
      <w:pPr>
        <w:jc w:val="both"/>
        <w:rPr>
          <w:rFonts w:hint="eastAsia" w:ascii="方正小标宋_GBK" w:hAnsi="方正小标宋_GBK" w:eastAsia="方正小标宋_GBK" w:cs="方正小标宋_GBK"/>
          <w:sz w:val="32"/>
          <w:szCs w:val="32"/>
          <w:lang w:val="en-US" w:eastAsia="zh-CN"/>
        </w:rPr>
      </w:pPr>
    </w:p>
    <w:tbl>
      <w:tblPr>
        <w:tblStyle w:val="5"/>
        <w:tblpPr w:leftFromText="180" w:rightFromText="180" w:vertAnchor="text" w:horzAnchor="page" w:tblpX="1857" w:tblpY="3"/>
        <w:tblOverlap w:val="never"/>
        <w:tblW w:w="13131" w:type="dxa"/>
        <w:jc w:val="center"/>
        <w:tblLayout w:type="autofit"/>
        <w:tblCellMar>
          <w:top w:w="0" w:type="dxa"/>
          <w:left w:w="0" w:type="dxa"/>
          <w:bottom w:w="0" w:type="dxa"/>
          <w:right w:w="0" w:type="dxa"/>
        </w:tblCellMar>
      </w:tblPr>
      <w:tblGrid>
        <w:gridCol w:w="617"/>
        <w:gridCol w:w="617"/>
        <w:gridCol w:w="1238"/>
        <w:gridCol w:w="752"/>
        <w:gridCol w:w="8239"/>
        <w:gridCol w:w="648"/>
        <w:gridCol w:w="1020"/>
      </w:tblGrid>
      <w:tr>
        <w:tblPrEx>
          <w:tblCellMar>
            <w:top w:w="0" w:type="dxa"/>
            <w:left w:w="0" w:type="dxa"/>
            <w:bottom w:w="0" w:type="dxa"/>
            <w:right w:w="0" w:type="dxa"/>
          </w:tblCellMar>
        </w:tblPrEx>
        <w:trPr>
          <w:trHeight w:val="824" w:hRule="atLeast"/>
          <w:jc w:val="center"/>
        </w:trPr>
        <w:tc>
          <w:tcPr>
            <w:tcW w:w="617"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17"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1238"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75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823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648"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02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cantSplit/>
          <w:trHeight w:val="1298" w:hRule="atLeast"/>
          <w:jc w:val="center"/>
        </w:trPr>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tabs>
                <w:tab w:val="left" w:pos="220"/>
              </w:tabs>
              <w:autoSpaceDE w:val="0"/>
              <w:autoSpaceDN w:val="0"/>
              <w:spacing w:before="0" w:beforeAutospacing="0" w:after="0" w:afterAutospacing="0"/>
              <w:ind w:left="113" w:right="113"/>
              <w:jc w:val="center"/>
              <w:rPr>
                <w:rFonts w:hint="default" w:ascii="CESI仿宋-GB18030" w:hAnsi="CESI仿宋-GB18030" w:eastAsia="CESI仿宋-GB18030" w:cs="CESI仿宋-GB18030"/>
                <w:b w:val="0"/>
                <w:bCs w:val="0"/>
                <w:sz w:val="21"/>
                <w:szCs w:val="21"/>
                <w:lang w:val="en-US" w:eastAsia="zh-CN"/>
              </w:rPr>
            </w:pPr>
            <w:r>
              <w:rPr>
                <w:rFonts w:hint="eastAsia" w:ascii="CESI仿宋-GB18030" w:hAnsi="CESI仿宋-GB18030" w:eastAsia="仿宋_GB2312" w:cs="CESI仿宋-GB18030"/>
                <w:b w:val="0"/>
                <w:bCs w:val="0"/>
                <w:color w:val="auto"/>
                <w:sz w:val="21"/>
                <w:szCs w:val="21"/>
                <w:lang w:val="en-US" w:eastAsia="zh-CN"/>
              </w:rPr>
              <w:t>组织领导与工作保障</w:t>
            </w:r>
          </w:p>
        </w:tc>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组织领导</w:t>
            </w: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研究部署相关工作情况</w:t>
            </w: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firstLine="0" w:firstLineChars="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对《山西省2021年政务公开工作要点》《临汾市2021年政务公开工作要点》特别是对行政执法公开、政务服务公开、市场监管公开、征地信息公开、财政信息公开等方面进行会议研究部署。以上5方面内容，每少研究一项，扣</w:t>
            </w:r>
            <w:r>
              <w:rPr>
                <w:rFonts w:hint="eastAsia" w:ascii="CESI仿宋-GB18030" w:hAnsi="CESI仿宋-GB18030" w:eastAsia="仿宋_GB2312" w:cs="CESI仿宋-GB18030"/>
                <w:b w:val="0"/>
                <w:bCs w:val="0"/>
                <w:sz w:val="21"/>
                <w:szCs w:val="21"/>
                <w:lang w:val="en-US" w:eastAsia="zh-CN"/>
              </w:rPr>
              <w:t>1</w:t>
            </w:r>
            <w:r>
              <w:rPr>
                <w:rFonts w:hint="eastAsia" w:ascii="CESI仿宋-GB18030" w:hAnsi="CESI仿宋-GB18030" w:eastAsia="仿宋_GB2312" w:cs="CESI仿宋-GB18030"/>
                <w:b w:val="0"/>
                <w:bCs w:val="0"/>
                <w:sz w:val="21"/>
                <w:szCs w:val="21"/>
                <w:lang w:eastAsia="zh-CN"/>
              </w:rPr>
              <w:t>分。扣分上限为4分。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b w:val="0"/>
                <w:bCs w:val="0"/>
                <w:sz w:val="21"/>
                <w:szCs w:val="21"/>
                <w:lang w:val="en-US" w:eastAsia="zh-CN"/>
              </w:rPr>
            </w:pP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查看会议纪要等</w:t>
            </w:r>
          </w:p>
        </w:tc>
      </w:tr>
      <w:tr>
        <w:tblPrEx>
          <w:tblCellMar>
            <w:top w:w="0" w:type="dxa"/>
            <w:left w:w="0" w:type="dxa"/>
            <w:bottom w:w="0" w:type="dxa"/>
            <w:right w:w="0" w:type="dxa"/>
          </w:tblCellMar>
        </w:tblPrEx>
        <w:trPr>
          <w:trHeight w:val="90"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8887"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firstLine="0" w:firstLineChars="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县司法局、行政审批局、市场监管局、自然资源局、财政局负责落实，分别对执法公开、政务服务公开、市场监管公开、征地信息公开、财政信息公开进行研究部署。2021年8月底之前完成，并将会议纪要抄送县政府信息室。</w:t>
            </w: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907"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leftChars="0" w:right="0" w:firstLine="0" w:firstLineChars="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及时出台或更新有关政策文件情况</w:t>
            </w: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rightChars="0"/>
              <w:jc w:val="both"/>
              <w:textAlignment w:val="auto"/>
              <w:rPr>
                <w:rFonts w:hint="eastAsia" w:ascii="CESI仿宋-GB18030" w:hAnsi="CESI仿宋-GB18030" w:eastAsia="CESI仿宋-GB18030" w:cs="CESI仿宋-GB18030"/>
                <w:b w:val="0"/>
                <w:bCs w:val="0"/>
                <w:kern w:val="2"/>
                <w:sz w:val="21"/>
                <w:szCs w:val="21"/>
                <w:lang w:val="en-US" w:eastAsia="zh-CN" w:bidi="ar-SA"/>
              </w:rPr>
            </w:pPr>
            <w:r>
              <w:rPr>
                <w:rFonts w:hint="eastAsia" w:ascii="CESI仿宋-GB18030" w:hAnsi="CESI仿宋-GB18030" w:eastAsia="仿宋_GB2312" w:cs="CESI仿宋-GB18030"/>
                <w:b w:val="0"/>
                <w:bCs w:val="0"/>
                <w:sz w:val="21"/>
                <w:szCs w:val="21"/>
                <w:lang w:eastAsia="zh-CN"/>
              </w:rPr>
              <w:t>制定落实国办及省、市2021年度政务公开工作要点、“双公示”工作方案或任务分工等并在政府网站向社会公开，每少一项，扣1分，扣分上限为2分。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default" w:ascii="CESI仿宋-GB18030" w:hAnsi="CESI仿宋-GB18030" w:eastAsia="CESI仿宋-GB18030" w:cs="CESI仿宋-GB18030"/>
                <w:b w:val="0"/>
                <w:bCs w:val="0"/>
                <w:sz w:val="21"/>
                <w:szCs w:val="21"/>
                <w:lang w:val="en-US" w:eastAsia="zh-CN"/>
              </w:rPr>
            </w:pP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查看相关政府文件或工作方案等</w:t>
            </w:r>
          </w:p>
        </w:tc>
      </w:tr>
      <w:tr>
        <w:tblPrEx>
          <w:tblCellMar>
            <w:top w:w="0" w:type="dxa"/>
            <w:left w:w="0" w:type="dxa"/>
            <w:bottom w:w="0" w:type="dxa"/>
            <w:right w:w="0" w:type="dxa"/>
          </w:tblCellMar>
        </w:tblPrEx>
        <w:trPr>
          <w:trHeight w:val="960"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8887"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由县政府信息中心</w:t>
            </w:r>
            <w:r>
              <w:rPr>
                <w:rFonts w:hint="eastAsia" w:ascii="CESI仿宋-GB18030" w:hAnsi="CESI仿宋-GB18030" w:eastAsia="仿宋_GB2312" w:cs="CESI仿宋-GB18030"/>
                <w:b w:val="0"/>
                <w:bCs w:val="0"/>
                <w:sz w:val="21"/>
                <w:szCs w:val="21"/>
                <w:lang w:val="en-US" w:eastAsia="zh-CN"/>
              </w:rPr>
              <w:t>负</w:t>
            </w:r>
            <w:r>
              <w:rPr>
                <w:rFonts w:hint="eastAsia" w:ascii="CESI仿宋-GB18030" w:hAnsi="CESI仿宋-GB18030" w:eastAsia="仿宋_GB2312" w:cs="CESI仿宋-GB18030"/>
                <w:b w:val="0"/>
                <w:bCs w:val="0"/>
                <w:sz w:val="21"/>
                <w:szCs w:val="21"/>
                <w:lang w:eastAsia="zh-CN"/>
              </w:rPr>
              <w:t>责制定落实国办及我省2021年政务公开工作要点的文件，由县发改局负责制定“双公示”工作方案或任务分工并在网站公开发布。</w:t>
            </w: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308"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工作保障</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机构、人员、经费</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保障情况</w:t>
            </w:r>
          </w:p>
        </w:tc>
        <w:tc>
          <w:tcPr>
            <w:tcW w:w="752"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sz w:val="21"/>
                <w:szCs w:val="21"/>
                <w:lang w:eastAsia="zh-CN"/>
              </w:rPr>
              <w:t>对拟发公文公开属性认定、依申请公开的答复办理、政府网站及政务新媒体建设、政策解读咨询回应、公开专栏建设、“双公示”工作等方面未落实机构、人员、经费等方面保障的，每少一项，扣1分，扣分上限为2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default" w:ascii="CESI仿宋-GB18030" w:hAnsi="CESI仿宋-GB18030" w:eastAsia="CESI仿宋-GB18030" w:cs="CESI仿宋-GB18030"/>
                <w:b w:val="0"/>
                <w:bCs w:val="0"/>
                <w:sz w:val="21"/>
                <w:szCs w:val="21"/>
                <w:lang w:val="en-US" w:eastAsia="zh-CN"/>
              </w:rPr>
            </w:pPr>
          </w:p>
        </w:tc>
        <w:tc>
          <w:tcPr>
            <w:tcW w:w="1020"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材料</w:t>
            </w:r>
          </w:p>
        </w:tc>
      </w:tr>
    </w:tbl>
    <w:p>
      <w:pPr>
        <w:jc w:val="both"/>
        <w:rPr>
          <w:rFonts w:hint="eastAsia" w:ascii="方正小标宋_GBK" w:hAnsi="方正小标宋_GBK" w:eastAsia="方正小标宋_GBK" w:cs="方正小标宋_GBK"/>
          <w:sz w:val="32"/>
          <w:szCs w:val="32"/>
          <w:lang w:val="en-US" w:eastAsia="zh-CN"/>
        </w:rPr>
      </w:pP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sectPr>
          <w:footerReference r:id="rId3" w:type="default"/>
          <w:footerReference r:id="rId4"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W w:w="12898" w:type="dxa"/>
        <w:jc w:val="center"/>
        <w:tblLayout w:type="autofit"/>
        <w:tblCellMar>
          <w:top w:w="0" w:type="dxa"/>
          <w:left w:w="0" w:type="dxa"/>
          <w:bottom w:w="0" w:type="dxa"/>
          <w:right w:w="0" w:type="dxa"/>
        </w:tblCellMar>
      </w:tblPr>
      <w:tblGrid>
        <w:gridCol w:w="643"/>
        <w:gridCol w:w="617"/>
        <w:gridCol w:w="1236"/>
        <w:gridCol w:w="559"/>
        <w:gridCol w:w="7380"/>
        <w:gridCol w:w="1236"/>
        <w:gridCol w:w="1227"/>
      </w:tblGrid>
      <w:tr>
        <w:tblPrEx>
          <w:tblCellMar>
            <w:top w:w="0" w:type="dxa"/>
            <w:left w:w="0" w:type="dxa"/>
            <w:bottom w:w="0" w:type="dxa"/>
            <w:right w:w="0" w:type="dxa"/>
          </w:tblCellMar>
        </w:tblPrEx>
        <w:trPr>
          <w:trHeight w:val="809" w:hRule="atLeast"/>
          <w:jc w:val="center"/>
        </w:trPr>
        <w:tc>
          <w:tcPr>
            <w:tcW w:w="643"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17"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1236"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5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8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236"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27"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206" w:hRule="atLeast"/>
          <w:jc w:val="center"/>
        </w:trPr>
        <w:tc>
          <w:tcPr>
            <w:tcW w:w="643" w:type="dxa"/>
            <w:vMerge w:val="restart"/>
            <w:tcBorders>
              <w:top w:val="nil"/>
              <w:left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基层政务公开标准化规范化</w:t>
            </w:r>
          </w:p>
        </w:tc>
        <w:tc>
          <w:tcPr>
            <w:tcW w:w="61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目录执行</w:t>
            </w:r>
          </w:p>
        </w:tc>
        <w:tc>
          <w:tcPr>
            <w:tcW w:w="1236"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val="en-US" w:eastAsia="zh-CN"/>
              </w:rPr>
              <w:t>已</w:t>
            </w:r>
            <w:r>
              <w:rPr>
                <w:rFonts w:hint="eastAsia" w:ascii="CESI仿宋-GB18030" w:hAnsi="CESI仿宋-GB18030" w:eastAsia="仿宋_GB2312" w:cs="CESI仿宋-GB18030"/>
                <w:sz w:val="21"/>
                <w:szCs w:val="21"/>
                <w:lang w:eastAsia="zh-CN"/>
              </w:rPr>
              <w:t>公布标准目录执行</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5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both"/>
              <w:textAlignment w:val="auto"/>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对照权责清单和公共服务事项清单对已公布的标准目录进行修订完善，并将修订完善情况报送县政府办信息室。</w:t>
            </w:r>
          </w:p>
        </w:tc>
        <w:tc>
          <w:tcPr>
            <w:tcW w:w="1227"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CellMar>
            <w:top w:w="0" w:type="dxa"/>
            <w:left w:w="0" w:type="dxa"/>
            <w:bottom w:w="0" w:type="dxa"/>
            <w:right w:w="0" w:type="dxa"/>
          </w:tblCellMar>
        </w:tblPrEx>
        <w:trPr>
          <w:cantSplit/>
          <w:trHeight w:val="2098" w:hRule="atLeast"/>
          <w:jc w:val="center"/>
        </w:trPr>
        <w:tc>
          <w:tcPr>
            <w:tcW w:w="643"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工作</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拓展</w:t>
            </w:r>
          </w:p>
        </w:tc>
        <w:tc>
          <w:tcPr>
            <w:tcW w:w="1236"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拓展政务公开标准化规范化施行领域和层级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59"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0</w:t>
            </w:r>
          </w:p>
        </w:tc>
        <w:tc>
          <w:tcPr>
            <w:tcW w:w="738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123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每拓展一个领域，加0.5分，每拓展一个层级，加1分，加分上限为5分</w:t>
            </w:r>
          </w:p>
        </w:tc>
        <w:tc>
          <w:tcPr>
            <w:tcW w:w="122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印证材料</w:t>
            </w:r>
          </w:p>
        </w:tc>
      </w:tr>
      <w:tr>
        <w:tblPrEx>
          <w:tblCellMar>
            <w:top w:w="0" w:type="dxa"/>
            <w:left w:w="0" w:type="dxa"/>
            <w:bottom w:w="0" w:type="dxa"/>
            <w:right w:w="0" w:type="dxa"/>
          </w:tblCellMar>
        </w:tblPrEx>
        <w:trPr>
          <w:trHeight w:val="1081" w:hRule="atLeast"/>
          <w:jc w:val="center"/>
        </w:trPr>
        <w:tc>
          <w:tcPr>
            <w:tcW w:w="643"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36"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559"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县直相关部门参照26个试点领域基层政务公开标准目录，制定县级标准目录，拓展层级，并在26个试点领域之外的交通运输、统计事务、高中教育阶段、退役军人事务以及其他方面拓展三个领域。</w:t>
            </w:r>
          </w:p>
        </w:tc>
        <w:tc>
          <w:tcPr>
            <w:tcW w:w="122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723" w:hRule="atLeast"/>
          <w:jc w:val="center"/>
        </w:trPr>
        <w:tc>
          <w:tcPr>
            <w:tcW w:w="64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autoSpaceDE w:val="0"/>
              <w:autoSpaceDN w:val="0"/>
              <w:spacing w:before="0" w:beforeAutospacing="0" w:after="0" w:afterAutospacing="0"/>
              <w:ind w:left="-440" w:leftChars="0" w:right="113" w:firstLine="438" w:firstLineChars="209"/>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val="en-US" w:eastAsia="zh-CN"/>
              </w:rPr>
              <w:t>主动</w:t>
            </w:r>
            <w:r>
              <w:rPr>
                <w:rFonts w:hint="eastAsia" w:ascii="CESI仿宋-GB18030" w:hAnsi="CESI仿宋-GB18030" w:eastAsia="仿宋_GB2312" w:cs="CESI仿宋-GB18030"/>
                <w:sz w:val="21"/>
                <w:szCs w:val="21"/>
                <w:lang w:eastAsia="zh-CN"/>
              </w:rPr>
              <w:t>公开</w:t>
            </w:r>
          </w:p>
        </w:tc>
        <w:tc>
          <w:tcPr>
            <w:tcW w:w="61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36"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公开主体、流程、标准等执行情况</w:t>
            </w:r>
          </w:p>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559" w:type="dxa"/>
            <w:tcBorders>
              <w:top w:val="single" w:color="auto" w:sz="4" w:space="0"/>
              <w:left w:val="nil"/>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8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both"/>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依据相关法律法规和国家规范性文件，属于法定主动公开内容，特别是对教育、医疗、社会保障、乡村振兴、促进就业等方面，以及社会公众关注度高的限行、调价、准入、许可、基建、拆迁等重大行政决策、重大设项目批准等方面内容的公开，不符合国家有关公开规定的，发现一起，扣1分，扣分上限为5分。</w:t>
            </w:r>
          </w:p>
        </w:tc>
        <w:tc>
          <w:tcPr>
            <w:tcW w:w="1236"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center"/>
              <w:textAlignment w:val="auto"/>
              <w:rPr>
                <w:rFonts w:hint="default" w:ascii="CESI仿宋-GB18030" w:hAnsi="CESI仿宋-GB18030" w:eastAsia="CESI仿宋-GB18030" w:cs="CESI仿宋-GB18030"/>
                <w:sz w:val="21"/>
                <w:szCs w:val="21"/>
                <w:lang w:val="en-US" w:eastAsia="zh-CN"/>
              </w:rPr>
            </w:pPr>
          </w:p>
        </w:tc>
        <w:tc>
          <w:tcPr>
            <w:tcW w:w="122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函询说明情况＋根据社会关注热点政务舆情</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倒查</w:t>
            </w:r>
          </w:p>
        </w:tc>
      </w:tr>
      <w:tr>
        <w:tblPrEx>
          <w:tblCellMar>
            <w:top w:w="0" w:type="dxa"/>
            <w:left w:w="0" w:type="dxa"/>
            <w:bottom w:w="0" w:type="dxa"/>
            <w:right w:w="0" w:type="dxa"/>
          </w:tblCellMar>
        </w:tblPrEx>
        <w:trPr>
          <w:trHeight w:val="1307" w:hRule="atLeast"/>
          <w:jc w:val="center"/>
        </w:trPr>
        <w:tc>
          <w:tcPr>
            <w:tcW w:w="64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36" w:type="dxa"/>
            <w:vMerge w:val="continue"/>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5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考核标准中明确指出的各项内容，各主管责任单位要加强规范化管理，明确公开内容、主体、流程、标准、时限、对象等。</w:t>
            </w:r>
          </w:p>
        </w:tc>
        <w:tc>
          <w:tcPr>
            <w:tcW w:w="122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rPr>
          <w:rFonts w:hint="eastAsia" w:ascii="CESI仿宋-GB18030" w:hAnsi="CESI仿宋-GB18030" w:eastAsia="仿宋_GB2312" w:cs="CESI仿宋-GB18030"/>
          <w:b/>
          <w:bCs/>
          <w:sz w:val="21"/>
          <w:szCs w:val="21"/>
          <w:lang w:eastAsia="zh-CN"/>
        </w:rPr>
        <w:sectPr>
          <w:headerReference r:id="rId5" w:type="default"/>
          <w:footerReference r:id="rId7" w:type="default"/>
          <w:headerReference r:id="rId6" w:type="even"/>
          <w:footerReference r:id="rId8"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W w:w="12977" w:type="dxa"/>
        <w:jc w:val="center"/>
        <w:tblLayout w:type="autofit"/>
        <w:tblCellMar>
          <w:top w:w="0" w:type="dxa"/>
          <w:left w:w="0" w:type="dxa"/>
          <w:bottom w:w="0" w:type="dxa"/>
          <w:right w:w="0" w:type="dxa"/>
        </w:tblCellMar>
      </w:tblPr>
      <w:tblGrid>
        <w:gridCol w:w="661"/>
        <w:gridCol w:w="661"/>
        <w:gridCol w:w="1283"/>
        <w:gridCol w:w="623"/>
        <w:gridCol w:w="7392"/>
        <w:gridCol w:w="1116"/>
        <w:gridCol w:w="1241"/>
      </w:tblGrid>
      <w:tr>
        <w:tblPrEx>
          <w:tblCellMar>
            <w:top w:w="0" w:type="dxa"/>
            <w:left w:w="0" w:type="dxa"/>
            <w:bottom w:w="0" w:type="dxa"/>
            <w:right w:w="0" w:type="dxa"/>
          </w:tblCellMar>
        </w:tblPrEx>
        <w:trPr>
          <w:trHeight w:val="851" w:hRule="atLeast"/>
          <w:jc w:val="center"/>
        </w:trPr>
        <w:tc>
          <w:tcPr>
            <w:tcW w:w="661"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一级指标</w:t>
            </w:r>
          </w:p>
        </w:tc>
        <w:tc>
          <w:tcPr>
            <w:tcW w:w="661"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二级指标</w:t>
            </w:r>
          </w:p>
        </w:tc>
        <w:tc>
          <w:tcPr>
            <w:tcW w:w="1283"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23"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9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11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41"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421" w:hRule="atLeast"/>
          <w:jc w:val="center"/>
        </w:trPr>
        <w:tc>
          <w:tcPr>
            <w:tcW w:w="661"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textDirection w:val="tbRlV"/>
            <w:vAlign w:val="center"/>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主动公开</w:t>
            </w:r>
          </w:p>
        </w:tc>
        <w:tc>
          <w:tcPr>
            <w:tcW w:w="661"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目录、清单类事项主动</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公开情况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left"/>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府部门权责清单，重大行政决策事项目录，证明事项告知承诺目录，行政审批中介服务事项清单，公共资源交易目录清单，政府性基金、涉企行政事业性收费、涉企保证金以及实行政府定价的经营服务性收费目录清单等，每少一项，扣1分，扣分上限为5分。</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sz w:val="21"/>
                <w:szCs w:val="21"/>
                <w:lang w:val="en-US" w:eastAsia="zh-CN"/>
              </w:rPr>
            </w:pPr>
          </w:p>
        </w:tc>
        <w:tc>
          <w:tcPr>
            <w:tcW w:w="124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材料</w:t>
            </w:r>
          </w:p>
        </w:tc>
      </w:tr>
      <w:tr>
        <w:tblPrEx>
          <w:tblCellMar>
            <w:top w:w="0" w:type="dxa"/>
            <w:left w:w="0" w:type="dxa"/>
            <w:bottom w:w="0" w:type="dxa"/>
            <w:right w:w="0" w:type="dxa"/>
          </w:tblCellMar>
        </w:tblPrEx>
        <w:trPr>
          <w:trHeight w:val="1136"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top"/>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部门权责清单和重大行政决策事项目录由县直各单位负责制定并上网公布；政府定价的经营服务性收费目录清单由县发改局负责制定并上网公布；证明事项告知承诺目录、行政审批中介服务事项清单和公共资源交易目录清单由县行政审批局负责制定并上网公布，政府性基金、涉企行政事业性收费和涉企保证金目录清单由县财政局负责制定并上网公布。</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指南、年报、网站年度报表等</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质量</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2</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指南、年报、网站年度报表内容不符合国家规定，超期发布或有缺</w:t>
            </w:r>
            <w:r>
              <w:rPr>
                <w:rFonts w:hint="eastAsia" w:ascii="CESI仿宋-GB18030" w:hAnsi="CESI仿宋-GB18030" w:eastAsia="仿宋_GB2312" w:cs="CESI仿宋-GB18030"/>
                <w:sz w:val="21"/>
                <w:szCs w:val="21"/>
                <w:lang w:val="en-US" w:eastAsia="zh-CN"/>
              </w:rPr>
              <w:t>漏</w:t>
            </w:r>
            <w:r>
              <w:rPr>
                <w:rFonts w:hint="eastAsia" w:ascii="CESI仿宋-GB18030" w:hAnsi="CESI仿宋-GB18030" w:eastAsia="仿宋_GB2312" w:cs="CESI仿宋-GB18030"/>
                <w:sz w:val="21"/>
                <w:szCs w:val="21"/>
                <w:lang w:eastAsia="zh-CN"/>
              </w:rPr>
              <w:t>项和明显错误的，每有一项，扣1分，扣分上限为3分。</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sz w:val="21"/>
                <w:szCs w:val="21"/>
                <w:lang w:val="en-US" w:eastAsia="zh-CN"/>
              </w:rPr>
            </w:pP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对指南、年报、网站年度报表按国家规定进行审核，7月31日之前完成。</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“双公示”数据报送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合规性情况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5</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按照国家发展改革委现行标准对报送的行政许可和行政处罚数据进行核查，得分＝合规率（合规数据量／报送数据总量）</w:t>
            </w:r>
            <w:r>
              <w:rPr>
                <w:rFonts w:hint="eastAsia" w:ascii="CESI仿宋-GB18030" w:hAnsi="CESI仿宋-GB18030" w:eastAsia="仿宋_GB2312" w:cs="CESI仿宋-GB18030"/>
                <w:sz w:val="21"/>
                <w:szCs w:val="21"/>
                <w:lang w:val="en-US" w:eastAsia="zh-CN"/>
              </w:rPr>
              <w:t>x</w:t>
            </w:r>
            <w:r>
              <w:rPr>
                <w:rFonts w:hint="eastAsia" w:ascii="CESI仿宋-GB18030" w:hAnsi="CESI仿宋-GB18030" w:eastAsia="仿宋_GB2312" w:cs="CESI仿宋-GB18030"/>
                <w:sz w:val="21"/>
                <w:szCs w:val="21"/>
                <w:lang w:eastAsia="zh-CN"/>
              </w:rPr>
              <w:t>5。</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4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通过省信用信息共享平台核查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计算得出</w:t>
            </w: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由县发改局负责对全县“双公示”数据报送合规性进行指导、推进、监督、协调，各数据产生单位负责具体落实。</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18"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“双公示”数据报送及时性情况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5</w:t>
            </w:r>
          </w:p>
        </w:tc>
        <w:tc>
          <w:tcPr>
            <w:tcW w:w="7392" w:type="dxa"/>
            <w:tcBorders>
              <w:top w:val="single" w:color="auto" w:sz="4" w:space="0"/>
              <w:left w:val="nil"/>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按照国家发展改革委现行标准对报送的行政许可和行政处罚数据进行核查，得分＝迟报率（迟报数据量／报送数据总量）x5。</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936"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县发改局负责对全县“双公示”数据报送及时性进行指导、推进、监督、协调，各数据产生单位负责具体落实。</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jc w:val="center"/>
        <w:rPr>
          <w:rFonts w:hint="eastAsia" w:ascii="CESI仿宋-GB18030" w:hAnsi="CESI仿宋-GB18030" w:eastAsia="仿宋_GB2312" w:cs="CESI仿宋-GB18030"/>
          <w:b/>
          <w:bCs/>
          <w:sz w:val="21"/>
          <w:szCs w:val="21"/>
          <w:lang w:eastAsia="zh-CN"/>
        </w:rPr>
        <w:sectPr>
          <w:headerReference r:id="rId9" w:type="default"/>
          <w:footerReference r:id="rId11" w:type="default"/>
          <w:headerReference r:id="rId10" w:type="even"/>
          <w:footerReference r:id="rId12"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pPr w:leftFromText="181" w:rightFromText="181" w:vertAnchor="text" w:horzAnchor="page" w:tblpXSpec="center" w:tblpY="80"/>
        <w:tblOverlap w:val="never"/>
        <w:tblW w:w="12737" w:type="dxa"/>
        <w:jc w:val="center"/>
        <w:tblLayout w:type="autofit"/>
        <w:tblCellMar>
          <w:top w:w="0" w:type="dxa"/>
          <w:left w:w="0" w:type="dxa"/>
          <w:bottom w:w="0" w:type="dxa"/>
          <w:right w:w="0" w:type="dxa"/>
        </w:tblCellMar>
      </w:tblPr>
      <w:tblGrid>
        <w:gridCol w:w="647"/>
        <w:gridCol w:w="624"/>
        <w:gridCol w:w="1260"/>
        <w:gridCol w:w="635"/>
        <w:gridCol w:w="7215"/>
        <w:gridCol w:w="1096"/>
        <w:gridCol w:w="1260"/>
      </w:tblGrid>
      <w:tr>
        <w:tblPrEx>
          <w:tblCellMar>
            <w:top w:w="0" w:type="dxa"/>
            <w:left w:w="0" w:type="dxa"/>
            <w:bottom w:w="0" w:type="dxa"/>
            <w:right w:w="0" w:type="dxa"/>
          </w:tblCellMar>
        </w:tblPrEx>
        <w:trPr>
          <w:trHeight w:val="754" w:hRule="atLeast"/>
          <w:jc w:val="center"/>
        </w:trPr>
        <w:tc>
          <w:tcPr>
            <w:tcW w:w="647"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一级指标</w:t>
            </w:r>
          </w:p>
        </w:tc>
        <w:tc>
          <w:tcPr>
            <w:tcW w:w="624"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二级指标</w:t>
            </w:r>
          </w:p>
        </w:tc>
        <w:tc>
          <w:tcPr>
            <w:tcW w:w="126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3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215"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09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6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107" w:hRule="atLeast"/>
          <w:jc w:val="center"/>
        </w:trPr>
        <w:tc>
          <w:tcPr>
            <w:tcW w:w="64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textDirection w:val="tbLrV"/>
            <w:vAlign w:val="center"/>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主动公开</w:t>
            </w:r>
          </w:p>
        </w:tc>
        <w:tc>
          <w:tcPr>
            <w:tcW w:w="624"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“双公示”数据报送完整性情况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5</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“双公示”信息台账记录与山西省信用信息共享平台中上报数据进行比对，台账中有而山西省信用信息共享平台中无的数据为瞒报数据。瞒报率＝瞒报数据量／台账数据量。得分＝(1-瞒报率）x</w:t>
            </w:r>
            <w:r>
              <w:rPr>
                <w:rFonts w:hint="eastAsia" w:ascii="CESI仿宋-GB18030" w:hAnsi="CESI仿宋-GB18030" w:eastAsia="仿宋_GB2312" w:cs="CESI仿宋-GB18030"/>
                <w:sz w:val="21"/>
                <w:szCs w:val="21"/>
                <w:lang w:val="en-US" w:eastAsia="zh-CN"/>
              </w:rPr>
              <w:t>5。</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通过查看被抽查单“双公示”台账 与省信用信息共享平台进行数据核对后得出</w:t>
            </w:r>
          </w:p>
        </w:tc>
      </w:tr>
      <w:tr>
        <w:tblPrEx>
          <w:tblCellMar>
            <w:top w:w="0" w:type="dxa"/>
            <w:left w:w="0" w:type="dxa"/>
            <w:bottom w:w="0" w:type="dxa"/>
            <w:right w:w="0" w:type="dxa"/>
          </w:tblCellMar>
        </w:tblPrEx>
        <w:trPr>
          <w:trHeight w:val="1429"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县发改局负责对全县“双公示”数据报送完整性进行指导、推进、监督、协调，各数据产生单位负责具体落实。</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754"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征地信息</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录入情况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未按时限、标准将征地信息录入“山西省征地信息公开查询系统”的，</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件扣0.5分，扣分上限为5分。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进行日常检查＋根据依申请公开内容倒查</w:t>
            </w:r>
          </w:p>
        </w:tc>
      </w:tr>
      <w:tr>
        <w:tblPrEx>
          <w:tblCellMar>
            <w:top w:w="0" w:type="dxa"/>
            <w:left w:w="0" w:type="dxa"/>
            <w:bottom w:w="0" w:type="dxa"/>
            <w:right w:w="0" w:type="dxa"/>
          </w:tblCellMar>
        </w:tblPrEx>
        <w:trPr>
          <w:trHeight w:val="726"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县自然资源局负责落实，按照时限和标准要求录入信息。</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403"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拟公属性认定</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非主动公开的政府文件台账管理</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1</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对属性为依申请公开、不予公开的公文未进行台账管理的，扣1分。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bottom"/>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被考核单位提供相关印证材料＋社会关注热点政务舆情倒查</w:t>
            </w:r>
          </w:p>
        </w:tc>
      </w:tr>
      <w:tr>
        <w:tblPrEx>
          <w:tblCellMar>
            <w:top w:w="0" w:type="dxa"/>
            <w:left w:w="0" w:type="dxa"/>
            <w:bottom w:w="0" w:type="dxa"/>
            <w:right w:w="0" w:type="dxa"/>
          </w:tblCellMar>
        </w:tblPrEx>
        <w:trPr>
          <w:trHeight w:val="1079"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县直各单位负责落实，12月31日之前对2020年全年属性为依申请公开和不予公开的文件进行评估审查，因情势变化可以公开的要予以公开。</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107"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函复类公文公开属性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认定情况</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内容具有普遍指导意义和作用，或涉及公众利益，有必要让公众知晓并接受公众监督的函复类公文未主动公开的，发现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件，扣0.5分，扣分上限为2分。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131"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部门联合发文公开属性</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认定情况</w:t>
            </w:r>
          </w:p>
        </w:tc>
        <w:tc>
          <w:tcPr>
            <w:tcW w:w="63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tabs>
                <w:tab w:val="left" w:pos="440"/>
              </w:tabs>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 xml:space="preserve"> 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部门联合发文的，牵头单位未对发文进行公开属性认定的，发现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w:t>
            </w:r>
            <w:r>
              <w:rPr>
                <w:rFonts w:hint="eastAsia" w:ascii="CESI仿宋-GB18030" w:hAnsi="CESI仿宋-GB18030" w:eastAsia="仿宋_GB2312" w:cs="CESI仿宋-GB18030"/>
                <w:sz w:val="21"/>
                <w:szCs w:val="21"/>
                <w:lang w:val="en-US" w:eastAsia="zh-CN"/>
              </w:rPr>
              <w:t>0.5</w:t>
            </w:r>
            <w:r>
              <w:rPr>
                <w:rFonts w:hint="eastAsia" w:ascii="CESI仿宋-GB18030" w:hAnsi="CESI仿宋-GB18030" w:eastAsia="仿宋_GB2312" w:cs="CESI仿宋-GB18030"/>
                <w:sz w:val="21"/>
                <w:szCs w:val="21"/>
                <w:lang w:eastAsia="zh-CN"/>
              </w:rPr>
              <w:t>分，扣分上限为2分。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　</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r>
    </w:tbl>
    <w:p>
      <w:pPr>
        <w:tabs>
          <w:tab w:val="left" w:pos="9422"/>
        </w:tabs>
        <w:bidi w:val="0"/>
        <w:jc w:val="left"/>
        <w:rPr>
          <w:rFonts w:hint="eastAsia" w:ascii="CESI仿宋-GB18030" w:hAnsi="CESI仿宋-GB18030" w:eastAsia="CESI仿宋-GB18030" w:cs="CESI仿宋-GB18030"/>
          <w:lang w:val="en-US" w:eastAsia="zh-CN"/>
        </w:rPr>
        <w:sectPr>
          <w:footerReference r:id="rId13" w:type="default"/>
          <w:footerReference r:id="rId14"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6"/>
        <w:tblW w:w="12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573"/>
        <w:gridCol w:w="1166"/>
        <w:gridCol w:w="537"/>
        <w:gridCol w:w="7270"/>
        <w:gridCol w:w="1602"/>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27" w:type="dxa"/>
            <w:vAlign w:val="center"/>
          </w:tcPr>
          <w:p>
            <w:pPr>
              <w:keepNext w:val="0"/>
              <w:keepLines w:val="0"/>
              <w:suppressLineNumbers w:val="0"/>
              <w:autoSpaceDE w:val="0"/>
              <w:autoSpaceDN w:val="0"/>
              <w:spacing w:before="0" w:beforeAutospacing="0" w:after="0" w:afterAutospacing="0"/>
              <w:ind w:left="-220" w:leftChars="-100" w:right="-249" w:rightChars="-113" w:firstLine="221" w:firstLineChars="105"/>
              <w:jc w:val="both"/>
              <w:rPr>
                <w:rFonts w:hint="eastAsia"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一级</w:t>
            </w:r>
          </w:p>
          <w:p>
            <w:pPr>
              <w:keepNext w:val="0"/>
              <w:keepLines w:val="0"/>
              <w:suppressLineNumbers w:val="0"/>
              <w:autoSpaceDE w:val="0"/>
              <w:autoSpaceDN w:val="0"/>
              <w:spacing w:before="0" w:beforeAutospacing="0" w:after="0" w:afterAutospacing="0"/>
              <w:ind w:left="-220" w:leftChars="-100" w:right="-249" w:rightChars="-113" w:firstLine="221" w:firstLineChars="105"/>
              <w:jc w:val="both"/>
              <w:rPr>
                <w:rFonts w:hint="default"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指标</w:t>
            </w:r>
          </w:p>
        </w:tc>
        <w:tc>
          <w:tcPr>
            <w:tcW w:w="573" w:type="dxa"/>
            <w:vAlign w:val="center"/>
          </w:tcPr>
          <w:p>
            <w:pPr>
              <w:keepNext w:val="0"/>
              <w:keepLines w:val="0"/>
              <w:suppressLineNumbers w:val="0"/>
              <w:autoSpaceDE w:val="0"/>
              <w:autoSpaceDN w:val="0"/>
              <w:spacing w:before="0" w:beforeAutospacing="0" w:after="0" w:afterAutospacing="0"/>
              <w:ind w:left="0" w:right="-301" w:rightChars="-137"/>
              <w:jc w:val="both"/>
              <w:rPr>
                <w:rFonts w:hint="eastAsia"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二级</w:t>
            </w:r>
          </w:p>
          <w:p>
            <w:pPr>
              <w:keepNext w:val="0"/>
              <w:keepLines w:val="0"/>
              <w:suppressLineNumbers w:val="0"/>
              <w:autoSpaceDE w:val="0"/>
              <w:autoSpaceDN w:val="0"/>
              <w:spacing w:before="0" w:beforeAutospacing="0" w:after="0" w:afterAutospacing="0"/>
              <w:ind w:left="0" w:right="-301" w:rightChars="-137"/>
              <w:jc w:val="both"/>
              <w:rPr>
                <w:rFonts w:hint="default"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指标</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三级指标</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27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扣分标准</w:t>
            </w:r>
          </w:p>
        </w:tc>
        <w:tc>
          <w:tcPr>
            <w:tcW w:w="160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b/>
                <w:bCs/>
                <w:sz w:val="21"/>
                <w:szCs w:val="21"/>
                <w:lang w:eastAsia="zh-CN"/>
              </w:rPr>
              <w:t>加分标准</w:t>
            </w: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依</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请</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开</w:t>
            </w: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函询回复</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对省政府办公厅、市政府办公室函询的回复</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无特殊情况和理由，未按要求回复省政府办公厅、市政府办公室函询的，每一件扣0.5分，扣分上限为1分。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根据日常工作情况进行扣分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规范</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答复</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对依申请公开的规范答复情况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抽查本年度依申请公开的答复案卷，答复办理不规范的，每件扣1分，扣分上限为2分。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权利</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保障</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对申请人投诉举报的处理</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政务公开主管部门收到投诉举报查实的或发现其他不规范答复问题的，每件扣1分，扣分上限为2分。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根据查证情况扣分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解读咨询回应</w:t>
            </w:r>
          </w:p>
        </w:tc>
        <w:tc>
          <w:tcPr>
            <w:tcW w:w="573"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解读责任</w:t>
            </w:r>
          </w:p>
        </w:tc>
        <w:tc>
          <w:tcPr>
            <w:tcW w:w="1166" w:type="dxa"/>
            <w:vAlign w:val="center"/>
          </w:tcPr>
          <w:p>
            <w:pPr>
              <w:keepNext w:val="0"/>
              <w:keepLines w:val="0"/>
              <w:suppressLineNumbers w:val="0"/>
              <w:tabs>
                <w:tab w:val="left" w:pos="1100"/>
              </w:tabs>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应解读，尽解读</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政策性文件没有解读，也没有说明不作解读的依据和理由的，发现一件，扣0.5分，扣分上限为3分。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以县政府和县政府办公室名义发文的解读情况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以县政府和县政府办公室名义发文，未按要求对文件进行解读的，每一件扣0.5分，扣分上限为2分。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根据日常工作情况进行扣分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参加新闻发布会</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未按要求出席省、市、县政府新闻发布会的，每一次扣0.5分，扣分上限为2分 。</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单位一把手出席省、市、县政府新闻发布会的，每一次加0.5分，加分上限为3分</w:t>
            </w: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bl>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CESI仿宋-GB18030" w:hAnsi="CESI仿宋-GB18030" w:eastAsia="仿宋_GB2312" w:cs="CESI仿宋-GB18030"/>
          <w:sz w:val="32"/>
          <w:szCs w:val="32"/>
          <w:lang w:eastAsia="zh-CN"/>
        </w:rPr>
      </w:pPr>
    </w:p>
    <w:p>
      <w:pPr>
        <w:jc w:val="center"/>
        <w:rPr>
          <w:rFonts w:hint="eastAsia" w:ascii="CESI仿宋-GB18030" w:hAnsi="CESI仿宋-GB18030" w:eastAsia="仿宋_GB2312" w:cs="CESI仿宋-GB18030"/>
          <w:b/>
          <w:bCs/>
          <w:sz w:val="21"/>
          <w:szCs w:val="21"/>
          <w:lang w:eastAsia="zh-CN"/>
        </w:rPr>
        <w:sectPr>
          <w:footerReference r:id="rId15" w:type="default"/>
          <w:footerReference r:id="rId16"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W w:w="12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608"/>
        <w:gridCol w:w="1124"/>
        <w:gridCol w:w="523"/>
        <w:gridCol w:w="7064"/>
        <w:gridCol w:w="1660"/>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6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一级指标</w:t>
            </w:r>
          </w:p>
        </w:tc>
        <w:tc>
          <w:tcPr>
            <w:tcW w:w="237" w:type="pct"/>
            <w:vAlign w:val="center"/>
          </w:tcPr>
          <w:p>
            <w:pPr>
              <w:keepNext w:val="0"/>
              <w:keepLines w:val="0"/>
              <w:suppressLineNumbers w:val="0"/>
              <w:autoSpaceDE w:val="0"/>
              <w:autoSpaceDN w:val="0"/>
              <w:spacing w:before="0" w:beforeAutospacing="0" w:after="0" w:afterAutospacing="0"/>
              <w:ind w:left="-440" w:leftChars="-200" w:right="-257" w:rightChars="-117" w:firstLine="440" w:firstLineChars="209"/>
              <w:jc w:val="both"/>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440" w:leftChars="-200" w:right="-257" w:rightChars="-117" w:firstLine="440" w:firstLineChars="209"/>
              <w:jc w:val="both"/>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赋</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分</w:t>
            </w:r>
          </w:p>
        </w:tc>
        <w:tc>
          <w:tcPr>
            <w:tcW w:w="2753"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64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4" w:type="pct"/>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解读咨询回应</w:t>
            </w:r>
          </w:p>
        </w:tc>
        <w:tc>
          <w:tcPr>
            <w:tcW w:w="237" w:type="pct"/>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解读比例</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多样化解读占比</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多样化解读量占政策解读总量不得少于90%,每降低两个百分点，扣0.5分，扣分上限为4分。</w:t>
            </w:r>
          </w:p>
        </w:tc>
        <w:tc>
          <w:tcPr>
            <w:tcW w:w="647" w:type="pct"/>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多样化解读申报后，被省政府微信公众号采用，综合全年点击量及社会效果等因素，前50名每一件加0.5分，加分上限为5分</w:t>
            </w:r>
          </w:p>
        </w:tc>
        <w:tc>
          <w:tcPr>
            <w:tcW w:w="452" w:type="pct"/>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发布渠道占比情况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在政府网站做好政策解读的同时，在非政府网站渠道发布的政策解读量占政策解读总量不得少于50% ,每降低一个百分点，扣0.5分，扣分上限为5分。</w:t>
            </w:r>
          </w:p>
        </w:tc>
        <w:tc>
          <w:tcPr>
            <w:tcW w:w="647"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452" w:type="pct"/>
            <w:vMerge w:val="continue"/>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咨询责任</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谁定政策谁做咨询的情况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政策制定机关要积极解答政策执行机关和企业、群众的咨询。未开展政策咨询服务、开通政策咨询渠道的，扣2分。</w:t>
            </w:r>
          </w:p>
        </w:tc>
        <w:tc>
          <w:tcPr>
            <w:tcW w:w="64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4"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精准公开</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提升政务公开服务精准度</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p>
        </w:tc>
        <w:tc>
          <w:tcPr>
            <w:tcW w:w="647"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针对管理对象或服务对象进行定点、定向公开，有多样化、个性化、精准化公开举措，社会效果好的，每一领域加</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分</w:t>
            </w: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bl>
    <w:p>
      <w:pPr>
        <w:jc w:val="center"/>
        <w:rPr>
          <w:rFonts w:hint="eastAsia" w:ascii="CESI仿宋-GB18030" w:hAnsi="CESI仿宋-GB18030" w:eastAsia="仿宋_GB2312" w:cs="CESI仿宋-GB18030"/>
          <w:b/>
          <w:bCs/>
          <w:sz w:val="21"/>
          <w:szCs w:val="21"/>
          <w:lang w:eastAsia="zh-CN"/>
        </w:rPr>
        <w:sectPr>
          <w:headerReference r:id="rId17" w:type="default"/>
          <w:footerReference r:id="rId19" w:type="default"/>
          <w:headerReference r:id="rId18" w:type="even"/>
          <w:footerReference r:id="rId20"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5"/>
        <w:tblW w:w="12935" w:type="dxa"/>
        <w:jc w:val="center"/>
        <w:tblLayout w:type="fixed"/>
        <w:tblCellMar>
          <w:top w:w="0" w:type="dxa"/>
          <w:left w:w="0" w:type="dxa"/>
          <w:bottom w:w="0" w:type="dxa"/>
          <w:right w:w="0" w:type="dxa"/>
        </w:tblCellMar>
      </w:tblPr>
      <w:tblGrid>
        <w:gridCol w:w="662"/>
        <w:gridCol w:w="629"/>
        <w:gridCol w:w="1235"/>
        <w:gridCol w:w="630"/>
        <w:gridCol w:w="7382"/>
        <w:gridCol w:w="1159"/>
        <w:gridCol w:w="1238"/>
      </w:tblGrid>
      <w:tr>
        <w:tblPrEx>
          <w:tblCellMar>
            <w:top w:w="0" w:type="dxa"/>
            <w:left w:w="0" w:type="dxa"/>
            <w:bottom w:w="0" w:type="dxa"/>
            <w:right w:w="0" w:type="dxa"/>
          </w:tblCellMar>
        </w:tblPrEx>
        <w:trPr>
          <w:trHeight w:val="969"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2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3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3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8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1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38"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550" w:hRule="atLeast"/>
          <w:jc w:val="center"/>
        </w:trPr>
        <w:tc>
          <w:tcPr>
            <w:tcW w:w="662" w:type="dxa"/>
            <w:vMerge w:val="restart"/>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解读咨询回应</w:t>
            </w:r>
          </w:p>
        </w:tc>
        <w:tc>
          <w:tcPr>
            <w:tcW w:w="629"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互动回应</w:t>
            </w: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回应督办</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落实情况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82" w:type="dxa"/>
            <w:tcBorders>
              <w:top w:val="single" w:color="auto" w:sz="4" w:space="0"/>
              <w:left w:val="nil"/>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未按要求及时核实、处置、回应政务舆情并报送县政府办公室的，每一件，扣1分，扣分上限为3分。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　</w:t>
            </w:r>
          </w:p>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根据省政府办公厅日常工作记录情况扣分</w:t>
            </w:r>
          </w:p>
        </w:tc>
      </w:tr>
      <w:tr>
        <w:tblPrEx>
          <w:tblCellMar>
            <w:top w:w="0" w:type="dxa"/>
            <w:left w:w="0" w:type="dxa"/>
            <w:bottom w:w="0" w:type="dxa"/>
            <w:right w:w="0" w:type="dxa"/>
          </w:tblCellMar>
        </w:tblPrEx>
        <w:trPr>
          <w:trHeight w:val="2732" w:hRule="atLeast"/>
          <w:jc w:val="center"/>
        </w:trPr>
        <w:tc>
          <w:tcPr>
            <w:tcW w:w="662"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9"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互动回应</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渠道情况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1</w:t>
            </w: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政务新媒体未建立有效回应渠道的，扣1分。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政务新媒体开通留言、评论功能，并积极与网民互动的，加2分</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印证材料</w:t>
            </w:r>
          </w:p>
        </w:tc>
      </w:tr>
      <w:tr>
        <w:tblPrEx>
          <w:tblCellMar>
            <w:top w:w="0" w:type="dxa"/>
            <w:left w:w="0" w:type="dxa"/>
            <w:bottom w:w="0" w:type="dxa"/>
            <w:right w:w="0" w:type="dxa"/>
          </w:tblCellMar>
        </w:tblPrEx>
        <w:trPr>
          <w:trHeight w:val="934" w:hRule="atLeast"/>
          <w:jc w:val="center"/>
        </w:trPr>
        <w:tc>
          <w:tcPr>
            <w:tcW w:w="662"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政务公开平台建设管理与基础工作库数据维护</w:t>
            </w:r>
          </w:p>
        </w:tc>
        <w:tc>
          <w:tcPr>
            <w:tcW w:w="629"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政府公报</w:t>
            </w: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发布情况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2</w:t>
            </w: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全年未发布政府部门规范性文件的，扣1分；公众获取渠道不合理的，扣1分。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根据检查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情况扣分</w:t>
            </w:r>
          </w:p>
        </w:tc>
      </w:tr>
      <w:tr>
        <w:tblPrEx>
          <w:tblCellMar>
            <w:top w:w="0" w:type="dxa"/>
            <w:left w:w="0" w:type="dxa"/>
            <w:bottom w:w="0" w:type="dxa"/>
            <w:right w:w="0" w:type="dxa"/>
          </w:tblCellMar>
        </w:tblPrEx>
        <w:trPr>
          <w:trHeight w:val="2414" w:hRule="atLeast"/>
          <w:jc w:val="center"/>
        </w:trPr>
        <w:tc>
          <w:tcPr>
            <w:tcW w:w="662"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9"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阅读体验</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2</w:t>
            </w:r>
          </w:p>
          <w:p>
            <w:pPr>
              <w:keepNext w:val="0"/>
              <w:keepLines w:val="0"/>
              <w:suppressLineNumbers w:val="0"/>
              <w:autoSpaceDE w:val="0"/>
              <w:autoSpaceDN w:val="0"/>
              <w:bidi w:val="0"/>
              <w:spacing w:before="0" w:beforeAutospacing="0" w:after="0" w:afterAutospacing="0"/>
              <w:ind w:left="0" w:right="0"/>
              <w:rPr>
                <w:rFonts w:hint="eastAsia" w:ascii="宋体" w:hAnsi="宋体" w:eastAsia="宋体" w:cs="宋体"/>
                <w:sz w:val="22"/>
                <w:szCs w:val="22"/>
                <w:lang w:val="en-US" w:eastAsia="zh-CN" w:bidi="ar-SA"/>
              </w:rPr>
            </w:pPr>
          </w:p>
          <w:p>
            <w:pPr>
              <w:keepNext w:val="0"/>
              <w:keepLines w:val="0"/>
              <w:suppressLineNumbers w:val="0"/>
              <w:autoSpaceDE w:val="0"/>
              <w:autoSpaceDN w:val="0"/>
              <w:bidi w:val="0"/>
              <w:spacing w:before="0" w:beforeAutospacing="0" w:after="0" w:afterAutospacing="0"/>
              <w:ind w:left="0" w:right="0" w:firstLine="480" w:firstLineChars="0"/>
              <w:jc w:val="center"/>
              <w:rPr>
                <w:rFonts w:hint="eastAsia"/>
                <w:lang w:val="en-US" w:eastAsia="zh-CN"/>
              </w:rPr>
            </w:pP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未在规范性文件发布后5个工作日内发布电子版，或电子版与纸质版不一致的，每一件，扣0.5分，扣分上限为3分。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jc w:val="both"/>
        <w:rPr>
          <w:rFonts w:hint="eastAsia" w:ascii="CESI仿宋-GB18030" w:hAnsi="CESI仿宋-GB18030" w:eastAsia="仿宋_GB2312" w:cs="CESI仿宋-GB18030"/>
          <w:b/>
          <w:bCs/>
          <w:sz w:val="21"/>
          <w:szCs w:val="21"/>
          <w:lang w:eastAsia="zh-CN"/>
        </w:rPr>
        <w:sectPr>
          <w:footerReference r:id="rId21" w:type="default"/>
          <w:footerReference r:id="rId22"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W w:w="12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74"/>
        <w:gridCol w:w="1290"/>
        <w:gridCol w:w="586"/>
        <w:gridCol w:w="6967"/>
        <w:gridCol w:w="1099"/>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8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一级指标</w:t>
            </w:r>
          </w:p>
        </w:tc>
        <w:tc>
          <w:tcPr>
            <w:tcW w:w="67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696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09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w:t>
            </w:r>
            <w:r>
              <w:rPr>
                <w:rFonts w:hint="eastAsia" w:ascii="CESI仿宋-GB18030" w:hAnsi="CESI仿宋-GB18030" w:eastAsia="仿宋_GB2312" w:cs="CESI仿宋-GB18030"/>
                <w:b/>
                <w:bCs/>
                <w:sz w:val="21"/>
                <w:szCs w:val="21"/>
                <w:lang w:val="en-US" w:eastAsia="zh-CN"/>
              </w:rPr>
              <w:t>标</w:t>
            </w:r>
            <w:r>
              <w:rPr>
                <w:rFonts w:hint="eastAsia" w:ascii="CESI仿宋-GB18030" w:hAnsi="CESI仿宋-GB18030" w:eastAsia="仿宋_GB2312" w:cs="CESI仿宋-GB18030"/>
                <w:b/>
                <w:bCs/>
                <w:sz w:val="21"/>
                <w:szCs w:val="21"/>
                <w:lang w:eastAsia="zh-CN"/>
              </w:rPr>
              <w:t>准</w:t>
            </w: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82" w:type="dxa"/>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政务公开平台建设管理与基础工作库数据维护</w:t>
            </w:r>
          </w:p>
        </w:tc>
        <w:tc>
          <w:tcPr>
            <w:tcW w:w="674"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平台安全</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IPv6</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改造情况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11月底前县政府网站未完成IPv6改造的，扣1分；三级页面链接IPV6支持率未达100%的，扣0.5分。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技术检查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网站安全</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保障情况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各三级以上政府网站当年未完成等保测评的，扣2分；因安全问题被省委网信办或省公安厅约谈或通报的，扣1分。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被考核单位提供相关印证材料＋函询省、市、县网信办和公安部门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专栏专题专区</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公开专栏</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未在网站主页开设“信用中国（城市名）”链接的，扣1分；“政府信息公开平台”建设、管理和维护不符合国家要求的，每发现一处，扣0.5分，扣分上限为2分。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公开专题</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highlight w:val="red"/>
                <w:lang w:eastAsia="zh-CN"/>
              </w:rPr>
            </w:pPr>
            <w:r>
              <w:rPr>
                <w:rFonts w:hint="eastAsia" w:ascii="CESI仿宋-GB18030" w:hAnsi="CESI仿宋-GB18030" w:eastAsia="仿宋_GB2312" w:cs="CESI仿宋-GB18030"/>
                <w:sz w:val="21"/>
                <w:szCs w:val="21"/>
                <w:lang w:eastAsia="zh-CN"/>
              </w:rPr>
              <w:t>未围绕我省转型发展“十四五”规划、法治政府建设、“放管服效”改革、优化营商环境等主题以及政务公开各重点领域制作政策公开及解读专题的，扣2分。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“我为政府网站找错”</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链接及</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办理情况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在网站首页及其他页面底部功能区规范添加“我为政府网站找错”入口的，扣2分；网民留言超过2个工作日未答复的，每发现一条扣1分；存在答复内容质量不高，有推谈、敷衍等现象的，每发现一条扣1分，扣分上限为3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公开专区建设情况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1</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eastAsia="zh-CN"/>
              </w:rPr>
              <w:t>未完成政务公开专区建设任务的扣</w:t>
            </w:r>
            <w:r>
              <w:rPr>
                <w:rFonts w:hint="eastAsia" w:ascii="CESI仿宋-GB18030" w:hAnsi="CESI仿宋-GB18030" w:eastAsia="仿宋_GB2312" w:cs="CESI仿宋-GB18030"/>
                <w:sz w:val="21"/>
                <w:szCs w:val="21"/>
                <w:lang w:val="en-US" w:eastAsia="zh-CN"/>
              </w:rPr>
              <w:t>1分。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实地检查县行政审批局</w:t>
            </w:r>
          </w:p>
        </w:tc>
      </w:tr>
    </w:tbl>
    <w:p>
      <w:pPr>
        <w:rPr>
          <w:lang w:eastAsia="zh-CN"/>
        </w:rPr>
        <w:sectPr>
          <w:footerReference r:id="rId23" w:type="default"/>
          <w:footerReference r:id="rId24"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p/>
    <w:tbl>
      <w:tblPr>
        <w:tblStyle w:val="6"/>
        <w:tblW w:w="12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672"/>
        <w:gridCol w:w="1284"/>
        <w:gridCol w:w="584"/>
        <w:gridCol w:w="7950"/>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67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9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60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w:t>
            </w:r>
          </w:p>
        </w:tc>
        <w:tc>
          <w:tcPr>
            <w:tcW w:w="672" w:type="dxa"/>
            <w:vMerge w:val="restart"/>
            <w:vAlign w:val="center"/>
          </w:tcPr>
          <w:p>
            <w:pPr>
              <w:keepNext w:val="0"/>
              <w:keepLines w:val="0"/>
              <w:suppressLineNumbers w:val="0"/>
              <w:autoSpaceDE w:val="0"/>
              <w:autoSpaceDN w:val="0"/>
              <w:spacing w:before="0" w:beforeAutospacing="0" w:after="0" w:afterAutospacing="0"/>
              <w:ind w:left="0" w:right="15" w:rightChars="7"/>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监管责任</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检查通报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未完成每季度对全县政府网站和政务新媒体全覆盖检查的，少一次，扣0.5分，扣分上限为2分。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整改落实</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未根据国办、省政府办公厅、市政府办公室通报情况督促整改落实的，有一项，扣 l分，扣分上限为3分。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基础工作库数据维护</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网站与新媒体报送系统数据维护</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全国政府网站信息报送系统、全国政务新媒体信息报送系统中信息更新不准确、不及时，或存在漏报瞒报的，每发现1处，扣0.5分，扣分上限为4分。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信用修复</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核查情况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按照国家信用修复工作要求进行核查规范性和时效性：</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规范性得分=(1-错误率）</w:t>
            </w:r>
            <w:r>
              <w:rPr>
                <w:rFonts w:hint="eastAsia" w:ascii="CESI仿宋-GB18030" w:hAnsi="CESI仿宋-GB18030" w:eastAsia="仿宋_GB2312" w:cs="CESI仿宋-GB18030"/>
                <w:sz w:val="21"/>
                <w:szCs w:val="21"/>
                <w:lang w:val="en-US" w:eastAsia="zh-CN"/>
              </w:rPr>
              <w:t>x</w:t>
            </w:r>
            <w:r>
              <w:rPr>
                <w:rFonts w:hint="eastAsia" w:ascii="CESI仿宋-GB18030" w:hAnsi="CESI仿宋-GB18030" w:eastAsia="仿宋_GB2312" w:cs="CESI仿宋-GB18030"/>
                <w:sz w:val="21"/>
                <w:szCs w:val="21"/>
                <w:lang w:eastAsia="zh-CN"/>
              </w:rPr>
              <w:t>2(错误率＝核查错误量／信用修复总量；核查错误</w:t>
            </w:r>
            <w:r>
              <w:rPr>
                <w:rFonts w:hint="eastAsia" w:ascii="CESI仿宋-GB18030" w:hAnsi="CESI仿宋-GB18030" w:eastAsia="仿宋_GB2312" w:cs="CESI仿宋-GB18030"/>
                <w:sz w:val="21"/>
                <w:szCs w:val="21"/>
                <w:lang w:val="en-US" w:eastAsia="zh-CN"/>
              </w:rPr>
              <w:t>量</w:t>
            </w:r>
            <w:r>
              <w:rPr>
                <w:rFonts w:hint="eastAsia" w:ascii="CESI仿宋-GB18030" w:hAnsi="CESI仿宋-GB18030" w:eastAsia="仿宋_GB2312" w:cs="CESI仿宋-GB18030"/>
                <w:sz w:val="21"/>
                <w:szCs w:val="21"/>
                <w:lang w:eastAsia="zh-CN"/>
              </w:rPr>
              <w:t>＝省级复审或国家终审拒绝的数量。核查错误率超过30%的，直接扣2分，此项最高得分2分）。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季度通报</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省政府办公厅季度通报情况考核</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运用</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10</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根据全年网站和新媒体检查通报情况对11个设区市进行排名（可并列），根据排名情况赋分，分别为第一名得10分，第二名得9分，第三名得8分以此类推。</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bl>
    <w:p>
      <w:pPr>
        <w:rPr>
          <w:lang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pPr w:leftFromText="180" w:rightFromText="180" w:vertAnchor="text" w:horzAnchor="page" w:tblpXSpec="center" w:tblpY="480"/>
        <w:tblOverlap w:val="never"/>
        <w:tblW w:w="12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646"/>
        <w:gridCol w:w="1236"/>
        <w:gridCol w:w="540"/>
        <w:gridCol w:w="7075"/>
        <w:gridCol w:w="1152"/>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77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64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3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4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075"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15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9" w:hRule="atLeast"/>
          <w:jc w:val="center"/>
        </w:trPr>
        <w:tc>
          <w:tcPr>
            <w:tcW w:w="777" w:type="dxa"/>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综合加分项</w:t>
            </w:r>
          </w:p>
        </w:tc>
        <w:tc>
          <w:tcPr>
            <w:tcW w:w="10649" w:type="dxa"/>
            <w:gridSpan w:val="5"/>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（一）因成绩突出受到国家级、省部级表彰的先进或优秀单位（可累计），每项加5分；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（二）因成绩突出，被人民日报、中国政府网、中央电视台、新华网主站正面专题报道的；被省领导批示表扬或在全省大会上点名表扬的，每项加3分；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（三）连续三年在政务公开工作考核中取得优秀等次，并在省级或市级政务公开工作大会或培训会上做过经验交流发言的，加2分；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（四）入选全省政务公开“亮点工程”的，每项每单位加2分（可累计）；</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加分后总分超过100分的，以100分计。</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各被考核单位提供印证材料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777" w:type="dxa"/>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重大扣分项</w:t>
            </w:r>
          </w:p>
        </w:tc>
        <w:tc>
          <w:tcPr>
            <w:tcW w:w="10649" w:type="dxa"/>
            <w:gridSpan w:val="5"/>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考核中有下列情形的，每发现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起，在总得分的基础上扣10分：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（一）因依申请公开被提起行政复议或行政诉讼，被判败诉的；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（二）政府公报、政府网站、政府系统政务新媒体等公开平台出现严重低级错误被通报或引起较大范围负面舆情的；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（三）政府网站、政府系统政务新媒体存在严重安全漏洞、非法链接或造成失泄密事件的；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（四）因政策解读、回应公众关切不及时、不妥当引起较大范围负面舆情的；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（五）在接受政务公开工作考核时弄虚作假的。</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根据考核情况评定</w:t>
            </w:r>
          </w:p>
        </w:tc>
      </w:tr>
    </w:tbl>
    <w:p>
      <w:pPr>
        <w:jc w:val="both"/>
        <w:rPr>
          <w:rFonts w:hint="eastAsia" w:ascii="方正小标宋_GBK" w:hAnsi="方正小标宋_GBK" w:eastAsia="方正小标宋_GBK" w:cs="方正小标宋_GBK"/>
          <w:sz w:val="32"/>
          <w:szCs w:val="32"/>
          <w:lang w:val="en-US" w:eastAsia="zh-CN"/>
        </w:rPr>
      </w:pPr>
      <w:r>
        <w:rPr>
          <w:sz w:val="22"/>
        </w:rPr>
        <mc:AlternateContent>
          <mc:Choice Requires="wps">
            <w:drawing>
              <wp:anchor distT="0" distB="0" distL="114300" distR="114300" simplePos="0" relativeHeight="251661312" behindDoc="0" locked="0" layoutInCell="1" allowOverlap="1">
                <wp:simplePos x="0" y="0"/>
                <wp:positionH relativeFrom="column">
                  <wp:posOffset>-140335</wp:posOffset>
                </wp:positionH>
                <wp:positionV relativeFrom="paragraph">
                  <wp:posOffset>4445</wp:posOffset>
                </wp:positionV>
                <wp:extent cx="0" cy="5731510"/>
                <wp:effectExtent l="0" t="0" r="0" b="0"/>
                <wp:wrapNone/>
                <wp:docPr id="20" name="直接连接符 20"/>
                <wp:cNvGraphicFramePr/>
                <a:graphic xmlns:a="http://schemas.openxmlformats.org/drawingml/2006/main">
                  <a:graphicData uri="http://schemas.microsoft.com/office/word/2010/wordprocessingShape">
                    <wps:wsp>
                      <wps:cNvCnPr/>
                      <wps:spPr>
                        <a:xfrm>
                          <a:off x="1019810" y="1127125"/>
                          <a:ext cx="0" cy="57315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05pt;margin-top:0.35pt;height:451.3pt;width:0pt;z-index:251661312;mso-width-relative:page;mso-height-relative:page;" filled="f" stroked="t" coordsize="21600,21600" o:gfxdata="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7IS8y1QAA&#10;AAgBAAAPAAAAAAAAAAEAIAAAADgAAABkcnMvZG93bnJldi54bWxQSwECFAAUAAAACACHTuJAJBlF&#10;HNIBAABxAwAADgAAAAAAAAABACAAAAA6AQAAZHJzL2Uyb0RvYy54bWxQSwUGAAAAAAYABgBZAQAA&#10;fgUAAAAA&#10;">
                <v:fill on="f" focussize="0,0"/>
                <v:stroke weight="0.5pt" color="#000000 [3213]" miterlimit="8" joinstyle="miter"/>
                <v:imagedata o:title=""/>
                <o:lock v:ext="edit" aspectratio="f"/>
              </v:line>
            </w:pict>
          </mc:Fallback>
        </mc:AlternateContent>
      </w:r>
      <w:r>
        <w:rPr>
          <w:sz w:val="22"/>
        </w:rPr>
        <mc:AlternateContent>
          <mc:Choice Requires="wps">
            <w:drawing>
              <wp:anchor distT="0" distB="0" distL="114300" distR="114300" simplePos="0" relativeHeight="251660288" behindDoc="0" locked="0" layoutInCell="1" allowOverlap="1">
                <wp:simplePos x="0" y="0"/>
                <wp:positionH relativeFrom="column">
                  <wp:posOffset>-528955</wp:posOffset>
                </wp:positionH>
                <wp:positionV relativeFrom="paragraph">
                  <wp:posOffset>7620</wp:posOffset>
                </wp:positionV>
                <wp:extent cx="0" cy="5728335"/>
                <wp:effectExtent l="4445" t="0" r="14605" b="5715"/>
                <wp:wrapNone/>
                <wp:docPr id="18" name="直接连接符 18"/>
                <wp:cNvGraphicFramePr/>
                <a:graphic xmlns:a="http://schemas.openxmlformats.org/drawingml/2006/main">
                  <a:graphicData uri="http://schemas.microsoft.com/office/word/2010/wordprocessingShape">
                    <wps:wsp>
                      <wps:cNvCnPr/>
                      <wps:spPr>
                        <a:xfrm>
                          <a:off x="613410" y="1152525"/>
                          <a:ext cx="0" cy="5728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1.65pt;margin-top:0.6pt;height:451.05pt;width:0pt;z-index:251660288;mso-width-relative:page;mso-height-relative:page;" filled="f" stroked="t" coordsize="21600,21600" o:gfxdata="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AQatkvUAAAA&#10;CQEAAA8AAAAAAAAAAQAgAAAAOAAAAGRycy9kb3ducmV2LnhtbFBLAQIUABQAAAAIAIdO4kBjBrPz&#10;0gEAAHADAAAOAAAAAAAAAAEAIAAAADkBAABkcnMvZTJvRG9jLnhtbFBLBQYAAAAABgAGAFkBAAB9&#10;BQAAAAA=&#10;">
                <v:fill on="f" focussize="0,0"/>
                <v:stroke weight="0.5pt" color="#000000 [3200]" miterlimit="8" joinstyle="miter"/>
                <v:imagedata o:title=""/>
                <o:lock v:ext="edit" aspectratio="f"/>
              </v:lin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-532130</wp:posOffset>
                </wp:positionH>
                <wp:positionV relativeFrom="paragraph">
                  <wp:posOffset>218440</wp:posOffset>
                </wp:positionV>
                <wp:extent cx="417830" cy="5504815"/>
                <wp:effectExtent l="0" t="0" r="1270" b="635"/>
                <wp:wrapNone/>
                <wp:docPr id="9" name="文本框 9"/>
                <wp:cNvGraphicFramePr/>
                <a:graphic xmlns:a="http://schemas.openxmlformats.org/drawingml/2006/main">
                  <a:graphicData uri="http://schemas.microsoft.com/office/word/2010/wordprocessingShape">
                    <wps:wsp>
                      <wps:cNvSpPr txBox="true"/>
                      <wps:spPr>
                        <a:xfrm>
                          <a:off x="0" y="0"/>
                          <a:ext cx="417830" cy="5504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_GB2312" w:eastAsia="仿宋_GB2312"/>
                                <w:color w:val="auto"/>
                                <w:sz w:val="28"/>
                                <w:szCs w:val="28"/>
                              </w:rPr>
                              <w:t xml:space="preserve">曲沃县人民政府办公室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202</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27</w:t>
                            </w:r>
                            <w:r>
                              <w:rPr>
                                <w:rFonts w:hint="eastAsia" w:ascii="仿宋_GB2312" w:eastAsia="仿宋_GB2312"/>
                                <w:color w:val="auto"/>
                                <w:sz w:val="28"/>
                                <w:szCs w:val="28"/>
                              </w:rPr>
                              <w:t>日印发</w:t>
                            </w:r>
                          </w:p>
                        </w:txbxContent>
                      </wps:txbx>
                      <wps:bodyPr rot="0" spcFirstLastPara="0" vertOverflow="overflow" horzOverflow="overflow" vert="vert"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41.9pt;margin-top:17.2pt;height:433.45pt;width:32.9pt;z-index:251659264;mso-width-relative:page;mso-height-relative:page;" fillcolor="#FFFFFF [3201]" filled="t" stroked="f" coordsize="21600,21600" o:gfxdata="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cZWiGNkAAAAKAQAA&#10;DwAAAAAAAAABACAAAAA4AAAAZHJzL2Rvd25yZXYueG1sUEsBAhQAFAAAAAgAh07iQFQsx+o7AgAA&#10;UwQAAA4AAAAAAAAAAQAgAAAAPgEAAGRycy9lMm9Eb2MueG1sUEsFBgAAAAAGAAYAWQEAAOsFAAAA&#10;AA==&#10;">
                <v:fill on="t" focussize="0,0"/>
                <v:stroke on="f" weight="0.5pt"/>
                <v:imagedata o:title=""/>
                <o:lock v:ext="edit" aspectratio="f"/>
                <v:textbox style="layout-flow:vertical;">
                  <w:txbxContent>
                    <w:p>
                      <w:r>
                        <w:rPr>
                          <w:rFonts w:hint="eastAsia" w:ascii="仿宋_GB2312" w:eastAsia="仿宋_GB2312"/>
                          <w:color w:val="auto"/>
                          <w:sz w:val="28"/>
                          <w:szCs w:val="28"/>
                        </w:rPr>
                        <w:t xml:space="preserve">曲沃县人民政府办公室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202</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27</w:t>
                      </w:r>
                      <w:r>
                        <w:rPr>
                          <w:rFonts w:hint="eastAsia" w:ascii="仿宋_GB2312" w:eastAsia="仿宋_GB2312"/>
                          <w:color w:val="auto"/>
                          <w:sz w:val="28"/>
                          <w:szCs w:val="28"/>
                        </w:rPr>
                        <w:t>日印发</w:t>
                      </w:r>
                    </w:p>
                  </w:txbxContent>
                </v:textbox>
              </v:shape>
            </w:pict>
          </mc:Fallback>
        </mc:AlternateContent>
      </w:r>
    </w:p>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jc w:val="center"/>
        <w:rPr>
          <w:rFonts w:hint="eastAsia" w:ascii="CESI黑体-GB18030" w:hAnsi="CESI黑体-GB18030" w:eastAsia="黑体" w:cs="CESI黑体-GB18030"/>
          <w:sz w:val="28"/>
          <w:szCs w:val="28"/>
          <w:lang w:val="en-US" w:eastAsia="zh-CN"/>
        </w:rPr>
      </w:pP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曲沃县</w:t>
      </w:r>
      <w:r>
        <w:rPr>
          <w:rFonts w:hint="eastAsia" w:ascii="方正小标宋_GBK" w:hAnsi="方正小标宋_GBK" w:eastAsia="方正小标宋_GBK" w:cs="方正小标宋_GBK"/>
          <w:sz w:val="44"/>
          <w:szCs w:val="44"/>
          <w:lang w:val="en-US" w:eastAsia="zh-CN"/>
        </w:rPr>
        <w:t>2021年度政务公开工作考核细则、评分标准、任务分工表</w:t>
      </w:r>
    </w:p>
    <w:p>
      <w:pPr>
        <w:jc w:val="both"/>
        <w:rPr>
          <w:rFonts w:hint="eastAsia" w:ascii="方正小标宋_GBK" w:hAnsi="方正小标宋_GBK" w:eastAsia="方正小标宋_GBK" w:cs="方正小标宋_GBK"/>
          <w:sz w:val="32"/>
          <w:szCs w:val="32"/>
          <w:lang w:val="en-US" w:eastAsia="zh-CN"/>
        </w:rPr>
      </w:pPr>
    </w:p>
    <w:tbl>
      <w:tblPr>
        <w:tblStyle w:val="5"/>
        <w:tblpPr w:leftFromText="180" w:rightFromText="180" w:vertAnchor="text" w:horzAnchor="page" w:tblpX="1857" w:tblpY="3"/>
        <w:tblOverlap w:val="never"/>
        <w:tblW w:w="13131" w:type="dxa"/>
        <w:jc w:val="center"/>
        <w:tblLayout w:type="autofit"/>
        <w:tblCellMar>
          <w:top w:w="0" w:type="dxa"/>
          <w:left w:w="0" w:type="dxa"/>
          <w:bottom w:w="0" w:type="dxa"/>
          <w:right w:w="0" w:type="dxa"/>
        </w:tblCellMar>
      </w:tblPr>
      <w:tblGrid>
        <w:gridCol w:w="617"/>
        <w:gridCol w:w="617"/>
        <w:gridCol w:w="1238"/>
        <w:gridCol w:w="752"/>
        <w:gridCol w:w="8239"/>
        <w:gridCol w:w="648"/>
        <w:gridCol w:w="1020"/>
      </w:tblGrid>
      <w:tr>
        <w:tblPrEx>
          <w:tblCellMar>
            <w:top w:w="0" w:type="dxa"/>
            <w:left w:w="0" w:type="dxa"/>
            <w:bottom w:w="0" w:type="dxa"/>
            <w:right w:w="0" w:type="dxa"/>
          </w:tblCellMar>
        </w:tblPrEx>
        <w:trPr>
          <w:trHeight w:val="824" w:hRule="atLeast"/>
          <w:jc w:val="center"/>
        </w:trPr>
        <w:tc>
          <w:tcPr>
            <w:tcW w:w="617"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17"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1238"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75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823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648"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02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cantSplit/>
          <w:trHeight w:val="1298" w:hRule="atLeast"/>
          <w:jc w:val="center"/>
        </w:trPr>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tabs>
                <w:tab w:val="left" w:pos="220"/>
              </w:tabs>
              <w:autoSpaceDE w:val="0"/>
              <w:autoSpaceDN w:val="0"/>
              <w:spacing w:before="0" w:beforeAutospacing="0" w:after="0" w:afterAutospacing="0"/>
              <w:ind w:left="113" w:right="113"/>
              <w:jc w:val="center"/>
              <w:rPr>
                <w:rFonts w:hint="default" w:ascii="CESI仿宋-GB18030" w:hAnsi="CESI仿宋-GB18030" w:eastAsia="CESI仿宋-GB18030" w:cs="CESI仿宋-GB18030"/>
                <w:b w:val="0"/>
                <w:bCs w:val="0"/>
                <w:sz w:val="21"/>
                <w:szCs w:val="21"/>
                <w:lang w:val="en-US" w:eastAsia="zh-CN"/>
              </w:rPr>
            </w:pPr>
            <w:r>
              <w:rPr>
                <w:rFonts w:hint="eastAsia" w:ascii="CESI仿宋-GB18030" w:hAnsi="CESI仿宋-GB18030" w:eastAsia="仿宋_GB2312" w:cs="CESI仿宋-GB18030"/>
                <w:b w:val="0"/>
                <w:bCs w:val="0"/>
                <w:color w:val="auto"/>
                <w:sz w:val="21"/>
                <w:szCs w:val="21"/>
                <w:lang w:val="en-US" w:eastAsia="zh-CN"/>
              </w:rPr>
              <w:t>组织领导与工作保障</w:t>
            </w:r>
          </w:p>
        </w:tc>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组织领导</w:t>
            </w: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研究部署相关工作情况</w:t>
            </w: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firstLine="0" w:firstLineChars="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对《山西省2021年政务公开工作要点》《临汾市2021年政务公开工作要点》特别是对行政执法公开、政务服务公开、市场监管公开、征地信息公开、财政信息公开等方面进行会议研究部署。以上5方面内容，每少研究一项，扣</w:t>
            </w:r>
            <w:r>
              <w:rPr>
                <w:rFonts w:hint="eastAsia" w:ascii="CESI仿宋-GB18030" w:hAnsi="CESI仿宋-GB18030" w:eastAsia="仿宋_GB2312" w:cs="CESI仿宋-GB18030"/>
                <w:b w:val="0"/>
                <w:bCs w:val="0"/>
                <w:sz w:val="21"/>
                <w:szCs w:val="21"/>
                <w:lang w:val="en-US" w:eastAsia="zh-CN"/>
              </w:rPr>
              <w:t>1</w:t>
            </w:r>
            <w:r>
              <w:rPr>
                <w:rFonts w:hint="eastAsia" w:ascii="CESI仿宋-GB18030" w:hAnsi="CESI仿宋-GB18030" w:eastAsia="仿宋_GB2312" w:cs="CESI仿宋-GB18030"/>
                <w:b w:val="0"/>
                <w:bCs w:val="0"/>
                <w:sz w:val="21"/>
                <w:szCs w:val="21"/>
                <w:lang w:eastAsia="zh-CN"/>
              </w:rPr>
              <w:t>分。扣分上限为4分。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b w:val="0"/>
                <w:bCs w:val="0"/>
                <w:sz w:val="21"/>
                <w:szCs w:val="21"/>
                <w:lang w:val="en-US" w:eastAsia="zh-CN"/>
              </w:rPr>
            </w:pP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查看会议纪要等</w:t>
            </w:r>
          </w:p>
        </w:tc>
      </w:tr>
      <w:tr>
        <w:tblPrEx>
          <w:tblCellMar>
            <w:top w:w="0" w:type="dxa"/>
            <w:left w:w="0" w:type="dxa"/>
            <w:bottom w:w="0" w:type="dxa"/>
            <w:right w:w="0" w:type="dxa"/>
          </w:tblCellMar>
        </w:tblPrEx>
        <w:trPr>
          <w:trHeight w:val="90"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p>
        </w:tc>
        <w:tc>
          <w:tcPr>
            <w:tcW w:w="8887"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firstLine="0" w:firstLineChars="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县司法局、行政审批局、市场监管局、自然资源局、财政局负责落实，分别对执法公开、政务服务公开、市场监管公开、征地信息公开、财政信息公开进行研究部署。2021年8月底之前完成，并将会议纪要抄送县政府信息室。</w:t>
            </w: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907"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leftChars="0" w:right="0" w:firstLine="0" w:firstLineChars="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及时出台或更新有关政策文件情况</w:t>
            </w:r>
          </w:p>
        </w:tc>
        <w:tc>
          <w:tcPr>
            <w:tcW w:w="752"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rightChars="0"/>
              <w:jc w:val="both"/>
              <w:textAlignment w:val="auto"/>
              <w:rPr>
                <w:rFonts w:hint="eastAsia" w:ascii="CESI仿宋-GB18030" w:hAnsi="CESI仿宋-GB18030" w:eastAsia="CESI仿宋-GB18030" w:cs="CESI仿宋-GB18030"/>
                <w:b w:val="0"/>
                <w:bCs w:val="0"/>
                <w:kern w:val="2"/>
                <w:sz w:val="21"/>
                <w:szCs w:val="21"/>
                <w:lang w:val="en-US" w:eastAsia="zh-CN" w:bidi="ar-SA"/>
              </w:rPr>
            </w:pPr>
            <w:r>
              <w:rPr>
                <w:rFonts w:hint="eastAsia" w:ascii="CESI仿宋-GB18030" w:hAnsi="CESI仿宋-GB18030" w:eastAsia="仿宋_GB2312" w:cs="CESI仿宋-GB18030"/>
                <w:b w:val="0"/>
                <w:bCs w:val="0"/>
                <w:sz w:val="21"/>
                <w:szCs w:val="21"/>
                <w:lang w:eastAsia="zh-CN"/>
              </w:rPr>
              <w:t>制定落实国办及省、市2021年度政务公开工作要点、“双公示”工作方案或任务分工等并在政府网站向社会公开，每少一项，扣1分，扣分上限为2分。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default" w:ascii="CESI仿宋-GB18030" w:hAnsi="CESI仿宋-GB18030" w:eastAsia="CESI仿宋-GB18030" w:cs="CESI仿宋-GB18030"/>
                <w:b w:val="0"/>
                <w:bCs w:val="0"/>
                <w:sz w:val="21"/>
                <w:szCs w:val="21"/>
                <w:lang w:val="en-US" w:eastAsia="zh-CN"/>
              </w:rPr>
            </w:pP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查看相关政府文件或工作方案等</w:t>
            </w:r>
          </w:p>
        </w:tc>
      </w:tr>
      <w:tr>
        <w:tblPrEx>
          <w:tblCellMar>
            <w:top w:w="0" w:type="dxa"/>
            <w:left w:w="0" w:type="dxa"/>
            <w:bottom w:w="0" w:type="dxa"/>
            <w:right w:w="0" w:type="dxa"/>
          </w:tblCellMar>
        </w:tblPrEx>
        <w:trPr>
          <w:trHeight w:val="960"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752"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8887"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由县政府信息中心</w:t>
            </w:r>
            <w:r>
              <w:rPr>
                <w:rFonts w:hint="eastAsia" w:ascii="CESI仿宋-GB18030" w:hAnsi="CESI仿宋-GB18030" w:eastAsia="仿宋_GB2312" w:cs="CESI仿宋-GB18030"/>
                <w:b w:val="0"/>
                <w:bCs w:val="0"/>
                <w:sz w:val="21"/>
                <w:szCs w:val="21"/>
                <w:lang w:val="en-US" w:eastAsia="zh-CN"/>
              </w:rPr>
              <w:t>负</w:t>
            </w:r>
            <w:r>
              <w:rPr>
                <w:rFonts w:hint="eastAsia" w:ascii="CESI仿宋-GB18030" w:hAnsi="CESI仿宋-GB18030" w:eastAsia="仿宋_GB2312" w:cs="CESI仿宋-GB18030"/>
                <w:b w:val="0"/>
                <w:bCs w:val="0"/>
                <w:sz w:val="21"/>
                <w:szCs w:val="21"/>
                <w:lang w:eastAsia="zh-CN"/>
              </w:rPr>
              <w:t>责制定落实国办及我省2021年政务公开工作要点的文件，由县发改局负责制定“双公示”工作方案或任务分工并在网站公开发布。</w:t>
            </w: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308" w:hRule="atLeast"/>
          <w:jc w:val="center"/>
        </w:trPr>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p>
        </w:tc>
        <w:tc>
          <w:tcPr>
            <w:tcW w:w="61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工作保障</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机构、人员、经费</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b w:val="0"/>
                <w:bCs w:val="0"/>
                <w:sz w:val="21"/>
                <w:szCs w:val="21"/>
                <w:lang w:eastAsia="zh-CN"/>
              </w:rPr>
              <w:t>保障情况</w:t>
            </w:r>
          </w:p>
        </w:tc>
        <w:tc>
          <w:tcPr>
            <w:tcW w:w="752"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val="0"/>
                <w:bCs w:val="0"/>
                <w:sz w:val="21"/>
                <w:szCs w:val="21"/>
              </w:rPr>
            </w:pPr>
            <w:r>
              <w:rPr>
                <w:rFonts w:hint="eastAsia" w:ascii="CESI仿宋-GB18030" w:hAnsi="CESI仿宋-GB18030" w:eastAsia="仿宋_GB2312" w:cs="CESI仿宋-GB18030"/>
                <w:b w:val="0"/>
                <w:bCs w:val="0"/>
                <w:sz w:val="21"/>
                <w:szCs w:val="21"/>
                <w:lang w:eastAsia="zh-CN"/>
              </w:rPr>
              <w:t>2</w:t>
            </w:r>
          </w:p>
        </w:tc>
        <w:tc>
          <w:tcPr>
            <w:tcW w:w="8239"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b w:val="0"/>
                <w:bCs w:val="0"/>
                <w:sz w:val="21"/>
                <w:szCs w:val="21"/>
                <w:lang w:eastAsia="zh-CN"/>
              </w:rPr>
            </w:pPr>
            <w:r>
              <w:rPr>
                <w:rFonts w:hint="eastAsia" w:ascii="CESI仿宋-GB18030" w:hAnsi="CESI仿宋-GB18030" w:eastAsia="仿宋_GB2312" w:cs="CESI仿宋-GB18030"/>
                <w:sz w:val="21"/>
                <w:szCs w:val="21"/>
                <w:lang w:eastAsia="zh-CN"/>
              </w:rPr>
              <w:t>对拟发公文公开属性认定、依申请公开的答复办理、政府网站及政务新媒体建设、政策解读咨询回应、公开专栏建设、“双公示”工作等方面未落实机构、人员、经费等方面保障的，每少一项，扣1分，扣分上限为2分。</w:t>
            </w:r>
          </w:p>
        </w:tc>
        <w:tc>
          <w:tcPr>
            <w:tcW w:w="648"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default" w:ascii="CESI仿宋-GB18030" w:hAnsi="CESI仿宋-GB18030" w:eastAsia="CESI仿宋-GB18030" w:cs="CESI仿宋-GB18030"/>
                <w:b w:val="0"/>
                <w:bCs w:val="0"/>
                <w:sz w:val="21"/>
                <w:szCs w:val="21"/>
                <w:lang w:val="en-US" w:eastAsia="zh-CN"/>
              </w:rPr>
            </w:pPr>
          </w:p>
        </w:tc>
        <w:tc>
          <w:tcPr>
            <w:tcW w:w="1020"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材料</w:t>
            </w:r>
          </w:p>
        </w:tc>
      </w:tr>
    </w:tbl>
    <w:p>
      <w:pPr>
        <w:jc w:val="both"/>
        <w:rPr>
          <w:rFonts w:hint="eastAsia" w:ascii="方正小标宋_GBK" w:hAnsi="方正小标宋_GBK" w:eastAsia="方正小标宋_GBK" w:cs="方正小标宋_GBK"/>
          <w:sz w:val="32"/>
          <w:szCs w:val="32"/>
          <w:lang w:val="en-US" w:eastAsia="zh-CN"/>
        </w:rPr>
      </w:pP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sectPr>
          <w:footerReference r:id="rId25" w:type="default"/>
          <w:footerReference r:id="rId26"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W w:w="12898" w:type="dxa"/>
        <w:jc w:val="center"/>
        <w:tblLayout w:type="autofit"/>
        <w:tblCellMar>
          <w:top w:w="0" w:type="dxa"/>
          <w:left w:w="0" w:type="dxa"/>
          <w:bottom w:w="0" w:type="dxa"/>
          <w:right w:w="0" w:type="dxa"/>
        </w:tblCellMar>
      </w:tblPr>
      <w:tblGrid>
        <w:gridCol w:w="643"/>
        <w:gridCol w:w="617"/>
        <w:gridCol w:w="1236"/>
        <w:gridCol w:w="559"/>
        <w:gridCol w:w="7380"/>
        <w:gridCol w:w="1236"/>
        <w:gridCol w:w="1227"/>
      </w:tblGrid>
      <w:tr>
        <w:tblPrEx>
          <w:tblCellMar>
            <w:top w:w="0" w:type="dxa"/>
            <w:left w:w="0" w:type="dxa"/>
            <w:bottom w:w="0" w:type="dxa"/>
            <w:right w:w="0" w:type="dxa"/>
          </w:tblCellMar>
        </w:tblPrEx>
        <w:trPr>
          <w:trHeight w:val="809" w:hRule="atLeast"/>
          <w:jc w:val="center"/>
        </w:trPr>
        <w:tc>
          <w:tcPr>
            <w:tcW w:w="643"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17"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1236"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5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8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236"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27"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206" w:hRule="atLeast"/>
          <w:jc w:val="center"/>
        </w:trPr>
        <w:tc>
          <w:tcPr>
            <w:tcW w:w="643" w:type="dxa"/>
            <w:vMerge w:val="restart"/>
            <w:tcBorders>
              <w:top w:val="nil"/>
              <w:left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基层政务公开标准化规范化</w:t>
            </w:r>
          </w:p>
        </w:tc>
        <w:tc>
          <w:tcPr>
            <w:tcW w:w="61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目录执行</w:t>
            </w:r>
          </w:p>
        </w:tc>
        <w:tc>
          <w:tcPr>
            <w:tcW w:w="1236"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val="en-US" w:eastAsia="zh-CN"/>
              </w:rPr>
              <w:t>已</w:t>
            </w:r>
            <w:r>
              <w:rPr>
                <w:rFonts w:hint="eastAsia" w:ascii="CESI仿宋-GB18030" w:hAnsi="CESI仿宋-GB18030" w:eastAsia="仿宋_GB2312" w:cs="CESI仿宋-GB18030"/>
                <w:sz w:val="21"/>
                <w:szCs w:val="21"/>
                <w:lang w:eastAsia="zh-CN"/>
              </w:rPr>
              <w:t>公布标准目录执行</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5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both"/>
              <w:textAlignment w:val="auto"/>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对照权责清单和公共服务事项清单对已公布的标准目录进行修订完善，并将修订完善情况报送县政府办信息室。</w:t>
            </w:r>
          </w:p>
        </w:tc>
        <w:tc>
          <w:tcPr>
            <w:tcW w:w="1227"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CellMar>
            <w:top w:w="0" w:type="dxa"/>
            <w:left w:w="0" w:type="dxa"/>
            <w:bottom w:w="0" w:type="dxa"/>
            <w:right w:w="0" w:type="dxa"/>
          </w:tblCellMar>
        </w:tblPrEx>
        <w:trPr>
          <w:cantSplit/>
          <w:trHeight w:val="2098" w:hRule="atLeast"/>
          <w:jc w:val="center"/>
        </w:trPr>
        <w:tc>
          <w:tcPr>
            <w:tcW w:w="643"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工作</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拓展</w:t>
            </w:r>
          </w:p>
        </w:tc>
        <w:tc>
          <w:tcPr>
            <w:tcW w:w="1236"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拓展政务公开标准化规范化施行领域和层级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59"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0</w:t>
            </w:r>
          </w:p>
        </w:tc>
        <w:tc>
          <w:tcPr>
            <w:tcW w:w="738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123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每拓展一个领域，加0.5分，每拓展一个层级，加1分，加分上限为5分</w:t>
            </w:r>
          </w:p>
        </w:tc>
        <w:tc>
          <w:tcPr>
            <w:tcW w:w="122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印证材料</w:t>
            </w:r>
          </w:p>
        </w:tc>
      </w:tr>
      <w:tr>
        <w:tblPrEx>
          <w:tblCellMar>
            <w:top w:w="0" w:type="dxa"/>
            <w:left w:w="0" w:type="dxa"/>
            <w:bottom w:w="0" w:type="dxa"/>
            <w:right w:w="0" w:type="dxa"/>
          </w:tblCellMar>
        </w:tblPrEx>
        <w:trPr>
          <w:trHeight w:val="1081" w:hRule="atLeast"/>
          <w:jc w:val="center"/>
        </w:trPr>
        <w:tc>
          <w:tcPr>
            <w:tcW w:w="643"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36"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559"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县直相关部门参照26个试点领域基层政务公开标准目录，制定县级标准目录，拓展层级，并在26个试点领域之外的交通运输、统计事务、高中教育阶段、退役军人事务以及其他方面拓展三个领域。</w:t>
            </w:r>
          </w:p>
        </w:tc>
        <w:tc>
          <w:tcPr>
            <w:tcW w:w="122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723" w:hRule="atLeast"/>
          <w:jc w:val="center"/>
        </w:trPr>
        <w:tc>
          <w:tcPr>
            <w:tcW w:w="64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textDirection w:val="tbRlV"/>
            <w:vAlign w:val="bottom"/>
          </w:tcPr>
          <w:p>
            <w:pPr>
              <w:keepNext w:val="0"/>
              <w:keepLines w:val="0"/>
              <w:suppressLineNumbers w:val="0"/>
              <w:autoSpaceDE w:val="0"/>
              <w:autoSpaceDN w:val="0"/>
              <w:spacing w:before="0" w:beforeAutospacing="0" w:after="0" w:afterAutospacing="0"/>
              <w:ind w:left="-440" w:leftChars="0" w:right="113" w:firstLine="438" w:firstLineChars="209"/>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val="en-US" w:eastAsia="zh-CN"/>
              </w:rPr>
              <w:t>主动</w:t>
            </w:r>
            <w:r>
              <w:rPr>
                <w:rFonts w:hint="eastAsia" w:ascii="CESI仿宋-GB18030" w:hAnsi="CESI仿宋-GB18030" w:eastAsia="仿宋_GB2312" w:cs="CESI仿宋-GB18030"/>
                <w:sz w:val="21"/>
                <w:szCs w:val="21"/>
                <w:lang w:eastAsia="zh-CN"/>
              </w:rPr>
              <w:t>公开</w:t>
            </w:r>
          </w:p>
        </w:tc>
        <w:tc>
          <w:tcPr>
            <w:tcW w:w="61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36"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公开主体、流程、标准等执行情况</w:t>
            </w:r>
          </w:p>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559" w:type="dxa"/>
            <w:tcBorders>
              <w:top w:val="single" w:color="auto" w:sz="4" w:space="0"/>
              <w:left w:val="nil"/>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8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both"/>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依据相关法律法规和国家规范性文件，属于法定主动公开内容，特别是对教育、医疗、社会保障、乡村振兴、促进就业等方面，以及社会公众关注度高的限行、调价、准入、许可、基建、拆迁等重大行政决策、重大设项目批准等方面内容的公开，不符合国家有关公开规定的，发现一起，扣1分，扣分上限为5分。</w:t>
            </w:r>
          </w:p>
        </w:tc>
        <w:tc>
          <w:tcPr>
            <w:tcW w:w="1236"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jc w:val="center"/>
              <w:textAlignment w:val="auto"/>
              <w:rPr>
                <w:rFonts w:hint="default" w:ascii="CESI仿宋-GB18030" w:hAnsi="CESI仿宋-GB18030" w:eastAsia="CESI仿宋-GB18030" w:cs="CESI仿宋-GB18030"/>
                <w:sz w:val="21"/>
                <w:szCs w:val="21"/>
                <w:lang w:val="en-US" w:eastAsia="zh-CN"/>
              </w:rPr>
            </w:pPr>
          </w:p>
        </w:tc>
        <w:tc>
          <w:tcPr>
            <w:tcW w:w="1227"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函询说明情况＋根据社会关注热点政务舆情</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倒查</w:t>
            </w:r>
          </w:p>
        </w:tc>
      </w:tr>
      <w:tr>
        <w:tblPrEx>
          <w:tblCellMar>
            <w:top w:w="0" w:type="dxa"/>
            <w:left w:w="0" w:type="dxa"/>
            <w:bottom w:w="0" w:type="dxa"/>
            <w:right w:w="0" w:type="dxa"/>
          </w:tblCellMar>
        </w:tblPrEx>
        <w:trPr>
          <w:trHeight w:val="1307" w:hRule="atLeast"/>
          <w:jc w:val="center"/>
        </w:trPr>
        <w:tc>
          <w:tcPr>
            <w:tcW w:w="64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1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36" w:type="dxa"/>
            <w:vMerge w:val="continue"/>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5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8616"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220" w:leftChars="100" w:right="0"/>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考核标准中明确指出的各项内容，各主管责任单位要加强规范化管理，明确公开内容、主体、流程、标准、时限、对象等。</w:t>
            </w:r>
          </w:p>
        </w:tc>
        <w:tc>
          <w:tcPr>
            <w:tcW w:w="1227"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rPr>
          <w:rFonts w:hint="eastAsia" w:ascii="CESI仿宋-GB18030" w:hAnsi="CESI仿宋-GB18030" w:eastAsia="仿宋_GB2312" w:cs="CESI仿宋-GB18030"/>
          <w:b/>
          <w:bCs/>
          <w:sz w:val="21"/>
          <w:szCs w:val="21"/>
          <w:lang w:eastAsia="zh-CN"/>
        </w:rPr>
        <w:sectPr>
          <w:headerReference r:id="rId27" w:type="default"/>
          <w:footerReference r:id="rId29" w:type="default"/>
          <w:headerReference r:id="rId28" w:type="even"/>
          <w:footerReference r:id="rId30"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W w:w="12977" w:type="dxa"/>
        <w:jc w:val="center"/>
        <w:tblLayout w:type="autofit"/>
        <w:tblCellMar>
          <w:top w:w="0" w:type="dxa"/>
          <w:left w:w="0" w:type="dxa"/>
          <w:bottom w:w="0" w:type="dxa"/>
          <w:right w:w="0" w:type="dxa"/>
        </w:tblCellMar>
      </w:tblPr>
      <w:tblGrid>
        <w:gridCol w:w="661"/>
        <w:gridCol w:w="661"/>
        <w:gridCol w:w="1283"/>
        <w:gridCol w:w="623"/>
        <w:gridCol w:w="7392"/>
        <w:gridCol w:w="1116"/>
        <w:gridCol w:w="1241"/>
      </w:tblGrid>
      <w:tr>
        <w:tblPrEx>
          <w:tblCellMar>
            <w:top w:w="0" w:type="dxa"/>
            <w:left w:w="0" w:type="dxa"/>
            <w:bottom w:w="0" w:type="dxa"/>
            <w:right w:w="0" w:type="dxa"/>
          </w:tblCellMar>
        </w:tblPrEx>
        <w:trPr>
          <w:trHeight w:val="851" w:hRule="atLeast"/>
          <w:jc w:val="center"/>
        </w:trPr>
        <w:tc>
          <w:tcPr>
            <w:tcW w:w="661"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一级指标</w:t>
            </w:r>
          </w:p>
        </w:tc>
        <w:tc>
          <w:tcPr>
            <w:tcW w:w="661"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二级指标</w:t>
            </w:r>
          </w:p>
        </w:tc>
        <w:tc>
          <w:tcPr>
            <w:tcW w:w="1283"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23"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9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11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41"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421" w:hRule="atLeast"/>
          <w:jc w:val="center"/>
        </w:trPr>
        <w:tc>
          <w:tcPr>
            <w:tcW w:w="661"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textDirection w:val="tbRlV"/>
            <w:vAlign w:val="center"/>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主动公开</w:t>
            </w:r>
          </w:p>
        </w:tc>
        <w:tc>
          <w:tcPr>
            <w:tcW w:w="661"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目录、清单类事项主动</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公开情况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left"/>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府部门权责清单，重大行政决策事项目录，证明事项告知承诺目录，行政审批中介服务事项清单，公共资源交易目录清单，政府性基金、涉企行政事业性收费、涉企保证金以及实行政府定价的经营服务性收费目录清单等，每少一项，扣1分，扣分上限为5分。</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sz w:val="21"/>
                <w:szCs w:val="21"/>
                <w:lang w:val="en-US" w:eastAsia="zh-CN"/>
              </w:rPr>
            </w:pPr>
          </w:p>
        </w:tc>
        <w:tc>
          <w:tcPr>
            <w:tcW w:w="124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材料</w:t>
            </w:r>
          </w:p>
        </w:tc>
      </w:tr>
      <w:tr>
        <w:tblPrEx>
          <w:tblCellMar>
            <w:top w:w="0" w:type="dxa"/>
            <w:left w:w="0" w:type="dxa"/>
            <w:bottom w:w="0" w:type="dxa"/>
            <w:right w:w="0" w:type="dxa"/>
          </w:tblCellMar>
        </w:tblPrEx>
        <w:trPr>
          <w:trHeight w:val="1136"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top"/>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部门权责清单和重大行政决策事项目录由县直各单位负责制定并上网公布；政府定价的经营服务性收费目录清单由县发改局负责制定并上网公布；证明事项告知承诺目录、行政审批中介服务事项清单和公共资源交易目录清单由县行政审批局负责制定并上网公布，政府性基金、涉企行政事业性收费和涉企保证金目录清单由县财政局负责制定并上网公布。</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指南、年报、网站年度报表等</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质量</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2</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指南、年报、网站年度报表内容不符合国家规定，超期发布或有缺</w:t>
            </w:r>
            <w:r>
              <w:rPr>
                <w:rFonts w:hint="eastAsia" w:ascii="CESI仿宋-GB18030" w:hAnsi="CESI仿宋-GB18030" w:eastAsia="仿宋_GB2312" w:cs="CESI仿宋-GB18030"/>
                <w:sz w:val="21"/>
                <w:szCs w:val="21"/>
                <w:lang w:val="en-US" w:eastAsia="zh-CN"/>
              </w:rPr>
              <w:t>漏</w:t>
            </w:r>
            <w:r>
              <w:rPr>
                <w:rFonts w:hint="eastAsia" w:ascii="CESI仿宋-GB18030" w:hAnsi="CESI仿宋-GB18030" w:eastAsia="仿宋_GB2312" w:cs="CESI仿宋-GB18030"/>
                <w:sz w:val="21"/>
                <w:szCs w:val="21"/>
                <w:lang w:eastAsia="zh-CN"/>
              </w:rPr>
              <w:t>项和明显错误的，每有一项，扣1分，扣分上限为3分。</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CESI仿宋-GB18030" w:cs="CESI仿宋-GB18030"/>
                <w:sz w:val="21"/>
                <w:szCs w:val="21"/>
                <w:lang w:val="en-US" w:eastAsia="zh-CN"/>
              </w:rPr>
            </w:pP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对指南、年报、网站年度报表按国家规定进行审核，7月31日之前完成。</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“双公示”数据报送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合规性情况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5</w:t>
            </w:r>
          </w:p>
        </w:tc>
        <w:tc>
          <w:tcPr>
            <w:tcW w:w="739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按照国家发展改革委现行标准对报送的行政许可和行政处罚数据进行核查，得分＝合规率（合规数据量／报送数据总量）</w:t>
            </w:r>
            <w:r>
              <w:rPr>
                <w:rFonts w:hint="eastAsia" w:ascii="CESI仿宋-GB18030" w:hAnsi="CESI仿宋-GB18030" w:eastAsia="仿宋_GB2312" w:cs="CESI仿宋-GB18030"/>
                <w:sz w:val="21"/>
                <w:szCs w:val="21"/>
                <w:lang w:val="en-US" w:eastAsia="zh-CN"/>
              </w:rPr>
              <w:t>x</w:t>
            </w:r>
            <w:r>
              <w:rPr>
                <w:rFonts w:hint="eastAsia" w:ascii="CESI仿宋-GB18030" w:hAnsi="CESI仿宋-GB18030" w:eastAsia="仿宋_GB2312" w:cs="CESI仿宋-GB18030"/>
                <w:sz w:val="21"/>
                <w:szCs w:val="21"/>
                <w:lang w:eastAsia="zh-CN"/>
              </w:rPr>
              <w:t>5。</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4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通过省信用信息共享平台核查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计算得出</w:t>
            </w:r>
          </w:p>
        </w:tc>
      </w:tr>
      <w:tr>
        <w:tblPrEx>
          <w:tblCellMar>
            <w:top w:w="0" w:type="dxa"/>
            <w:left w:w="0" w:type="dxa"/>
            <w:bottom w:w="0" w:type="dxa"/>
            <w:right w:w="0" w:type="dxa"/>
          </w:tblCellMar>
        </w:tblPrEx>
        <w:trPr>
          <w:trHeight w:val="851"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由县发改局负责对全县“双公示”数据报送合规性进行指导、推进、监督、协调，各数据产生单位负责具体落实。</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818"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“双公示”数据报送及时性情况</w:t>
            </w:r>
          </w:p>
        </w:tc>
        <w:tc>
          <w:tcPr>
            <w:tcW w:w="623"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5</w:t>
            </w:r>
          </w:p>
        </w:tc>
        <w:tc>
          <w:tcPr>
            <w:tcW w:w="7392" w:type="dxa"/>
            <w:tcBorders>
              <w:top w:val="single" w:color="auto" w:sz="4" w:space="0"/>
              <w:left w:val="nil"/>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按照国家发展改革委现行标准对报送的行政许可和行政处罚数据进行核查，得分＝迟报率（迟报数据量／报送数据总量）x5。</w:t>
            </w:r>
          </w:p>
        </w:tc>
        <w:tc>
          <w:tcPr>
            <w:tcW w:w="111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936" w:hRule="atLeast"/>
          <w:jc w:val="center"/>
        </w:trPr>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61"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3"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8508"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县发改局负责对全县“双公示”数据报送及时性进行指导、推进、监督、协调，各数据产生单位负责具体落实。</w:t>
            </w:r>
          </w:p>
        </w:tc>
        <w:tc>
          <w:tcPr>
            <w:tcW w:w="124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jc w:val="center"/>
        <w:rPr>
          <w:rFonts w:hint="eastAsia" w:ascii="CESI仿宋-GB18030" w:hAnsi="CESI仿宋-GB18030" w:eastAsia="仿宋_GB2312" w:cs="CESI仿宋-GB18030"/>
          <w:b/>
          <w:bCs/>
          <w:sz w:val="21"/>
          <w:szCs w:val="21"/>
          <w:lang w:eastAsia="zh-CN"/>
        </w:rPr>
        <w:sectPr>
          <w:headerReference r:id="rId31" w:type="default"/>
          <w:footerReference r:id="rId33" w:type="default"/>
          <w:headerReference r:id="rId32" w:type="even"/>
          <w:footerReference r:id="rId34"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5"/>
        <w:tblpPr w:leftFromText="181" w:rightFromText="181" w:vertAnchor="text" w:horzAnchor="page" w:tblpXSpec="center" w:tblpY="80"/>
        <w:tblOverlap w:val="never"/>
        <w:tblW w:w="12737" w:type="dxa"/>
        <w:jc w:val="center"/>
        <w:tblLayout w:type="autofit"/>
        <w:tblCellMar>
          <w:top w:w="0" w:type="dxa"/>
          <w:left w:w="0" w:type="dxa"/>
          <w:bottom w:w="0" w:type="dxa"/>
          <w:right w:w="0" w:type="dxa"/>
        </w:tblCellMar>
      </w:tblPr>
      <w:tblGrid>
        <w:gridCol w:w="647"/>
        <w:gridCol w:w="624"/>
        <w:gridCol w:w="1260"/>
        <w:gridCol w:w="635"/>
        <w:gridCol w:w="7215"/>
        <w:gridCol w:w="1096"/>
        <w:gridCol w:w="1260"/>
      </w:tblGrid>
      <w:tr>
        <w:tblPrEx>
          <w:tblCellMar>
            <w:top w:w="0" w:type="dxa"/>
            <w:left w:w="0" w:type="dxa"/>
            <w:bottom w:w="0" w:type="dxa"/>
            <w:right w:w="0" w:type="dxa"/>
          </w:tblCellMar>
        </w:tblPrEx>
        <w:trPr>
          <w:trHeight w:val="754" w:hRule="atLeast"/>
          <w:jc w:val="center"/>
        </w:trPr>
        <w:tc>
          <w:tcPr>
            <w:tcW w:w="647"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一级指标</w:t>
            </w:r>
          </w:p>
        </w:tc>
        <w:tc>
          <w:tcPr>
            <w:tcW w:w="624"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二级指标</w:t>
            </w:r>
          </w:p>
        </w:tc>
        <w:tc>
          <w:tcPr>
            <w:tcW w:w="126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3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215"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096"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6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107" w:hRule="atLeast"/>
          <w:jc w:val="center"/>
        </w:trPr>
        <w:tc>
          <w:tcPr>
            <w:tcW w:w="647"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textDirection w:val="tbLrV"/>
            <w:vAlign w:val="center"/>
          </w:tcPr>
          <w:p>
            <w:pPr>
              <w:keepNext w:val="0"/>
              <w:keepLines w:val="0"/>
              <w:suppressLineNumbers w:val="0"/>
              <w:autoSpaceDE w:val="0"/>
              <w:autoSpaceDN w:val="0"/>
              <w:spacing w:before="0" w:beforeAutospacing="0" w:after="0" w:afterAutospacing="0"/>
              <w:ind w:left="113" w:right="113"/>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主动公开</w:t>
            </w:r>
          </w:p>
        </w:tc>
        <w:tc>
          <w:tcPr>
            <w:tcW w:w="624"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法定主动公开内容</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“双公示”数据报送完整性情况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5</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“双公示”信息台账记录与山西省信用信息共享平台中上报数据进行比对，台账中有而山西省信用信息共享平台中无的数据为瞒报数据。瞒报率＝瞒报数据量／台账数据量。得分＝(1-瞒报率）x</w:t>
            </w:r>
            <w:r>
              <w:rPr>
                <w:rFonts w:hint="eastAsia" w:ascii="CESI仿宋-GB18030" w:hAnsi="CESI仿宋-GB18030" w:eastAsia="仿宋_GB2312" w:cs="CESI仿宋-GB18030"/>
                <w:sz w:val="21"/>
                <w:szCs w:val="21"/>
                <w:lang w:val="en-US" w:eastAsia="zh-CN"/>
              </w:rPr>
              <w:t>5。</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通过查看被抽查单“双公示”台账 与省信用信息共享平台进行数据核对后得出</w:t>
            </w:r>
          </w:p>
        </w:tc>
      </w:tr>
      <w:tr>
        <w:tblPrEx>
          <w:tblCellMar>
            <w:top w:w="0" w:type="dxa"/>
            <w:left w:w="0" w:type="dxa"/>
            <w:bottom w:w="0" w:type="dxa"/>
            <w:right w:w="0" w:type="dxa"/>
          </w:tblCellMar>
        </w:tblPrEx>
        <w:trPr>
          <w:trHeight w:val="1429"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县发改局负责对全县“双公示”数据报送完整性进行指导、推进、监督、协调，各数据产生单位负责具体落实。</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754"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征地信息</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录入情况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未按时限、标准将征地信息录入“山西省征地信息公开查询系统”的，</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件扣0.5分，扣分上限为5分。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进行日常检查＋根据依申请公开内容倒查</w:t>
            </w:r>
          </w:p>
        </w:tc>
      </w:tr>
      <w:tr>
        <w:tblPrEx>
          <w:tblCellMar>
            <w:top w:w="0" w:type="dxa"/>
            <w:left w:w="0" w:type="dxa"/>
            <w:bottom w:w="0" w:type="dxa"/>
            <w:right w:w="0" w:type="dxa"/>
          </w:tblCellMar>
        </w:tblPrEx>
        <w:trPr>
          <w:trHeight w:val="726"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县自然资源局负责落实，按照时限和标准要求录入信息。</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403"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拟公属性认定</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非主动公开的政府文件台账管理</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63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1</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对属性为依申请公开、不予公开的公文未进行台账管理的，扣1分。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bottom"/>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被考核单位提供相关印证材料＋社会关注热点政务舆情倒查</w:t>
            </w:r>
          </w:p>
        </w:tc>
      </w:tr>
      <w:tr>
        <w:tblPrEx>
          <w:tblCellMar>
            <w:top w:w="0" w:type="dxa"/>
            <w:left w:w="0" w:type="dxa"/>
            <w:bottom w:w="0" w:type="dxa"/>
            <w:right w:w="0" w:type="dxa"/>
          </w:tblCellMar>
        </w:tblPrEx>
        <w:trPr>
          <w:trHeight w:val="1079"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c>
          <w:tcPr>
            <w:tcW w:w="63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p>
        </w:tc>
        <w:tc>
          <w:tcPr>
            <w:tcW w:w="8311" w:type="dxa"/>
            <w:gridSpan w:val="2"/>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110" w:leftChars="50" w:right="0"/>
              <w:jc w:val="both"/>
              <w:textAlignment w:val="auto"/>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县直各单位负责落实，12月31日之前对2020年全年属性为依申请公开和不予公开的文件进行评估审查，因情势变化可以公开的要予以公开。</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107"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函复类公文公开属性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认定情况</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内容具有普遍指导意义和作用，或涉及公众利益，有必要让公众知晓并接受公众监督的函复类公文未主动公开的，发现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件，扣0.5分，扣分上限为2分。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r>
        <w:tblPrEx>
          <w:tblCellMar>
            <w:top w:w="0" w:type="dxa"/>
            <w:left w:w="0" w:type="dxa"/>
            <w:bottom w:w="0" w:type="dxa"/>
            <w:right w:w="0" w:type="dxa"/>
          </w:tblCellMar>
        </w:tblPrEx>
        <w:trPr>
          <w:trHeight w:val="1131" w:hRule="atLeast"/>
          <w:jc w:val="center"/>
        </w:trPr>
        <w:tc>
          <w:tcPr>
            <w:tcW w:w="647"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4"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部门联合发文公开属性</w:t>
            </w:r>
            <w:r>
              <w:rPr>
                <w:rFonts w:hint="eastAsia" w:ascii="CESI仿宋-GB18030" w:hAnsi="CESI仿宋-GB18030" w:eastAsia="仿宋_GB2312" w:cs="CESI仿宋-GB18030"/>
                <w:sz w:val="21"/>
                <w:szCs w:val="21"/>
                <w:lang w:eastAsia="zh-CN"/>
              </w:rPr>
              <w:br w:type="textWrapping"/>
            </w:r>
            <w:r>
              <w:rPr>
                <w:rFonts w:hint="eastAsia" w:ascii="CESI仿宋-GB18030" w:hAnsi="CESI仿宋-GB18030" w:eastAsia="仿宋_GB2312" w:cs="CESI仿宋-GB18030"/>
                <w:sz w:val="21"/>
                <w:szCs w:val="21"/>
                <w:lang w:eastAsia="zh-CN"/>
              </w:rPr>
              <w:t>认定情况</w:t>
            </w:r>
          </w:p>
        </w:tc>
        <w:tc>
          <w:tcPr>
            <w:tcW w:w="63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tabs>
                <w:tab w:val="left" w:pos="440"/>
              </w:tabs>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val="en-US" w:eastAsia="zh-CN"/>
              </w:rPr>
            </w:pPr>
            <w:r>
              <w:rPr>
                <w:rFonts w:hint="eastAsia" w:ascii="CESI仿宋-GB18030" w:hAnsi="CESI仿宋-GB18030" w:eastAsia="仿宋_GB2312" w:cs="CESI仿宋-GB18030"/>
                <w:sz w:val="21"/>
                <w:szCs w:val="21"/>
                <w:lang w:val="en-US" w:eastAsia="zh-CN"/>
              </w:rPr>
              <w:t xml:space="preserve"> 2</w:t>
            </w:r>
          </w:p>
        </w:tc>
        <w:tc>
          <w:tcPr>
            <w:tcW w:w="721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部门联合发文的，牵头单位未对发文进行公开属性认定的，发现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件，扣</w:t>
            </w:r>
            <w:r>
              <w:rPr>
                <w:rFonts w:hint="eastAsia" w:ascii="CESI仿宋-GB18030" w:hAnsi="CESI仿宋-GB18030" w:eastAsia="仿宋_GB2312" w:cs="CESI仿宋-GB18030"/>
                <w:sz w:val="21"/>
                <w:szCs w:val="21"/>
                <w:lang w:val="en-US" w:eastAsia="zh-CN"/>
              </w:rPr>
              <w:t>0.5</w:t>
            </w:r>
            <w:r>
              <w:rPr>
                <w:rFonts w:hint="eastAsia" w:ascii="CESI仿宋-GB18030" w:hAnsi="CESI仿宋-GB18030" w:eastAsia="仿宋_GB2312" w:cs="CESI仿宋-GB18030"/>
                <w:sz w:val="21"/>
                <w:szCs w:val="21"/>
                <w:lang w:eastAsia="zh-CN"/>
              </w:rPr>
              <w:t>分，扣分上限为2分。</w:t>
            </w:r>
          </w:p>
        </w:tc>
        <w:tc>
          <w:tcPr>
            <w:tcW w:w="1096"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　</w:t>
            </w: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p>
        </w:tc>
      </w:tr>
    </w:tbl>
    <w:p>
      <w:pPr>
        <w:tabs>
          <w:tab w:val="left" w:pos="9422"/>
        </w:tabs>
        <w:bidi w:val="0"/>
        <w:jc w:val="left"/>
        <w:rPr>
          <w:rFonts w:hint="eastAsia" w:ascii="CESI仿宋-GB18030" w:hAnsi="CESI仿宋-GB18030" w:eastAsia="CESI仿宋-GB18030" w:cs="CESI仿宋-GB18030"/>
          <w:lang w:val="en-US" w:eastAsia="zh-CN"/>
        </w:rPr>
        <w:sectPr>
          <w:footerReference r:id="rId35" w:type="default"/>
          <w:footerReference r:id="rId36" w:type="even"/>
          <w:pgSz w:w="16783" w:h="11850" w:orient="landscape"/>
          <w:pgMar w:top="1440" w:right="1800" w:bottom="1440" w:left="1800"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tbl>
      <w:tblPr>
        <w:tblStyle w:val="6"/>
        <w:tblW w:w="12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573"/>
        <w:gridCol w:w="1166"/>
        <w:gridCol w:w="537"/>
        <w:gridCol w:w="7270"/>
        <w:gridCol w:w="1602"/>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27" w:type="dxa"/>
            <w:vAlign w:val="center"/>
          </w:tcPr>
          <w:p>
            <w:pPr>
              <w:keepNext w:val="0"/>
              <w:keepLines w:val="0"/>
              <w:suppressLineNumbers w:val="0"/>
              <w:autoSpaceDE w:val="0"/>
              <w:autoSpaceDN w:val="0"/>
              <w:spacing w:before="0" w:beforeAutospacing="0" w:after="0" w:afterAutospacing="0"/>
              <w:ind w:left="-220" w:leftChars="-100" w:right="-249" w:rightChars="-113" w:firstLine="221" w:firstLineChars="105"/>
              <w:jc w:val="both"/>
              <w:rPr>
                <w:rFonts w:hint="eastAsia"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一级</w:t>
            </w:r>
          </w:p>
          <w:p>
            <w:pPr>
              <w:keepNext w:val="0"/>
              <w:keepLines w:val="0"/>
              <w:suppressLineNumbers w:val="0"/>
              <w:autoSpaceDE w:val="0"/>
              <w:autoSpaceDN w:val="0"/>
              <w:spacing w:before="0" w:beforeAutospacing="0" w:after="0" w:afterAutospacing="0"/>
              <w:ind w:left="-220" w:leftChars="-100" w:right="-249" w:rightChars="-113" w:firstLine="221" w:firstLineChars="105"/>
              <w:jc w:val="both"/>
              <w:rPr>
                <w:rFonts w:hint="default"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指标</w:t>
            </w:r>
          </w:p>
        </w:tc>
        <w:tc>
          <w:tcPr>
            <w:tcW w:w="573" w:type="dxa"/>
            <w:vAlign w:val="center"/>
          </w:tcPr>
          <w:p>
            <w:pPr>
              <w:keepNext w:val="0"/>
              <w:keepLines w:val="0"/>
              <w:suppressLineNumbers w:val="0"/>
              <w:autoSpaceDE w:val="0"/>
              <w:autoSpaceDN w:val="0"/>
              <w:spacing w:before="0" w:beforeAutospacing="0" w:after="0" w:afterAutospacing="0"/>
              <w:ind w:left="0" w:right="-301" w:rightChars="-137"/>
              <w:jc w:val="both"/>
              <w:rPr>
                <w:rFonts w:hint="eastAsia"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二级</w:t>
            </w:r>
          </w:p>
          <w:p>
            <w:pPr>
              <w:keepNext w:val="0"/>
              <w:keepLines w:val="0"/>
              <w:suppressLineNumbers w:val="0"/>
              <w:autoSpaceDE w:val="0"/>
              <w:autoSpaceDN w:val="0"/>
              <w:spacing w:before="0" w:beforeAutospacing="0" w:after="0" w:afterAutospacing="0"/>
              <w:ind w:left="0" w:right="-301" w:rightChars="-137"/>
              <w:jc w:val="both"/>
              <w:rPr>
                <w:rFonts w:hint="default" w:ascii="CESI仿宋-GB18030" w:hAnsi="CESI仿宋-GB18030" w:eastAsia="仿宋_GB2312" w:cs="CESI仿宋-GB18030"/>
                <w:b/>
                <w:bCs/>
                <w:sz w:val="21"/>
                <w:szCs w:val="21"/>
                <w:lang w:val="en-US" w:eastAsia="zh-CN"/>
              </w:rPr>
            </w:pPr>
            <w:r>
              <w:rPr>
                <w:rFonts w:hint="eastAsia" w:ascii="CESI仿宋-GB18030" w:hAnsi="CESI仿宋-GB18030" w:eastAsia="仿宋_GB2312" w:cs="CESI仿宋-GB18030"/>
                <w:b/>
                <w:bCs/>
                <w:sz w:val="21"/>
                <w:szCs w:val="21"/>
                <w:lang w:val="en-US" w:eastAsia="zh-CN"/>
              </w:rPr>
              <w:t>指标</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三级指标</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27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扣分标准</w:t>
            </w:r>
          </w:p>
        </w:tc>
        <w:tc>
          <w:tcPr>
            <w:tcW w:w="160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b/>
                <w:bCs/>
                <w:sz w:val="21"/>
                <w:szCs w:val="21"/>
                <w:lang w:eastAsia="zh-CN"/>
              </w:rPr>
              <w:t>加分标准</w:t>
            </w: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依</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请</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开</w:t>
            </w: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函询回复</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对省政府办公厅、市政府办公室函询的回复</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无特殊情况和理由，未按要求回复省政府办公厅、市政府办公室函询的，每一件扣0.5分，扣分上限为1分。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根据日常工作情况进行扣分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规范</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答复</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对依申请公开的规范答复情况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抽查本年度依申请公开的答复案卷，答复办理不规范的，每件扣1分，扣分上限为2分。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权利</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保障</w:t>
            </w: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对申请人投诉举报的处理</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政务公开主管部门收到投诉举报查实的或发现其他不规范答复问题的，每件扣1分，扣分上限为2分。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根据查证情况扣分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解读咨询回应</w:t>
            </w:r>
          </w:p>
        </w:tc>
        <w:tc>
          <w:tcPr>
            <w:tcW w:w="573" w:type="dxa"/>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解读责任</w:t>
            </w:r>
          </w:p>
        </w:tc>
        <w:tc>
          <w:tcPr>
            <w:tcW w:w="1166" w:type="dxa"/>
            <w:vAlign w:val="center"/>
          </w:tcPr>
          <w:p>
            <w:pPr>
              <w:keepNext w:val="0"/>
              <w:keepLines w:val="0"/>
              <w:suppressLineNumbers w:val="0"/>
              <w:tabs>
                <w:tab w:val="left" w:pos="1100"/>
              </w:tabs>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应解读，尽解读</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政策性文件没有解读，也没有说明不作解读的依据和理由的，发现一件，扣0.5分，扣分上限为3分。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以县政府和县政府办公室名义发文的解读情况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以县政府和县政府办公室名义发文，未按要求对文件进行解读的，每一件扣0.5分，扣分上限为2分。</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根据日常工作情况进行扣分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573"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16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参加新闻发布会</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3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27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未按要求出席省、市、县政府新闻发布会的，每一次扣0.5分，扣分上限为2分 。</w:t>
            </w:r>
          </w:p>
        </w:tc>
        <w:tc>
          <w:tcPr>
            <w:tcW w:w="160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单位一把手出席省、市、县政府新闻发布会的，每一次加0.5分，加分上限为3分</w:t>
            </w:r>
          </w:p>
        </w:tc>
        <w:tc>
          <w:tcPr>
            <w:tcW w:w="1123"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bl>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hint="eastAsia" w:ascii="CESI仿宋-GB18030" w:hAnsi="CESI仿宋-GB18030" w:eastAsia="仿宋_GB2312" w:cs="CESI仿宋-GB18030"/>
          <w:sz w:val="32"/>
          <w:szCs w:val="32"/>
          <w:lang w:eastAsia="zh-CN"/>
        </w:rPr>
      </w:pPr>
    </w:p>
    <w:p>
      <w:pPr>
        <w:jc w:val="center"/>
        <w:rPr>
          <w:rFonts w:hint="eastAsia" w:ascii="CESI仿宋-GB18030" w:hAnsi="CESI仿宋-GB18030" w:eastAsia="仿宋_GB2312" w:cs="CESI仿宋-GB18030"/>
          <w:b/>
          <w:bCs/>
          <w:sz w:val="21"/>
          <w:szCs w:val="21"/>
          <w:lang w:eastAsia="zh-CN"/>
        </w:rPr>
        <w:sectPr>
          <w:footerReference r:id="rId37" w:type="default"/>
          <w:footerReference r:id="rId38"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W w:w="12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608"/>
        <w:gridCol w:w="1124"/>
        <w:gridCol w:w="523"/>
        <w:gridCol w:w="7064"/>
        <w:gridCol w:w="1660"/>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6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一级指标</w:t>
            </w:r>
          </w:p>
        </w:tc>
        <w:tc>
          <w:tcPr>
            <w:tcW w:w="237" w:type="pct"/>
            <w:vAlign w:val="center"/>
          </w:tcPr>
          <w:p>
            <w:pPr>
              <w:keepNext w:val="0"/>
              <w:keepLines w:val="0"/>
              <w:suppressLineNumbers w:val="0"/>
              <w:autoSpaceDE w:val="0"/>
              <w:autoSpaceDN w:val="0"/>
              <w:spacing w:before="0" w:beforeAutospacing="0" w:after="0" w:afterAutospacing="0"/>
              <w:ind w:left="-440" w:leftChars="-200" w:right="-257" w:rightChars="-117" w:firstLine="440" w:firstLineChars="209"/>
              <w:jc w:val="both"/>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二级</w:t>
            </w:r>
          </w:p>
          <w:p>
            <w:pPr>
              <w:keepNext w:val="0"/>
              <w:keepLines w:val="0"/>
              <w:suppressLineNumbers w:val="0"/>
              <w:autoSpaceDE w:val="0"/>
              <w:autoSpaceDN w:val="0"/>
              <w:spacing w:before="0" w:beforeAutospacing="0" w:after="0" w:afterAutospacing="0"/>
              <w:ind w:left="-440" w:leftChars="-200" w:right="-257" w:rightChars="-117" w:firstLine="440" w:firstLineChars="209"/>
              <w:jc w:val="both"/>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赋</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分</w:t>
            </w:r>
          </w:p>
        </w:tc>
        <w:tc>
          <w:tcPr>
            <w:tcW w:w="2753"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64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4" w:type="pct"/>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解读咨询回应</w:t>
            </w:r>
          </w:p>
        </w:tc>
        <w:tc>
          <w:tcPr>
            <w:tcW w:w="237" w:type="pct"/>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解读比例</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多样化解读占比</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多样化解读量占政策解读总量不得少于90%,每降低两个百分点，扣0.5分，扣分上限为4分。</w:t>
            </w:r>
          </w:p>
        </w:tc>
        <w:tc>
          <w:tcPr>
            <w:tcW w:w="647" w:type="pct"/>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多样化解读申报后，被省政府微信公众号采用，综合全年点击量及社会效果等因素，前50名每一件加0.5分，加分上限为5分</w:t>
            </w:r>
          </w:p>
        </w:tc>
        <w:tc>
          <w:tcPr>
            <w:tcW w:w="452" w:type="pct"/>
            <w:vMerge w:val="restar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发布渠道占比情况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在政府网站做好政策解读的同时，在非政府网站渠道发布的政策解读量占政策解读总量不得少于50% ,每降低一个百分点，扣0.5分，扣分上限为5分。</w:t>
            </w:r>
          </w:p>
        </w:tc>
        <w:tc>
          <w:tcPr>
            <w:tcW w:w="647"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452" w:type="pct"/>
            <w:vMerge w:val="continue"/>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咨询责任</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谁定政策谁做咨询的情况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政策制定机关要积极解答政策执行机关和企业、群众的咨询。未开展政策咨询服务、开通政策咨询渠道的，扣2分。</w:t>
            </w:r>
          </w:p>
        </w:tc>
        <w:tc>
          <w:tcPr>
            <w:tcW w:w="64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4" w:hRule="atLeast"/>
          <w:jc w:val="center"/>
        </w:trPr>
        <w:tc>
          <w:tcPr>
            <w:tcW w:w="264" w:type="pct"/>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237"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精准公开</w:t>
            </w:r>
          </w:p>
        </w:tc>
        <w:tc>
          <w:tcPr>
            <w:tcW w:w="438"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提升政务公开服务精准度</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204" w:type="pct"/>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2</w:t>
            </w:r>
          </w:p>
        </w:tc>
        <w:tc>
          <w:tcPr>
            <w:tcW w:w="2753"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p>
        </w:tc>
        <w:tc>
          <w:tcPr>
            <w:tcW w:w="647" w:type="pc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针对管理对象或服务对象进行定点、定向公开，有多样化、个性化、精准化公开举措，社会效果好的，每一领域加</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分</w:t>
            </w:r>
          </w:p>
        </w:tc>
        <w:tc>
          <w:tcPr>
            <w:tcW w:w="452" w:type="pct"/>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材料</w:t>
            </w:r>
          </w:p>
        </w:tc>
      </w:tr>
    </w:tbl>
    <w:p>
      <w:pPr>
        <w:jc w:val="center"/>
        <w:rPr>
          <w:rFonts w:hint="eastAsia" w:ascii="CESI仿宋-GB18030" w:hAnsi="CESI仿宋-GB18030" w:eastAsia="仿宋_GB2312" w:cs="CESI仿宋-GB18030"/>
          <w:b/>
          <w:bCs/>
          <w:sz w:val="21"/>
          <w:szCs w:val="21"/>
          <w:lang w:eastAsia="zh-CN"/>
        </w:rPr>
        <w:sectPr>
          <w:headerReference r:id="rId39" w:type="default"/>
          <w:footerReference r:id="rId41" w:type="default"/>
          <w:headerReference r:id="rId40" w:type="even"/>
          <w:footerReference r:id="rId42"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5"/>
        <w:tblW w:w="12935" w:type="dxa"/>
        <w:jc w:val="center"/>
        <w:tblLayout w:type="fixed"/>
        <w:tblCellMar>
          <w:top w:w="0" w:type="dxa"/>
          <w:left w:w="0" w:type="dxa"/>
          <w:bottom w:w="0" w:type="dxa"/>
          <w:right w:w="0" w:type="dxa"/>
        </w:tblCellMar>
      </w:tblPr>
      <w:tblGrid>
        <w:gridCol w:w="662"/>
        <w:gridCol w:w="629"/>
        <w:gridCol w:w="1235"/>
        <w:gridCol w:w="630"/>
        <w:gridCol w:w="7382"/>
        <w:gridCol w:w="1159"/>
        <w:gridCol w:w="1238"/>
      </w:tblGrid>
      <w:tr>
        <w:tblPrEx>
          <w:tblCellMar>
            <w:top w:w="0" w:type="dxa"/>
            <w:left w:w="0" w:type="dxa"/>
            <w:bottom w:w="0" w:type="dxa"/>
            <w:right w:w="0" w:type="dxa"/>
          </w:tblCellMar>
        </w:tblPrEx>
        <w:trPr>
          <w:trHeight w:val="969"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指标</w:t>
            </w:r>
          </w:p>
        </w:tc>
        <w:tc>
          <w:tcPr>
            <w:tcW w:w="62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35"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三级指标</w:t>
            </w:r>
          </w:p>
        </w:tc>
        <w:tc>
          <w:tcPr>
            <w:tcW w:w="630"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382"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扣分标准</w:t>
            </w:r>
          </w:p>
        </w:tc>
        <w:tc>
          <w:tcPr>
            <w:tcW w:w="1159"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加分标准</w:t>
            </w:r>
          </w:p>
        </w:tc>
        <w:tc>
          <w:tcPr>
            <w:tcW w:w="1238"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rPr>
            </w:pPr>
            <w:r>
              <w:rPr>
                <w:rFonts w:hint="eastAsia" w:ascii="CESI仿宋-GB18030" w:hAnsi="CESI仿宋-GB18030" w:eastAsia="仿宋_GB2312" w:cs="CESI仿宋-GB18030"/>
                <w:b/>
                <w:bCs/>
                <w:sz w:val="21"/>
                <w:szCs w:val="21"/>
                <w:lang w:eastAsia="zh-CN"/>
              </w:rPr>
              <w:t>考核方式</w:t>
            </w:r>
          </w:p>
        </w:tc>
      </w:tr>
      <w:tr>
        <w:tblPrEx>
          <w:tblCellMar>
            <w:top w:w="0" w:type="dxa"/>
            <w:left w:w="0" w:type="dxa"/>
            <w:bottom w:w="0" w:type="dxa"/>
            <w:right w:w="0" w:type="dxa"/>
          </w:tblCellMar>
        </w:tblPrEx>
        <w:trPr>
          <w:trHeight w:val="1550" w:hRule="atLeast"/>
          <w:jc w:val="center"/>
        </w:trPr>
        <w:tc>
          <w:tcPr>
            <w:tcW w:w="662" w:type="dxa"/>
            <w:vMerge w:val="restart"/>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解读咨询回应</w:t>
            </w:r>
          </w:p>
        </w:tc>
        <w:tc>
          <w:tcPr>
            <w:tcW w:w="629"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互动回应</w:t>
            </w: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回应督办</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落实情况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3</w:t>
            </w:r>
          </w:p>
        </w:tc>
        <w:tc>
          <w:tcPr>
            <w:tcW w:w="7382" w:type="dxa"/>
            <w:tcBorders>
              <w:top w:val="single" w:color="auto" w:sz="4" w:space="0"/>
              <w:left w:val="nil"/>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未按要求及时核实、处置、回应政务舆情并报送县政府办公室的，每一件，扣1分，扣分上限为3分。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　</w:t>
            </w:r>
          </w:p>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根据省政府办公厅日常工作记录情况扣分</w:t>
            </w:r>
          </w:p>
        </w:tc>
      </w:tr>
      <w:tr>
        <w:tblPrEx>
          <w:tblCellMar>
            <w:top w:w="0" w:type="dxa"/>
            <w:left w:w="0" w:type="dxa"/>
            <w:bottom w:w="0" w:type="dxa"/>
            <w:right w:w="0" w:type="dxa"/>
          </w:tblCellMar>
        </w:tblPrEx>
        <w:trPr>
          <w:trHeight w:val="2732" w:hRule="atLeast"/>
          <w:jc w:val="center"/>
        </w:trPr>
        <w:tc>
          <w:tcPr>
            <w:tcW w:w="662" w:type="dxa"/>
            <w:vMerge w:val="continue"/>
            <w:tcBorders>
              <w:top w:val="nil"/>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9"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互动回应</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渠道情况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1</w:t>
            </w: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政务新媒体未建立有效回应渠道的，扣1分。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政务新媒体开通留言、评论功能，并积极与网民互动的，加2分</w:t>
            </w:r>
          </w:p>
        </w:tc>
        <w:tc>
          <w:tcPr>
            <w:tcW w:w="1238"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被考核单位提供相关</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印证材料</w:t>
            </w:r>
          </w:p>
        </w:tc>
      </w:tr>
      <w:tr>
        <w:tblPrEx>
          <w:tblCellMar>
            <w:top w:w="0" w:type="dxa"/>
            <w:left w:w="0" w:type="dxa"/>
            <w:bottom w:w="0" w:type="dxa"/>
            <w:right w:w="0" w:type="dxa"/>
          </w:tblCellMar>
        </w:tblPrEx>
        <w:trPr>
          <w:trHeight w:val="934" w:hRule="atLeast"/>
          <w:jc w:val="center"/>
        </w:trPr>
        <w:tc>
          <w:tcPr>
            <w:tcW w:w="662"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政务公开平台建设管理与基础工作库数据维护</w:t>
            </w:r>
          </w:p>
        </w:tc>
        <w:tc>
          <w:tcPr>
            <w:tcW w:w="629" w:type="dxa"/>
            <w:vMerge w:val="restart"/>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政府公报</w:t>
            </w: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发布情况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2</w:t>
            </w: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全年未发布政府部门规范性文件的，扣1分；公众获取渠道不合理的，扣1分。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根据检查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情况扣分</w:t>
            </w:r>
          </w:p>
        </w:tc>
      </w:tr>
      <w:tr>
        <w:tblPrEx>
          <w:tblCellMar>
            <w:top w:w="0" w:type="dxa"/>
            <w:left w:w="0" w:type="dxa"/>
            <w:bottom w:w="0" w:type="dxa"/>
            <w:right w:w="0" w:type="dxa"/>
          </w:tblCellMar>
        </w:tblPrEx>
        <w:trPr>
          <w:trHeight w:val="2414" w:hRule="atLeast"/>
          <w:jc w:val="center"/>
        </w:trPr>
        <w:tc>
          <w:tcPr>
            <w:tcW w:w="662"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629" w:type="dxa"/>
            <w:vMerge w:val="continue"/>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c>
          <w:tcPr>
            <w:tcW w:w="1235" w:type="dxa"/>
            <w:tcBorders>
              <w:top w:val="single" w:color="auto" w:sz="4" w:space="0"/>
              <w:left w:val="single" w:color="auto" w:sz="4" w:space="0"/>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阅读体验</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rPr>
            </w:pPr>
            <w:r>
              <w:rPr>
                <w:rFonts w:hint="eastAsia" w:ascii="CESI仿宋-GB18030" w:hAnsi="CESI仿宋-GB18030" w:eastAsia="仿宋_GB2312" w:cs="CESI仿宋-GB18030"/>
                <w:sz w:val="21"/>
                <w:szCs w:val="21"/>
                <w:lang w:eastAsia="zh-CN"/>
              </w:rPr>
              <w:t>情况</w:t>
            </w:r>
          </w:p>
        </w:tc>
        <w:tc>
          <w:tcPr>
            <w:tcW w:w="630"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2</w:t>
            </w:r>
          </w:p>
          <w:p>
            <w:pPr>
              <w:keepNext w:val="0"/>
              <w:keepLines w:val="0"/>
              <w:suppressLineNumbers w:val="0"/>
              <w:autoSpaceDE w:val="0"/>
              <w:autoSpaceDN w:val="0"/>
              <w:bidi w:val="0"/>
              <w:spacing w:before="0" w:beforeAutospacing="0" w:after="0" w:afterAutospacing="0"/>
              <w:ind w:left="0" w:right="0"/>
              <w:rPr>
                <w:rFonts w:hint="eastAsia" w:ascii="宋体" w:hAnsi="宋体" w:eastAsia="宋体" w:cs="宋体"/>
                <w:sz w:val="22"/>
                <w:szCs w:val="22"/>
                <w:lang w:val="en-US" w:eastAsia="zh-CN" w:bidi="ar-SA"/>
              </w:rPr>
            </w:pPr>
          </w:p>
          <w:p>
            <w:pPr>
              <w:keepNext w:val="0"/>
              <w:keepLines w:val="0"/>
              <w:suppressLineNumbers w:val="0"/>
              <w:autoSpaceDE w:val="0"/>
              <w:autoSpaceDN w:val="0"/>
              <w:bidi w:val="0"/>
              <w:spacing w:before="0" w:beforeAutospacing="0" w:after="0" w:afterAutospacing="0"/>
              <w:ind w:left="0" w:right="0" w:firstLine="480" w:firstLineChars="0"/>
              <w:jc w:val="center"/>
              <w:rPr>
                <w:rFonts w:hint="eastAsia"/>
                <w:lang w:val="en-US" w:eastAsia="zh-CN"/>
              </w:rPr>
            </w:pPr>
          </w:p>
        </w:tc>
        <w:tc>
          <w:tcPr>
            <w:tcW w:w="7382" w:type="dxa"/>
            <w:tcBorders>
              <w:top w:val="single" w:color="auto" w:sz="4" w:space="0"/>
              <w:left w:val="nil"/>
              <w:bottom w:val="single" w:color="auto" w:sz="4" w:space="0"/>
              <w:right w:val="single" w:color="auto" w:sz="4" w:space="0"/>
            </w:tcBorders>
            <w:shd w:val="clear" w:color="auto" w:fill="auto"/>
            <w:tcMar>
              <w:top w:w="12" w:type="dxa"/>
              <w:left w:w="144"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未在规范性文件发布后5个工作日内发布电子版，或电子版与纸质版不一致的，每一件，扣0.5分，扣分上限为3分。</w:t>
            </w:r>
          </w:p>
        </w:tc>
        <w:tc>
          <w:tcPr>
            <w:tcW w:w="1159" w:type="dxa"/>
            <w:tcBorders>
              <w:top w:val="nil"/>
              <w:left w:val="nil"/>
              <w:bottom w:val="single" w:color="auto" w:sz="4" w:space="0"/>
              <w:right w:val="single" w:color="auto" w:sz="4" w:space="0"/>
            </w:tcBorders>
            <w:shd w:val="clear" w:color="auto" w:fill="auto"/>
            <w:tcMar>
              <w:top w:w="12" w:type="dxa"/>
              <w:left w:w="12" w:type="dxa"/>
              <w:right w:w="12" w:type="dxa"/>
            </w:tcMa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　</w:t>
            </w: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suppressLineNumbers w:val="0"/>
              <w:autoSpaceDE w:val="0"/>
              <w:autoSpaceDN w:val="0"/>
              <w:spacing w:before="0" w:beforeAutospacing="0" w:after="0" w:afterAutospacing="0"/>
              <w:ind w:left="0" w:right="0"/>
              <w:rPr>
                <w:rFonts w:hint="eastAsia" w:ascii="CESI仿宋-GB18030" w:hAnsi="CESI仿宋-GB18030" w:eastAsia="CESI仿宋-GB18030" w:cs="CESI仿宋-GB18030"/>
                <w:sz w:val="21"/>
                <w:szCs w:val="21"/>
                <w:lang w:eastAsia="zh-CN"/>
              </w:rPr>
            </w:pPr>
          </w:p>
        </w:tc>
      </w:tr>
    </w:tbl>
    <w:p>
      <w:pPr>
        <w:jc w:val="both"/>
        <w:rPr>
          <w:rFonts w:hint="eastAsia" w:ascii="CESI仿宋-GB18030" w:hAnsi="CESI仿宋-GB18030" w:eastAsia="仿宋_GB2312" w:cs="CESI仿宋-GB18030"/>
          <w:b/>
          <w:bCs/>
          <w:sz w:val="21"/>
          <w:szCs w:val="21"/>
          <w:lang w:eastAsia="zh-CN"/>
        </w:rPr>
        <w:sectPr>
          <w:footerReference r:id="rId43" w:type="default"/>
          <w:footerReference r:id="rId44"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W w:w="12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674"/>
        <w:gridCol w:w="1290"/>
        <w:gridCol w:w="586"/>
        <w:gridCol w:w="6967"/>
        <w:gridCol w:w="1099"/>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8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一级指标</w:t>
            </w:r>
          </w:p>
        </w:tc>
        <w:tc>
          <w:tcPr>
            <w:tcW w:w="67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696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09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w:t>
            </w:r>
            <w:r>
              <w:rPr>
                <w:rFonts w:hint="eastAsia" w:ascii="CESI仿宋-GB18030" w:hAnsi="CESI仿宋-GB18030" w:eastAsia="仿宋_GB2312" w:cs="CESI仿宋-GB18030"/>
                <w:b/>
                <w:bCs/>
                <w:sz w:val="21"/>
                <w:szCs w:val="21"/>
                <w:lang w:val="en-US" w:eastAsia="zh-CN"/>
              </w:rPr>
              <w:t>标</w:t>
            </w:r>
            <w:r>
              <w:rPr>
                <w:rFonts w:hint="eastAsia" w:ascii="CESI仿宋-GB18030" w:hAnsi="CESI仿宋-GB18030" w:eastAsia="仿宋_GB2312" w:cs="CESI仿宋-GB18030"/>
                <w:b/>
                <w:bCs/>
                <w:sz w:val="21"/>
                <w:szCs w:val="21"/>
                <w:lang w:eastAsia="zh-CN"/>
              </w:rPr>
              <w:t>准</w:t>
            </w: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82" w:type="dxa"/>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政务公开平台建设管理与基础工作库数据维护</w:t>
            </w:r>
          </w:p>
        </w:tc>
        <w:tc>
          <w:tcPr>
            <w:tcW w:w="674"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平台安全</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IPv6</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改造情况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11月底前县政府网站未完成IPv6改造的，扣1分；三级页面链接IPV6支持率未达100%的，扣0.5分。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技术检查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网站安全</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保障情况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各三级以上政府网站当年未完成等保测评的，扣2分；因安全问题被省委网信办或省公安厅约谈或通报的，扣1分。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被考核单位提供相关印证材料＋函询省、市、县网信办和公安部门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专栏专题专区</w:t>
            </w: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公开专栏</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未在网站主页开设“信用中国（城市名）”链接的，扣1分；“政府信息公开平台”建设、管理和维护不符合国家要求的，每发现一处，扣0.5分，扣分上限为2分。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公开专题</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highlight w:val="red"/>
                <w:lang w:eastAsia="zh-CN"/>
              </w:rPr>
            </w:pPr>
            <w:r>
              <w:rPr>
                <w:rFonts w:hint="eastAsia" w:ascii="CESI仿宋-GB18030" w:hAnsi="CESI仿宋-GB18030" w:eastAsia="仿宋_GB2312" w:cs="CESI仿宋-GB18030"/>
                <w:sz w:val="21"/>
                <w:szCs w:val="21"/>
                <w:lang w:eastAsia="zh-CN"/>
              </w:rPr>
              <w:t>未围绕我省转型发展“十四五”规划、法治政府建设、“放管服效”改革、优化营商环境等主题以及政务公开各重点领域制作政策公开及解读专题的，扣2分。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“我为政府网站找错”</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链接及</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办理情况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按要求在网站首页及其他页面底部功能区规范添加“我为政府网站找错”入口的，扣2分；网民留言超过2个工作日未答复的，每发现一条扣1分；存在答复内容质量不高，有推谈、敷衍等现象的，每发现一条扣1分，扣分上限为3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78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4"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9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公开专区建设情况</w:t>
            </w:r>
          </w:p>
        </w:tc>
        <w:tc>
          <w:tcPr>
            <w:tcW w:w="586" w:type="dxa"/>
            <w:vAlign w:val="center"/>
          </w:tcPr>
          <w:p>
            <w:pPr>
              <w:keepNext w:val="0"/>
              <w:keepLines w:val="0"/>
              <w:suppressLineNumbers w:val="0"/>
              <w:autoSpaceDE w:val="0"/>
              <w:autoSpaceDN w:val="0"/>
              <w:spacing w:before="0" w:beforeAutospacing="0" w:after="0" w:afterAutospacing="0"/>
              <w:ind w:left="0" w:right="0"/>
              <w:jc w:val="center"/>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val="en-US" w:eastAsia="zh-CN"/>
              </w:rPr>
              <w:t>1</w:t>
            </w:r>
          </w:p>
        </w:tc>
        <w:tc>
          <w:tcPr>
            <w:tcW w:w="6967" w:type="dxa"/>
            <w:vAlign w:val="center"/>
          </w:tcPr>
          <w:p>
            <w:pPr>
              <w:keepNext w:val="0"/>
              <w:keepLines w:val="0"/>
              <w:suppressLineNumbers w:val="0"/>
              <w:autoSpaceDE w:val="0"/>
              <w:autoSpaceDN w:val="0"/>
              <w:spacing w:before="0" w:beforeAutospacing="0" w:after="0" w:afterAutospacing="0"/>
              <w:ind w:left="0" w:right="0"/>
              <w:jc w:val="both"/>
              <w:rPr>
                <w:rFonts w:hint="default" w:ascii="CESI仿宋-GB18030" w:hAnsi="CESI仿宋-GB18030" w:eastAsia="仿宋_GB2312" w:cs="CESI仿宋-GB18030"/>
                <w:sz w:val="21"/>
                <w:szCs w:val="21"/>
                <w:lang w:val="en-US" w:eastAsia="zh-CN"/>
              </w:rPr>
            </w:pPr>
            <w:r>
              <w:rPr>
                <w:rFonts w:hint="eastAsia" w:ascii="CESI仿宋-GB18030" w:hAnsi="CESI仿宋-GB18030" w:eastAsia="仿宋_GB2312" w:cs="CESI仿宋-GB18030"/>
                <w:sz w:val="21"/>
                <w:szCs w:val="21"/>
                <w:lang w:eastAsia="zh-CN"/>
              </w:rPr>
              <w:t>未完成政务公开专区建设任务的扣</w:t>
            </w:r>
            <w:r>
              <w:rPr>
                <w:rFonts w:hint="eastAsia" w:ascii="CESI仿宋-GB18030" w:hAnsi="CESI仿宋-GB18030" w:eastAsia="仿宋_GB2312" w:cs="CESI仿宋-GB18030"/>
                <w:sz w:val="21"/>
                <w:szCs w:val="21"/>
                <w:lang w:val="en-US" w:eastAsia="zh-CN"/>
              </w:rPr>
              <w:t>1分。</w:t>
            </w:r>
          </w:p>
        </w:tc>
        <w:tc>
          <w:tcPr>
            <w:tcW w:w="109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53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实地检查县行政审批局</w:t>
            </w:r>
          </w:p>
        </w:tc>
      </w:tr>
    </w:tbl>
    <w:p>
      <w:pPr>
        <w:rPr>
          <w:lang w:eastAsia="zh-CN"/>
        </w:rPr>
        <w:sectPr>
          <w:footerReference r:id="rId45" w:type="default"/>
          <w:footerReference r:id="rId46"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p/>
    <w:tbl>
      <w:tblPr>
        <w:tblStyle w:val="6"/>
        <w:tblW w:w="12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672"/>
        <w:gridCol w:w="1284"/>
        <w:gridCol w:w="584"/>
        <w:gridCol w:w="7950"/>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67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9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609"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Merge w:val="restart"/>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政务公开平台建设管理与基础工作库数据</w:t>
            </w:r>
          </w:p>
        </w:tc>
        <w:tc>
          <w:tcPr>
            <w:tcW w:w="672" w:type="dxa"/>
            <w:vMerge w:val="restart"/>
            <w:vAlign w:val="center"/>
          </w:tcPr>
          <w:p>
            <w:pPr>
              <w:keepNext w:val="0"/>
              <w:keepLines w:val="0"/>
              <w:suppressLineNumbers w:val="0"/>
              <w:autoSpaceDE w:val="0"/>
              <w:autoSpaceDN w:val="0"/>
              <w:spacing w:before="0" w:beforeAutospacing="0" w:after="0" w:afterAutospacing="0"/>
              <w:ind w:left="0" w:right="15" w:rightChars="7"/>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监管责任</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检查通报</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未完成每季度对全县政府网站和政务新媒体全覆盖检查的，少一次，扣0.5分，扣分上限为2分。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整改落实</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未根据国办、省政府办公厅、市政府办公室通报情况督促整改落实的，有一项，扣 l分，扣分上限为3分。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restart"/>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基础工作库数据维护</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网站与新媒体报送系统数据维护</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全国政府网站信息报送系统、全国政务新媒体信息报送系统中信息更新不准确、不及时，或存在漏报瞒报的，每发现1处，扣0.5分，扣分上限为4分。</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信用修复</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核查情况</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2</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按照国家信用修复工作要求进行核查规范性和时效性：</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规范性得分=(1-错误率）</w:t>
            </w:r>
            <w:r>
              <w:rPr>
                <w:rFonts w:hint="eastAsia" w:ascii="CESI仿宋-GB18030" w:hAnsi="CESI仿宋-GB18030" w:eastAsia="仿宋_GB2312" w:cs="CESI仿宋-GB18030"/>
                <w:sz w:val="21"/>
                <w:szCs w:val="21"/>
                <w:lang w:val="en-US" w:eastAsia="zh-CN"/>
              </w:rPr>
              <w:t>x</w:t>
            </w:r>
            <w:r>
              <w:rPr>
                <w:rFonts w:hint="eastAsia" w:ascii="CESI仿宋-GB18030" w:hAnsi="CESI仿宋-GB18030" w:eastAsia="仿宋_GB2312" w:cs="CESI仿宋-GB18030"/>
                <w:sz w:val="21"/>
                <w:szCs w:val="21"/>
                <w:lang w:eastAsia="zh-CN"/>
              </w:rPr>
              <w:t>2(错误率＝核查错误量／信用修复总量；核查错误</w:t>
            </w:r>
            <w:r>
              <w:rPr>
                <w:rFonts w:hint="eastAsia" w:ascii="CESI仿宋-GB18030" w:hAnsi="CESI仿宋-GB18030" w:eastAsia="仿宋_GB2312" w:cs="CESI仿宋-GB18030"/>
                <w:sz w:val="21"/>
                <w:szCs w:val="21"/>
                <w:lang w:val="en-US" w:eastAsia="zh-CN"/>
              </w:rPr>
              <w:t>量</w:t>
            </w:r>
            <w:r>
              <w:rPr>
                <w:rFonts w:hint="eastAsia" w:ascii="CESI仿宋-GB18030" w:hAnsi="CESI仿宋-GB18030" w:eastAsia="仿宋_GB2312" w:cs="CESI仿宋-GB18030"/>
                <w:sz w:val="21"/>
                <w:szCs w:val="21"/>
                <w:lang w:eastAsia="zh-CN"/>
              </w:rPr>
              <w:t>＝省级复审或国家终审拒绝的数量。核查错误率超过30%的，直接扣2分，此项最高得分2分）。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jc w:val="center"/>
        </w:trPr>
        <w:tc>
          <w:tcPr>
            <w:tcW w:w="778" w:type="dxa"/>
            <w:vMerge w:val="continue"/>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c>
          <w:tcPr>
            <w:tcW w:w="672"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季度通报</w:t>
            </w:r>
          </w:p>
        </w:tc>
        <w:tc>
          <w:tcPr>
            <w:tcW w:w="12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省政府办公厅季度通报情况考核</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运用</w:t>
            </w:r>
          </w:p>
        </w:tc>
        <w:tc>
          <w:tcPr>
            <w:tcW w:w="584"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10</w:t>
            </w:r>
          </w:p>
        </w:tc>
        <w:tc>
          <w:tcPr>
            <w:tcW w:w="7950"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根据全年网站和新媒体检查通报情况对11个设区市进行排名（可并列），根据排名情况赋分，分别为第一名得10分，第二名得9分，第三名得8分以此类推。</w:t>
            </w:r>
          </w:p>
        </w:tc>
        <w:tc>
          <w:tcPr>
            <w:tcW w:w="1609" w:type="dxa"/>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p>
        </w:tc>
      </w:tr>
    </w:tbl>
    <w:p>
      <w:pPr>
        <w:rPr>
          <w:lang w:eastAsia="zh-CN"/>
        </w:rPr>
        <w:sectPr>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pPr>
    </w:p>
    <w:tbl>
      <w:tblPr>
        <w:tblStyle w:val="6"/>
        <w:tblpPr w:leftFromText="180" w:rightFromText="180" w:vertAnchor="text" w:horzAnchor="page" w:tblpXSpec="center" w:tblpY="480"/>
        <w:tblOverlap w:val="never"/>
        <w:tblW w:w="12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646"/>
        <w:gridCol w:w="1236"/>
        <w:gridCol w:w="540"/>
        <w:gridCol w:w="7075"/>
        <w:gridCol w:w="1152"/>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777"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仿宋_GB2312" w:cs="CESI仿宋-GB18030"/>
                <w:b/>
                <w:bCs/>
                <w:sz w:val="21"/>
                <w:szCs w:val="21"/>
                <w:lang w:eastAsia="zh-CN"/>
              </w:rPr>
            </w:pPr>
            <w:r>
              <w:rPr>
                <w:rFonts w:hint="eastAsia" w:ascii="CESI仿宋-GB18030" w:hAnsi="CESI仿宋-GB18030" w:eastAsia="仿宋_GB2312" w:cs="CESI仿宋-GB18030"/>
                <w:b/>
                <w:bCs/>
                <w:sz w:val="21"/>
                <w:szCs w:val="21"/>
                <w:lang w:eastAsia="zh-CN"/>
              </w:rPr>
              <w:t>一级</w:t>
            </w:r>
          </w:p>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指标</w:t>
            </w:r>
          </w:p>
        </w:tc>
        <w:tc>
          <w:tcPr>
            <w:tcW w:w="64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二级</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指标</w:t>
            </w:r>
          </w:p>
        </w:tc>
        <w:tc>
          <w:tcPr>
            <w:tcW w:w="1236"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三级指标</w:t>
            </w:r>
          </w:p>
        </w:tc>
        <w:tc>
          <w:tcPr>
            <w:tcW w:w="54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赋</w:t>
            </w:r>
            <w:r>
              <w:rPr>
                <w:rFonts w:hint="eastAsia" w:ascii="CESI仿宋-GB18030" w:hAnsi="CESI仿宋-GB18030" w:eastAsia="仿宋_GB2312" w:cs="CESI仿宋-GB18030"/>
                <w:b/>
                <w:bCs/>
                <w:sz w:val="21"/>
                <w:szCs w:val="21"/>
                <w:lang w:eastAsia="zh-CN"/>
              </w:rPr>
              <w:br w:type="textWrapping"/>
            </w:r>
            <w:r>
              <w:rPr>
                <w:rFonts w:hint="eastAsia" w:ascii="CESI仿宋-GB18030" w:hAnsi="CESI仿宋-GB18030" w:eastAsia="仿宋_GB2312" w:cs="CESI仿宋-GB18030"/>
                <w:b/>
                <w:bCs/>
                <w:sz w:val="21"/>
                <w:szCs w:val="21"/>
                <w:lang w:eastAsia="zh-CN"/>
              </w:rPr>
              <w:t>分</w:t>
            </w:r>
          </w:p>
        </w:tc>
        <w:tc>
          <w:tcPr>
            <w:tcW w:w="7075"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扣分标准</w:t>
            </w:r>
          </w:p>
        </w:tc>
        <w:tc>
          <w:tcPr>
            <w:tcW w:w="1152"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加分标准</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b/>
                <w:bCs/>
                <w:sz w:val="21"/>
                <w:szCs w:val="21"/>
                <w:lang w:eastAsia="zh-CN"/>
              </w:rPr>
            </w:pPr>
            <w:r>
              <w:rPr>
                <w:rFonts w:hint="eastAsia" w:ascii="CESI仿宋-GB18030" w:hAnsi="CESI仿宋-GB18030" w:eastAsia="仿宋_GB2312" w:cs="CESI仿宋-GB18030"/>
                <w:b/>
                <w:bCs/>
                <w:sz w:val="21"/>
                <w:szCs w:val="21"/>
                <w:lang w:eastAsia="zh-CN"/>
              </w:rPr>
              <w:t>考核方式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9" w:hRule="atLeast"/>
          <w:jc w:val="center"/>
        </w:trPr>
        <w:tc>
          <w:tcPr>
            <w:tcW w:w="777" w:type="dxa"/>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综合加分项</w:t>
            </w:r>
          </w:p>
        </w:tc>
        <w:tc>
          <w:tcPr>
            <w:tcW w:w="10649" w:type="dxa"/>
            <w:gridSpan w:val="5"/>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（一）因成绩突出受到国家级、省部级表彰的先进或优秀单位（可累计），每项加5分；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（二）因成绩突出，被人民日报、中国政府网、中央电视台、新华网主站正面专题报道的；被省领导批示表扬或在全省大会上点名表扬的，每项加3分；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（三）连续三年在政务公开工作考核中取得优秀等次，并在省级或市级政务公开工作大会或培训会上做过经验交流发言的，加2分；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（四）入选全省政务公开“亮点工程”的，每项每单位加2分（可累计）；</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加分后总分超过100分的，以100分计。</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各被考核单位提供印证材料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777" w:type="dxa"/>
            <w:textDirection w:val="tbLrV"/>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重大扣分项</w:t>
            </w:r>
          </w:p>
        </w:tc>
        <w:tc>
          <w:tcPr>
            <w:tcW w:w="10649" w:type="dxa"/>
            <w:gridSpan w:val="5"/>
            <w:vAlign w:val="center"/>
          </w:tcPr>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考核中有下列情形的，每发现</w:t>
            </w:r>
            <w:r>
              <w:rPr>
                <w:rFonts w:hint="eastAsia" w:ascii="CESI仿宋-GB18030" w:hAnsi="CESI仿宋-GB18030" w:eastAsia="仿宋_GB2312" w:cs="CESI仿宋-GB18030"/>
                <w:sz w:val="21"/>
                <w:szCs w:val="21"/>
                <w:lang w:val="en-US" w:eastAsia="zh-CN"/>
              </w:rPr>
              <w:t>1</w:t>
            </w:r>
            <w:r>
              <w:rPr>
                <w:rFonts w:hint="eastAsia" w:ascii="CESI仿宋-GB18030" w:hAnsi="CESI仿宋-GB18030" w:eastAsia="仿宋_GB2312" w:cs="CESI仿宋-GB18030"/>
                <w:sz w:val="21"/>
                <w:szCs w:val="21"/>
                <w:lang w:eastAsia="zh-CN"/>
              </w:rPr>
              <w:t>起，在总得分的基础上扣10分：</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（一）因依申请公开被提起行政复议或行政诉讼，被判败诉的；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（二）政府公报、政府网站、政府系统政务新媒体等公开平台出现严重低级错误被通报或引起较大范围负面舆情的；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（三）政府网站、政府系统政务新媒体存在严重安全漏洞、非法链接或造成失泄密事件的；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仿宋_GB2312" w:cs="CESI仿宋-GB18030"/>
                <w:sz w:val="21"/>
                <w:szCs w:val="21"/>
                <w:lang w:eastAsia="zh-CN"/>
              </w:rPr>
            </w:pPr>
            <w:r>
              <w:rPr>
                <w:rFonts w:hint="eastAsia" w:ascii="CESI仿宋-GB18030" w:hAnsi="CESI仿宋-GB18030" w:eastAsia="仿宋_GB2312" w:cs="CESI仿宋-GB18030"/>
                <w:sz w:val="21"/>
                <w:szCs w:val="21"/>
                <w:lang w:eastAsia="zh-CN"/>
              </w:rPr>
              <w:t>（四）因政策解读、回应公众关切不及时、不妥当引起较大范围负面舆情的；</w:t>
            </w:r>
          </w:p>
          <w:p>
            <w:pPr>
              <w:keepNext w:val="0"/>
              <w:keepLines w:val="0"/>
              <w:suppressLineNumbers w:val="0"/>
              <w:autoSpaceDE w:val="0"/>
              <w:autoSpaceDN w:val="0"/>
              <w:spacing w:before="0" w:beforeAutospacing="0" w:after="0" w:afterAutospacing="0"/>
              <w:ind w:left="0" w:right="0"/>
              <w:jc w:val="both"/>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（五）在接受政务公开工作考核时弄虚作假的。</w:t>
            </w:r>
          </w:p>
        </w:tc>
        <w:tc>
          <w:tcPr>
            <w:tcW w:w="1550" w:type="dxa"/>
            <w:vAlign w:val="center"/>
          </w:tcPr>
          <w:p>
            <w:pPr>
              <w:keepNext w:val="0"/>
              <w:keepLines w:val="0"/>
              <w:suppressLineNumbers w:val="0"/>
              <w:autoSpaceDE w:val="0"/>
              <w:autoSpaceDN w:val="0"/>
              <w:spacing w:before="0" w:beforeAutospacing="0" w:after="0" w:afterAutospacing="0"/>
              <w:ind w:left="0" w:right="0"/>
              <w:jc w:val="center"/>
              <w:rPr>
                <w:rFonts w:hint="eastAsia" w:ascii="CESI仿宋-GB18030" w:hAnsi="CESI仿宋-GB18030" w:eastAsia="CESI仿宋-GB18030" w:cs="CESI仿宋-GB18030"/>
                <w:sz w:val="21"/>
                <w:szCs w:val="21"/>
                <w:lang w:eastAsia="zh-CN"/>
              </w:rPr>
            </w:pPr>
            <w:r>
              <w:rPr>
                <w:rFonts w:hint="eastAsia" w:ascii="CESI仿宋-GB18030" w:hAnsi="CESI仿宋-GB18030" w:eastAsia="仿宋_GB2312" w:cs="CESI仿宋-GB18030"/>
                <w:sz w:val="21"/>
                <w:szCs w:val="21"/>
                <w:lang w:eastAsia="zh-CN"/>
              </w:rPr>
              <w:t>根据考核情况评定</w:t>
            </w:r>
          </w:p>
        </w:tc>
      </w:tr>
    </w:tbl>
    <w:p>
      <w:pPr>
        <w:jc w:val="both"/>
        <w:rPr>
          <w:rFonts w:hint="eastAsia" w:ascii="方正小标宋_GBK" w:hAnsi="方正小标宋_GBK" w:eastAsia="方正小标宋_GBK" w:cs="方正小标宋_GBK"/>
          <w:sz w:val="32"/>
          <w:szCs w:val="32"/>
          <w:lang w:val="en-US" w:eastAsia="zh-CN"/>
        </w:rPr>
      </w:pPr>
      <w:r>
        <w:rPr>
          <w:sz w:val="22"/>
        </w:rPr>
        <mc:AlternateContent>
          <mc:Choice Requires="wps">
            <w:drawing>
              <wp:anchor distT="0" distB="0" distL="114300" distR="114300" simplePos="0" relativeHeight="251665408" behindDoc="0" locked="0" layoutInCell="1" allowOverlap="1">
                <wp:simplePos x="0" y="0"/>
                <wp:positionH relativeFrom="column">
                  <wp:posOffset>-140335</wp:posOffset>
                </wp:positionH>
                <wp:positionV relativeFrom="paragraph">
                  <wp:posOffset>4445</wp:posOffset>
                </wp:positionV>
                <wp:extent cx="0" cy="5731510"/>
                <wp:effectExtent l="0" t="0" r="0" b="0"/>
                <wp:wrapNone/>
                <wp:docPr id="30" name="直接连接符 30"/>
                <wp:cNvGraphicFramePr/>
                <a:graphic xmlns:a="http://schemas.openxmlformats.org/drawingml/2006/main">
                  <a:graphicData uri="http://schemas.microsoft.com/office/word/2010/wordprocessingShape">
                    <wps:wsp>
                      <wps:cNvCnPr/>
                      <wps:spPr>
                        <a:xfrm>
                          <a:off x="1019810" y="1127125"/>
                          <a:ext cx="0" cy="57315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05pt;margin-top:0.35pt;height:451.3pt;width:0pt;z-index:251665408;mso-width-relative:page;mso-height-relative:page;" filled="f" stroked="t" coordsize="21600,21600" o:gfxdata="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OyEvMtUA&#10;AAAIAQAADwAAAAAAAAABACAAAAA4AAAAZHJzL2Rvd25yZXYueG1sUEsBAhQAFAAAAAgAh07iQKrH&#10;0C7TAQAAcQMAAA4AAAAAAAAAAQAgAAAAOgEAAGRycy9lMm9Eb2MueG1sUEsFBgAAAAAGAAYAWQEA&#10;AH8FAAAAAA==&#10;">
                <v:fill on="f" focussize="0,0"/>
                <v:stroke weight="0.5pt" color="#000000 [3213]" miterlimit="8" joinstyle="miter"/>
                <v:imagedata o:title=""/>
                <o:lock v:ext="edit" aspectratio="f"/>
              </v:line>
            </w:pict>
          </mc:Fallback>
        </mc:AlternateContent>
      </w:r>
      <w:r>
        <w:rPr>
          <w:sz w:val="22"/>
        </w:rPr>
        <mc:AlternateContent>
          <mc:Choice Requires="wps">
            <w:drawing>
              <wp:anchor distT="0" distB="0" distL="114300" distR="114300" simplePos="0" relativeHeight="251664384" behindDoc="0" locked="0" layoutInCell="1" allowOverlap="1">
                <wp:simplePos x="0" y="0"/>
                <wp:positionH relativeFrom="column">
                  <wp:posOffset>-528955</wp:posOffset>
                </wp:positionH>
                <wp:positionV relativeFrom="paragraph">
                  <wp:posOffset>7620</wp:posOffset>
                </wp:positionV>
                <wp:extent cx="0" cy="5728335"/>
                <wp:effectExtent l="4445" t="0" r="14605" b="5715"/>
                <wp:wrapNone/>
                <wp:docPr id="31" name="直接连接符 31"/>
                <wp:cNvGraphicFramePr/>
                <a:graphic xmlns:a="http://schemas.openxmlformats.org/drawingml/2006/main">
                  <a:graphicData uri="http://schemas.microsoft.com/office/word/2010/wordprocessingShape">
                    <wps:wsp>
                      <wps:cNvCnPr/>
                      <wps:spPr>
                        <a:xfrm>
                          <a:off x="613410" y="1152525"/>
                          <a:ext cx="0" cy="5728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1.65pt;margin-top:0.6pt;height:451.05pt;width:0pt;z-index:251664384;mso-width-relative:page;mso-height-relative:page;" filled="f" stroked="t" coordsize="21600,21600" o:gfxdata="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EGrZL1AAA&#10;AAkBAAAPAAAAAAAAAAEAIAAAADgAAABkcnMvZG93bnJldi54bWxQSwECFAAUAAAACACHTuJAWwu4&#10;aNMBAABwAwAADgAAAAAAAAABACAAAAA5AQAAZHJzL2Uyb0RvYy54bWxQSwUGAAAAAAYABgBZAQAA&#10;fgUAAAAA&#10;">
                <v:fill on="f" focussize="0,0"/>
                <v:stroke weight="0.5pt" color="#000000 [3200]" miterlimit="8" joinstyle="miter"/>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-532130</wp:posOffset>
                </wp:positionH>
                <wp:positionV relativeFrom="paragraph">
                  <wp:posOffset>218440</wp:posOffset>
                </wp:positionV>
                <wp:extent cx="417830" cy="5504815"/>
                <wp:effectExtent l="0" t="0" r="1270" b="635"/>
                <wp:wrapNone/>
                <wp:docPr id="32" name="文本框 32"/>
                <wp:cNvGraphicFramePr/>
                <a:graphic xmlns:a="http://schemas.openxmlformats.org/drawingml/2006/main">
                  <a:graphicData uri="http://schemas.microsoft.com/office/word/2010/wordprocessingShape">
                    <wps:wsp>
                      <wps:cNvSpPr txBox="true"/>
                      <wps:spPr>
                        <a:xfrm>
                          <a:off x="0" y="0"/>
                          <a:ext cx="417830" cy="5504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_GB2312" w:eastAsia="仿宋_GB2312"/>
                                <w:color w:val="auto"/>
                                <w:sz w:val="28"/>
                                <w:szCs w:val="28"/>
                              </w:rPr>
                              <w:t xml:space="preserve">曲沃县人民政府办公室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202</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27</w:t>
                            </w:r>
                            <w:r>
                              <w:rPr>
                                <w:rFonts w:hint="eastAsia" w:ascii="仿宋_GB2312" w:eastAsia="仿宋_GB2312"/>
                                <w:color w:val="auto"/>
                                <w:sz w:val="28"/>
                                <w:szCs w:val="28"/>
                              </w:rPr>
                              <w:t>日印发</w:t>
                            </w:r>
                          </w:p>
                        </w:txbxContent>
                      </wps:txbx>
                      <wps:bodyPr rot="0" spcFirstLastPara="0" vertOverflow="overflow" horzOverflow="overflow" vert="vert"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41.9pt;margin-top:17.2pt;height:433.45pt;width:32.9pt;z-index:251663360;mso-width-relative:page;mso-height-relative:page;" fillcolor="#FFFFFF [3201]" filled="t" stroked="f" coordsize="21600,21600" o:gfxdata="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WAAAAZHJzL1BLAQIUABQAAAAIAIdO4kBxlaIY2QAAAAoBAAAP&#10;AAAAAAAAAAEAIAAAADgAAABkcnMvZG93bnJldi54bWxQSwECFAAUAAAACACHTuJA5EANZDoCAABV&#10;BAAADgAAAAAAAAABACAAAAA+AQAAZHJzL2Uyb0RvYy54bWxQSwUGAAAAAAYABgBZAQAA6gUAAAAA&#10;">
                <v:fill on="t" focussize="0,0"/>
                <v:stroke on="f" weight="0.5pt"/>
                <v:imagedata o:title=""/>
                <o:lock v:ext="edit" aspectratio="f"/>
                <v:textbox style="layout-flow:vertical;">
                  <w:txbxContent>
                    <w:p>
                      <w:r>
                        <w:rPr>
                          <w:rFonts w:hint="eastAsia" w:ascii="仿宋_GB2312" w:eastAsia="仿宋_GB2312"/>
                          <w:color w:val="auto"/>
                          <w:sz w:val="28"/>
                          <w:szCs w:val="28"/>
                        </w:rPr>
                        <w:t xml:space="preserve">曲沃县人民政府办公室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202</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年</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月</w:t>
                      </w:r>
                      <w:r>
                        <w:rPr>
                          <w:rFonts w:hint="eastAsia" w:ascii="仿宋_GB2312" w:eastAsia="仿宋_GB2312"/>
                          <w:color w:val="auto"/>
                          <w:sz w:val="28"/>
                          <w:szCs w:val="28"/>
                          <w:lang w:val="en-US" w:eastAsia="zh-CN"/>
                        </w:rPr>
                        <w:t>27</w:t>
                      </w:r>
                      <w:r>
                        <w:rPr>
                          <w:rFonts w:hint="eastAsia" w:ascii="仿宋_GB2312" w:eastAsia="仿宋_GB2312"/>
                          <w:color w:val="auto"/>
                          <w:sz w:val="28"/>
                          <w:szCs w:val="28"/>
                        </w:rPr>
                        <w:t>日印发</w:t>
                      </w:r>
                    </w:p>
                  </w:txbxContent>
                </v:textbox>
              </v:shape>
            </w:pict>
          </mc:Fallback>
        </mc:AlternateContent>
      </w:r>
    </w:p>
    <w:p>
      <w:pPr>
        <w:rPr>
          <w:b/>
          <w:bCs/>
        </w:rPr>
      </w:pPr>
      <w:bookmarkStart w:id="0" w:name="_GoBack"/>
      <w:bookmarkEnd w:id="0"/>
    </w:p>
    <w:sectPr>
      <w:headerReference r:id="rId47" w:type="default"/>
      <w:footerReference r:id="rId49" w:type="default"/>
      <w:headerReference r:id="rId48" w:type="even"/>
      <w:footerReference r:id="rId50" w:type="even"/>
      <w:pgSz w:w="16838" w:h="11906" w:orient="landscape"/>
      <w:pgMar w:top="1440" w:right="1800" w:bottom="1440" w:left="1800" w:header="720" w:footer="720" w:gutter="0"/>
      <w:pgBorders>
        <w:top w:val="none" w:sz="0" w:space="0"/>
        <w:left w:val="none" w:sz="0" w:space="0"/>
        <w:bottom w:val="none" w:sz="0" w:space="0"/>
        <w:right w:val="none" w:sz="0" w:space="0"/>
      </w:pgBorders>
      <w:pgNumType w:fmt="numberInDash"/>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CESI黑体-GB18030">
    <w:panose1 w:val="02000500000000000000"/>
    <w:charset w:val="86"/>
    <w:family w:val="auto"/>
    <w:pitch w:val="default"/>
    <w:sig w:usb0="A00002BF" w:usb1="38C7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CESI仿宋-GB18030">
    <w:panose1 w:val="02000500000000000000"/>
    <w:charset w:val="86"/>
    <w:family w:val="auto"/>
    <w:pitch w:val="default"/>
    <w:sig w:usb0="A00002BF" w:usb1="38C77CFA" w:usb2="00000016"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posOffset>-615950</wp:posOffset>
              </wp:positionH>
              <wp:positionV relativeFrom="paragraph">
                <wp:posOffset>-1050925</wp:posOffset>
              </wp:positionV>
              <wp:extent cx="352425" cy="57340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352425" cy="573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- 13 -</w:t>
                          </w:r>
                          <w:r>
                            <w:rPr>
                              <w:rFonts w:hint="eastAsia"/>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8.5pt;margin-top:-82.75pt;height:45.15pt;width:27.75pt;mso-position-horizontal-relative:margin;z-index:251662336;mso-width-relative:page;mso-height-relative:page;" filled="f" stroked="f" coordsize="21600,21600" o:gfxdata="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LDrG7HZAAAADAEAAA8AAAAAAAAAAQAgAAAAOAAAAGRycy9k&#10;b3ducmV2LnhtbFBLAQIUABQAAAAIAIdO4kAx0qWRJAIAACsEAAAOAAAAAAAAAAEAIAAAAD4BAABk&#10;cnMvZTJvRG9jLnhtbFBLBQYAAAAABgAGAFkBAADUBQAAAAA=&#10;">
              <v:fill on="f" focussize="0,0"/>
              <v:stroke on="f" weight="0.5pt"/>
              <v:imagedata o:title=""/>
              <o:lock v:ext="edit" aspectratio="f"/>
              <v:textbox inset="0mm,0mm,0mm,0mm" style="layout-flow:vertical-ideographic;">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- 13 -</w:t>
                    </w:r>
                    <w:r>
                      <w:rPr>
                        <w:rFonts w:hint="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8480" behindDoc="0" locked="0" layoutInCell="1" allowOverlap="1">
              <wp:simplePos x="0" y="0"/>
              <wp:positionH relativeFrom="margin">
                <wp:posOffset>-480060</wp:posOffset>
              </wp:positionH>
              <wp:positionV relativeFrom="paragraph">
                <wp:posOffset>-1120140</wp:posOffset>
              </wp:positionV>
              <wp:extent cx="1828800" cy="554355"/>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554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7.8pt;margin-top:-88.2pt;height:43.65pt;width:144pt;mso-position-horizontal-relative:margin;z-index:251668480;mso-width-relative:page;mso-height-relative:page;" filled="f" stroked="f" coordsize="21600,21600" o:gfxdata="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BNz9o61wAAAAwBAAAPAAAAAAAAAAEAIAAAADgAAABkcnMvZG93&#10;bnJldi54bWxQSwECFAAUAAAACACHTuJAwwfLbyQCAAAuBAAADgAAAAAAAAABACAAAAA8AQAAZHJz&#10;L2Uyb0RvYy54bWxQSwUGAAAAAAYABgBZAQAA0gU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- 4 -</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4384" behindDoc="0" locked="0" layoutInCell="1" allowOverlap="1">
              <wp:simplePos x="0" y="0"/>
              <wp:positionH relativeFrom="margin">
                <wp:posOffset>-477520</wp:posOffset>
              </wp:positionH>
              <wp:positionV relativeFrom="paragraph">
                <wp:posOffset>-1028700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- 5 -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7.6pt;margin-top:-81pt;height:144pt;width:144pt;mso-position-horizontal-relative:margin;mso-wrap-style:none;z-index:251664384;mso-width-relative:page;mso-height-relative:page;" filled="f" stroked="f" coordsize="21600,21600" o:gfxdata="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WAAAAZHJz&#10;L1BLAQIUABQAAAAIAIdO4kDRuxr62gAAAAwBAAAPAAAAAAAAAAEAIAAAADgAAABkcnMvZG93bnJl&#10;di54bWxQSwECFAAUAAAACACHTuJAuHHuAh4CAAArBAAADgAAAAAAAAABACAAAAA/AQAAZHJzL2Uy&#10;b0RvYy54bWxQSwUGAAAAAAYABgBZAQAAzwU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- 5 -</w:t>
                    </w:r>
                    <w:r>
                      <w:rPr>
                        <w:rFonts w:hint="eastAsia"/>
                        <w:sz w:val="28"/>
                        <w:szCs w:val="28"/>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- 6 -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- 6 -</w:t>
                    </w:r>
                    <w:r>
                      <w:rPr>
                        <w:rFonts w:hint="eastAsia"/>
                        <w:lang w:eastAsia="zh-CN"/>
                      </w:rPr>
                      <w:fldChar w:fldCharType="end"/>
                    </w:r>
                  </w:p>
                </w:txbxContent>
              </v:textbox>
            </v:shape>
          </w:pict>
        </mc:Fallback>
      </mc:AlternateContent>
    </w:r>
  </w:p>
  <w:p>
    <w:pPr>
      <w:pStyle w:val="3"/>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66432" behindDoc="0" locked="0" layoutInCell="1" allowOverlap="1">
              <wp:simplePos x="0" y="0"/>
              <wp:positionH relativeFrom="margin">
                <wp:posOffset>-462280</wp:posOffset>
              </wp:positionH>
              <wp:positionV relativeFrom="paragraph">
                <wp:posOffset>-716280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- 7 -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6.4pt;margin-top:-56.4pt;height:144pt;width:144pt;mso-position-horizontal-relative:margin;mso-wrap-style:none;z-index:251666432;mso-width-relative:page;mso-height-relative:page;" filled="f" stroked="f" coordsize="21600,21600" o:gfxdata="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LQyIyHZAAAADAEAAA8AAAAAAAAAAQAgAAAAOAAAAGRycy9kb3ducmV2&#10;LnhtbFBLAQIUABQAAAAIAIdO4kBEHdPuHgIAACsEAAAOAAAAAAAAAAEAIAAAAD4BAABkcnMvZTJv&#10;RG9jLnhtbFBLBQYAAAAABgAGAFkBAADOBQAAAAA=&#10;">
              <v:fill on="f" focussize="0,0"/>
              <v:stroke on="f" weight="0.5pt"/>
              <v:imagedata o:title=""/>
              <o:lock v:ext="edit" aspectratio="f"/>
              <v:textbox inset="0mm,0mm,0mm,0mm" style="layout-flow:vertical-ideographic;mso-fit-shape-to-text:t;">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- 7 -</w:t>
                    </w:r>
                    <w:r>
                      <w:rPr>
                        <w:rFonts w:hint="eastAsia"/>
                        <w:sz w:val="28"/>
                        <w:szCs w:val="28"/>
                        <w:lang w:eastAsia="zh-CN"/>
                      </w:rPr>
                      <w:fldChar w:fldCharType="end"/>
                    </w:r>
                  </w:p>
                </w:txbxContent>
              </v:textbox>
            </v:shape>
          </w:pict>
        </mc:Fallback>
      </mc:AlternateContent>
    </w:r>
  </w:p>
  <w:p>
    <w:pPr>
      <w:pStyle w:val="3"/>
      <w:jc w:val="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67456" behindDoc="0" locked="0" layoutInCell="1" allowOverlap="1">
              <wp:simplePos x="0" y="0"/>
              <wp:positionH relativeFrom="margin">
                <wp:posOffset>-416560</wp:posOffset>
              </wp:positionH>
              <wp:positionV relativeFrom="paragraph">
                <wp:posOffset>-746760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2.8pt;margin-top:-58.8pt;height:144pt;width:144pt;mso-position-horizontal-relative:margin;mso-wrap-style:none;z-index:251667456;mso-width-relative:page;mso-height-relative:page;" filled="f" stroked="f" coordsize="21600,21600" o:gfxdata="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PbbUvTbAAAADAEAAA8AAAAAAAAAAQAgAAAAOAAAAGRycy9kb3du&#10;cmV2LnhtbFBLAQIUABQAAAAIAIdO4kAfxr4jHwIAAC0EAAAOAAAAAAAAAAEAIAAAAEABAABkcnMv&#10;ZTJvRG9jLnhtbFBLBQYAAAAABgAGAFkBAADRBQAAAAA=&#10;">
              <v:fill on="f" focussize="0,0"/>
              <v:stroke on="f" weight="0.5pt"/>
              <v:imagedata o:title=""/>
              <o:lock v:ext="edit" aspectratio="f"/>
              <v:textbox inset="0mm,0mm,0mm,0mm" style="layout-flow:vertical-ideographic;mso-fit-shape-to-text:t;">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v:textbox>
            </v:shape>
          </w:pict>
        </mc:Fallback>
      </mc:AlternateContent>
    </w:r>
  </w:p>
  <w:p>
    <w:pPr>
      <w:pStyle w:val="3"/>
      <w:jc w:val="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6432" behindDoc="0" locked="0" layoutInCell="1" allowOverlap="1">
              <wp:simplePos x="0" y="0"/>
              <wp:positionH relativeFrom="margin">
                <wp:posOffset>-615950</wp:posOffset>
              </wp:positionH>
              <wp:positionV relativeFrom="paragraph">
                <wp:posOffset>-1050925</wp:posOffset>
              </wp:positionV>
              <wp:extent cx="352425" cy="573405"/>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352425" cy="5734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- 13 -</w:t>
                          </w:r>
                          <w:r>
                            <w:rPr>
                              <w:rFonts w:hint="eastAsia"/>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8.5pt;margin-top:-82.75pt;height:45.15pt;width:27.75pt;mso-position-horizontal-relative:margin;z-index:251666432;mso-width-relative:page;mso-height-relative:page;" filled="f" stroked="f" coordsize="21600,21600" o:gfxdata="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OsbsdkAAAAMAQAADwAAAAAAAAABACAAAAA4AAAAZHJzL2Rv&#10;d25yZXYueG1sUEsBAhQAFAAAAAgAh07iQHCqeYAjAgAAKwQAAA4AAAAAAAAAAQAgAAAAPgEAAGRy&#10;cy9lMm9Eb2MueG1sUEsFBgAAAAAGAAYAWQEAANMFAAAAAA==&#10;">
              <v:fill on="f" focussize="0,0"/>
              <v:stroke on="f" weight="0.5pt"/>
              <v:imagedata o:title=""/>
              <o:lock v:ext="edit" aspectratio="f"/>
              <v:textbox inset="0mm,0mm,0mm,0mm" style="layout-flow:vertical-ideographic;">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- 13 -</w:t>
                    </w:r>
                    <w:r>
                      <w:rPr>
                        <w:rFonts w:hint="eastAsia"/>
                        <w:sz w:val="28"/>
                        <w:szCs w:val="28"/>
                        <w:lang w:eastAsia="zh-CN"/>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posOffset>-480060</wp:posOffset>
              </wp:positionH>
              <wp:positionV relativeFrom="paragraph">
                <wp:posOffset>-1120140</wp:posOffset>
              </wp:positionV>
              <wp:extent cx="1828800" cy="554355"/>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554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7.8pt;margin-top:-88.2pt;height:43.65pt;width:144pt;mso-position-horizontal-relative:margin;z-index:251672576;mso-width-relative:page;mso-height-relative:page;" filled="f" stroked="f" coordsize="21600,21600" o:gfxdata="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BNz9o61wAAAAwBAAAPAAAAAAAAAAEAIAAAADgAAABkcnMvZG93&#10;bnJldi54bWxQSwECFAAUAAAACACHTuJAUhT+8iQCAAAuBAAADgAAAAAAAAABACAAAAA8AQAAZHJz&#10;L2Uyb0RvYy54bWxQSwUGAAAAAAYABgBZAQAA0gU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3L+F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EnrygxTGNGp29fT9+fTj++&#10;ELwBoMaFGfw2Dp6xfWPbgka/F4Mp4D213kqv042mCFyA9vGCsGgj4XgcTyfTaQ4Th21QkCK7fnc+&#10;xLfCapKEgnqMsEOWHdYhnl0Hl5TN2FWtVDdGZUhT0JuXr/P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Crcv4UdAgAAKw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- 4 -</w:t>
                    </w:r>
                    <w:r>
                      <w:rPr>
                        <w:rFonts w:hint="eastAsia"/>
                        <w:lang w:eastAsia="zh-CN"/>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8480" behindDoc="0" locked="0" layoutInCell="1" allowOverlap="1">
              <wp:simplePos x="0" y="0"/>
              <wp:positionH relativeFrom="margin">
                <wp:posOffset>-477520</wp:posOffset>
              </wp:positionH>
              <wp:positionV relativeFrom="paragraph">
                <wp:posOffset>-1028700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- 5 -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7.6pt;margin-top:-81pt;height:144pt;width:144pt;mso-position-horizontal-relative:margin;mso-wrap-style:none;z-index:251668480;mso-width-relative:page;mso-height-relative:page;" filled="f" stroked="f" coordsize="21600,21600" o:gfxdata="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NG7GvraAAAADAEAAA8AAAAAAAAAAQAgAAAAOAAAAGRycy9kb3du&#10;cmV2LnhtbFBLAQIUABQAAAAIAIdO4kAsACHCIAIAAC0EAAAOAAAAAAAAAAEAIAAAAD8BAABkcnMv&#10;ZTJvRG9jLnhtbFBLBQYAAAAABgAGAFkBAADRBQ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- 5 -</w:t>
                    </w:r>
                    <w:r>
                      <w:rPr>
                        <w:rFonts w:hint="eastAsia"/>
                        <w:sz w:val="28"/>
                        <w:szCs w:val="28"/>
                        <w:lang w:eastAsia="zh-CN"/>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- 6 -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XgMnHQ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9eAycdAgAAKw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- 6 -</w:t>
                    </w:r>
                    <w:r>
                      <w:rPr>
                        <w:rFonts w:hint="eastAsia"/>
                        <w:lang w:eastAsia="zh-CN"/>
                      </w:rPr>
                      <w:fldChar w:fldCharType="end"/>
                    </w:r>
                  </w:p>
                </w:txbxContent>
              </v:textbox>
            </v:shape>
          </w:pict>
        </mc:Fallback>
      </mc:AlternateContent>
    </w:r>
  </w:p>
  <w:p>
    <w:pPr>
      <w:pStyle w:val="3"/>
      <w:jc w:val="right"/>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70528" behindDoc="0" locked="0" layoutInCell="1" allowOverlap="1">
              <wp:simplePos x="0" y="0"/>
              <wp:positionH relativeFrom="margin">
                <wp:posOffset>-462280</wp:posOffset>
              </wp:positionH>
              <wp:positionV relativeFrom="paragraph">
                <wp:posOffset>-716280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- 7 -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6.4pt;margin-top:-56.4pt;height:144pt;width:144pt;mso-position-horizontal-relative:margin;mso-wrap-style:none;z-index:251670528;mso-width-relative:page;mso-height-relative:page;" filled="f" stroked="f" coordsize="21600,21600" o:gfxdata="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WAAAAZHJz&#10;L1BLAQIUABQAAAAIAIdO4kC0MiMh2QAAAAwBAAAPAAAAAAAAAAEAIAAAADgAAABkcnMvZG93bnJl&#10;di54bWxQSwECFAAUAAAACACHTuJAqT5FJR8CAAAtBAAADgAAAAAAAAABACAAAAA+AQAAZHJzL2Uy&#10;b0RvYy54bWxQSwUGAAAAAAYABgBZAQAAzwUAAAAA&#10;">
              <v:fill on="f" focussize="0,0"/>
              <v:stroke on="f" weight="0.5pt"/>
              <v:imagedata o:title=""/>
              <o:lock v:ext="edit" aspectratio="f"/>
              <v:textbox inset="0mm,0mm,0mm,0mm" style="layout-flow:vertical-ideographic;mso-fit-shape-to-text:t;">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- 7 -</w:t>
                    </w:r>
                    <w:r>
                      <w:rPr>
                        <w:rFonts w:hint="eastAsia"/>
                        <w:sz w:val="28"/>
                        <w:szCs w:val="28"/>
                        <w:lang w:eastAsia="zh-CN"/>
                      </w:rPr>
                      <w:fldChar w:fldCharType="end"/>
                    </w:r>
                  </w:p>
                </w:txbxContent>
              </v:textbox>
            </v:shape>
          </w:pict>
        </mc:Fallback>
      </mc:AlternateContent>
    </w:r>
  </w:p>
  <w:p>
    <w:pPr>
      <w:pStyle w:val="3"/>
      <w:jc w:val="right"/>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71552" behindDoc="0" locked="0" layoutInCell="1" allowOverlap="1">
              <wp:simplePos x="0" y="0"/>
              <wp:positionH relativeFrom="margin">
                <wp:posOffset>-416560</wp:posOffset>
              </wp:positionH>
              <wp:positionV relativeFrom="paragraph">
                <wp:posOffset>-746760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2.8pt;margin-top:-58.8pt;height:144pt;width:144pt;mso-position-horizontal-relative:margin;mso-wrap-style:none;z-index:251671552;mso-width-relative:page;mso-height-relative:page;" filled="f" stroked="f" coordsize="21600,21600" o:gfxdata="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221L02wAAAAwBAAAPAAAAAAAAAAEAIAAAADgAAABkcnMvZG93&#10;bnJldi54bWxQSwECFAAUAAAACACHTuJApzomTSACAAAtBAAADgAAAAAAAAABACAAAABAAQAAZHJz&#10;L2Uyb0RvYy54bWxQSwUGAAAAAAYABgBZAQAA0gUAAAAA&#10;">
              <v:fill on="f" focussize="0,0"/>
              <v:stroke on="f" weight="0.5pt"/>
              <v:imagedata o:title=""/>
              <o:lock v:ext="edit" aspectratio="f"/>
              <v:textbox inset="0mm,0mm,0mm,0mm" style="layout-flow:vertical-ideographic;mso-fit-shape-to-text:t;">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v:textbox>
            </v:shape>
          </w:pict>
        </mc:Fallback>
      </mc:AlternateContent>
    </w:r>
  </w:p>
  <w:p>
    <w:pPr>
      <w:pStyle w:val="3"/>
      <w:jc w:val="right"/>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sz w:val="36"/>
        <w:szCs w:val="36"/>
      </w:rPr>
    </w:pPr>
    <w:r>
      <w:rPr>
        <w:sz w:val="36"/>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-746760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58.8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MLDuw7ZAAAACQEAAA8AAAAAAAAAAQAgAAAAOAAAAGRycy9kb3ducmV2&#10;LnhtbFBLAQIUABQAAAAIAIdO4kBVFty4HgIAAC0EAAAOAAAAAAAAAAEAIAAAAD4BAABkcnMvZTJv&#10;RG9jLnhtbFBLBQYAAAAABgAGAFkBAADOBQAAAAA=&#10;">
              <v:fill on="f" focussize="0,0"/>
              <v:stroke on="f" weight="0.5pt"/>
              <v:imagedata o:title=""/>
              <o:lock v:ext="edit" aspectratio="f"/>
              <v:textbox inset="0mm,0mm,0mm,0mm" style="layout-flow:vertical-ideographic;mso-fit-shape-to-text:t;">
                <w:txbxContent>
                  <w:p>
                    <w:pPr>
                      <w:pStyle w:val="3"/>
                      <w:rPr>
                        <w:rFonts w:hint="eastAsia" w:eastAsia="宋体"/>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- 8 -</w:t>
                    </w:r>
                    <w:r>
                      <w:rPr>
                        <w:rFonts w:hint="eastAsia"/>
                        <w:sz w:val="28"/>
                        <w:szCs w:val="28"/>
                        <w:lang w:eastAsia="zh-CN"/>
                      </w:rPr>
                      <w:fldChar w:fldCharType="end"/>
                    </w:r>
                  </w:p>
                </w:txbxContent>
              </v:textbox>
            </v:shape>
          </w:pict>
        </mc:Fallback>
      </mc:AlternateContent>
    </w:r>
  </w:p>
  <w:p>
    <w:pPr>
      <w:pStyle w:val="3"/>
      <w:jc w:val="right"/>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36"/>
        <w:szCs w:val="36"/>
      </w:rPr>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r>
      <w:rPr>
        <w:sz w:val="18"/>
      </w:rPr>
      <mc:AlternateContent>
        <mc:Choice Requires="wps">
          <w:drawing>
            <wp:anchor distT="0" distB="0" distL="114300" distR="114300" simplePos="0" relativeHeight="251671552"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both"/>
    </w:pPr>
    <w:r>
      <w:rPr>
        <w:sz w:val="18"/>
      </w:rPr>
      <mc:AlternateContent>
        <mc:Choice Requires="wps">
          <w:drawing>
            <wp:anchor distT="0" distB="0" distL="114300" distR="114300" simplePos="0" relativeHeight="251672576" behindDoc="0" locked="0" layoutInCell="1" allowOverlap="1">
              <wp:simplePos x="0" y="0"/>
              <wp:positionH relativeFrom="margin">
                <wp:posOffset>-533400</wp:posOffset>
              </wp:positionH>
              <wp:positionV relativeFrom="paragraph">
                <wp:posOffset>747395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42pt;margin-top:58.85pt;height:144pt;width:144pt;mso-position-horizontal-relative:margin;mso-wrap-style:none;z-index:251672576;mso-width-relative:page;mso-height-relative:page;" filled="f" stroked="f" coordsize="21600,21600" o:gfxdata="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LDEsZNoAAAALAQAADwAAAAAAAAABACAAAAA4AAAAZHJzL2Rvd25yZXYu&#10;eG1sUEsBAhQAFAAAAAgAh07iQBHC3UscAgAALQQAAA4AAAAAAAAAAQAgAAAAPwEAAGRycy9lMm9E&#10;b2MueG1sUEsFBgAAAAAGAAYAWQEAAM0FA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both"/>
    </w:pPr>
    <w:r>
      <w:rPr>
        <w:sz w:val="18"/>
      </w:rPr>
      <mc:AlternateContent>
        <mc:Choice Requires="wps">
          <w:drawing>
            <wp:anchor distT="0" distB="0" distL="114300" distR="114300" simplePos="0" relativeHeight="251673600" behindDoc="0" locked="0" layoutInCell="1" allowOverlap="1">
              <wp:simplePos x="0" y="0"/>
              <wp:positionH relativeFrom="margin">
                <wp:posOffset>-496570</wp:posOffset>
              </wp:positionH>
              <wp:positionV relativeFrom="paragraph">
                <wp:posOffset>762635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- 16 -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9.1pt;margin-top:60.05pt;height:144pt;width:144pt;mso-position-horizontal-relative:margin;mso-wrap-style:none;z-index:251673600;mso-width-relative:page;mso-height-relative:page;" filled="f" stroked="f" coordsize="21600,21600" o:gfxdata="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WAAAAZHJz&#10;L1BLAQIUABQAAAAIAIdO4kDWmH1T2QAAAAsBAAAPAAAAAAAAAAEAIAAAADgAAABkcnMvZG93bnJl&#10;di54bWxQSwECFAAUAAAACACHTuJAA8548x8CAAAtBAAADgAAAAAAAAABACAAAAA+AQAAZHJzL2Uy&#10;b0RvYy54bWxQSwUGAAAAAAYABgBZAQAAzwU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- 16 -</w:t>
                    </w:r>
                    <w:r>
                      <w:rPr>
                        <w:rFonts w:hint="eastAsia"/>
                        <w:sz w:val="28"/>
                        <w:szCs w:val="28"/>
                        <w:lang w:eastAsia="zh-CN"/>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r>
      <w:rPr>
        <w:sz w:val="36"/>
      </w:rPr>
      <mc:AlternateContent>
        <mc:Choice Requires="wps">
          <w:drawing>
            <wp:anchor distT="0" distB="0" distL="114300" distR="114300" simplePos="0" relativeHeight="251660288" behindDoc="0" locked="0" layoutInCell="1" allowOverlap="1">
              <wp:simplePos x="0" y="0"/>
              <wp:positionH relativeFrom="margin">
                <wp:posOffset>-531495</wp:posOffset>
              </wp:positionH>
              <wp:positionV relativeFrom="paragraph">
                <wp:posOffset>673735</wp:posOffset>
              </wp:positionV>
              <wp:extent cx="297180" cy="561975"/>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297180" cy="561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1.85pt;margin-top:53.05pt;height:44.25pt;width:23.4pt;mso-position-horizontal-relative:margin;z-index:251660288;mso-width-relative:page;mso-height-relative:page;" filled="f" stroked="f" coordsize="21600,21600" o:gfxdata="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FcFkPPYAAAACwEAAA8AAAAAAAAAAQAgAAAAOAAAAGRycy9k&#10;b3ducmV2LnhtbFBLAQIUABQAAAAIAIdO4kBTYOKWJQIAACsEAAAOAAAAAAAAAAEAIAAAAD0BAABk&#10;cnMvZTJvRG9jLnhtbFBLBQYAAAAABgAGAFkBAADUBQAAAAA=&#10;">
              <v:fill on="f" focussize="0,0"/>
              <v:stroke on="f" weight="0.5pt"/>
              <v:imagedata o:title=""/>
              <o:lock v:ext="edit" aspectratio="f"/>
              <v:textbox inset="0mm,0mm,0mm,0mm" style="layout-flow:vertical-ideographic;">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r>
      <w:rPr>
        <w:sz w:val="18"/>
      </w:rPr>
      <mc:AlternateContent>
        <mc:Choice Requires="wps">
          <w:drawing>
            <wp:anchor distT="0" distB="0" distL="114300" distR="114300" simplePos="0" relativeHeight="251675648" behindDoc="0" locked="0" layoutInCell="1" allowOverlap="1">
              <wp:simplePos x="0" y="0"/>
              <wp:positionH relativeFrom="margin">
                <wp:align>inside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both"/>
    </w:pPr>
    <w:r>
      <w:rPr>
        <w:sz w:val="18"/>
      </w:rPr>
      <mc:AlternateContent>
        <mc:Choice Requires="wps">
          <w:drawing>
            <wp:anchor distT="0" distB="0" distL="114300" distR="114300" simplePos="0" relativeHeight="251676672" behindDoc="0" locked="0" layoutInCell="1" allowOverlap="1">
              <wp:simplePos x="0" y="0"/>
              <wp:positionH relativeFrom="margin">
                <wp:posOffset>-533400</wp:posOffset>
              </wp:positionH>
              <wp:positionV relativeFrom="paragraph">
                <wp:posOffset>747395</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42pt;margin-top:58.85pt;height:144pt;width:144pt;mso-position-horizontal-relative:margin;mso-wrap-style:none;z-index:251676672;mso-width-relative:page;mso-height-relative:page;" filled="f" stroked="f" coordsize="21600,21600" o:gfxdata="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LDEsZNoAAAALAQAADwAAAAAAAAABACAAAAA4AAAAZHJzL2Rvd25y&#10;ZXYueG1sUEsBAhQAFAAAAAgAh07iQHTc5uEfAgAALQQAAA4AAAAAAAAAAQAgAAAAPwEAAGRycy9l&#10;Mm9Eb2MueG1sUEsFBgAAAAAGAAYAWQEAANAFA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- 14 -</w:t>
                    </w:r>
                    <w:r>
                      <w:rPr>
                        <w:rFonts w:hint="eastAsia"/>
                        <w:sz w:val="28"/>
                        <w:szCs w:val="28"/>
                        <w:lang w:eastAsia="zh-CN"/>
                      </w:rP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both"/>
    </w:pPr>
    <w:r>
      <w:rPr>
        <w:sz w:val="18"/>
      </w:rPr>
      <mc:AlternateContent>
        <mc:Choice Requires="wps">
          <w:drawing>
            <wp:anchor distT="0" distB="0" distL="114300" distR="114300" simplePos="0" relativeHeight="251677696" behindDoc="0" locked="0" layoutInCell="1" allowOverlap="1">
              <wp:simplePos x="0" y="0"/>
              <wp:positionH relativeFrom="margin">
                <wp:posOffset>-496570</wp:posOffset>
              </wp:positionH>
              <wp:positionV relativeFrom="paragraph">
                <wp:posOffset>762635</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- 16 -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9.1pt;margin-top:60.05pt;height:144pt;width:144pt;mso-position-horizontal-relative:margin;mso-wrap-style:none;z-index:251677696;mso-width-relative:page;mso-height-relative:page;" filled="f" stroked="f" coordsize="21600,21600" o:gfxdata="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1ph9U9kAAAALAQAADwAAAAAAAAABACAAAAA4AAAAZHJzL2Rvd25y&#10;ZXYueG1sUEsBAhQAFAAAAAgAh07iQEkeGmggAgAALQQAAA4AAAAAAAAAAQAgAAAAPgEAAGRycy9l&#10;Mm9Eb2MueG1sUEsFBgAAAAAGAAYAWQEAANAFA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- 16 -</w:t>
                    </w:r>
                    <w:r>
                      <w:rPr>
                        <w:rFonts w:hint="eastAsia"/>
                        <w:sz w:val="28"/>
                        <w:szCs w:val="28"/>
                        <w:lang w:eastAsia="zh-CN"/>
                      </w:rPr>
                      <w:fldChar w:fldCharType="end"/>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r>
      <w:rPr>
        <w:sz w:val="36"/>
      </w:rPr>
      <mc:AlternateContent>
        <mc:Choice Requires="wps">
          <w:drawing>
            <wp:anchor distT="0" distB="0" distL="114300" distR="114300" simplePos="0" relativeHeight="251664384" behindDoc="0" locked="0" layoutInCell="1" allowOverlap="1">
              <wp:simplePos x="0" y="0"/>
              <wp:positionH relativeFrom="margin">
                <wp:posOffset>-531495</wp:posOffset>
              </wp:positionH>
              <wp:positionV relativeFrom="paragraph">
                <wp:posOffset>673735</wp:posOffset>
              </wp:positionV>
              <wp:extent cx="297180" cy="561975"/>
              <wp:effectExtent l="0" t="0" r="0" b="0"/>
              <wp:wrapNone/>
              <wp:docPr id="27" name="文本框 27"/>
              <wp:cNvGraphicFramePr/>
              <a:graphic xmlns:a="http://schemas.openxmlformats.org/drawingml/2006/main">
                <a:graphicData uri="http://schemas.microsoft.com/office/word/2010/wordprocessingShape">
                  <wps:wsp>
                    <wps:cNvSpPr txBox="true"/>
                    <wps:spPr>
                      <a:xfrm>
                        <a:off x="0" y="0"/>
                        <a:ext cx="297180" cy="561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rot="0" spcFirstLastPara="0" vertOverflow="overflow" horzOverflow="overflow" vert="eaVert"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41.85pt;margin-top:53.05pt;height:44.25pt;width:23.4pt;mso-position-horizontal-relative:margin;z-index:251664384;mso-width-relative:page;mso-height-relative:page;" filled="f" stroked="f" coordsize="21600,21600" o:gfxdata="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VwWQ89gAAAALAQAADwAAAAAAAAABACAAAAA4AAAAZHJzL2Rv&#10;d25yZXYueG1sUEsBAhQAFAAAAAgAh07iQKWFbkkkAgAALQQAAA4AAAAAAAAAAQAgAAAAPQEAAGRy&#10;cy9lMm9Eb2MueG1sUEsFBgAAAAAGAAYAWQEAANMFAAAAAA==&#10;">
              <v:fill on="f" focussize="0,0"/>
              <v:stroke on="f" weight="0.5pt"/>
              <v:imagedata o:title=""/>
              <o:lock v:ext="edit" aspectratio="f"/>
              <v:textbox inset="0mm,0mm,0mm,0mm" style="layout-flow:vertical-ideographic;">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r>
      <w:rPr>
        <w:sz w:val="36"/>
      </w:rPr>
      <mc:AlternateContent>
        <mc:Choice Requires="wps">
          <w:drawing>
            <wp:anchor distT="0" distB="0" distL="114300" distR="114300" simplePos="0" relativeHeight="251675648" behindDoc="0" locked="0" layoutInCell="1" allowOverlap="1">
              <wp:simplePos x="0" y="0"/>
              <wp:positionH relativeFrom="margin">
                <wp:posOffset>-974090</wp:posOffset>
              </wp:positionH>
              <wp:positionV relativeFrom="paragraph">
                <wp:posOffset>699770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- 22 -</w:t>
                          </w:r>
                          <w:r>
                            <w:rPr>
                              <w:rFonts w:hint="eastAsia"/>
                              <w:sz w:val="28"/>
                              <w:szCs w:val="28"/>
                              <w:lang w:eastAsia="zh-CN"/>
                            </w:rPr>
                            <w:fldChar w:fldCharType="end"/>
                          </w:r>
                        </w:p>
                      </w:txbxContent>
                    </wps:txbx>
                    <wps:bodyPr rot="0" spcFirstLastPara="0" vertOverflow="overflow" horzOverflow="overflow" vert="eaVert"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76.7pt;margin-top:55.1pt;height:144pt;width:144pt;mso-position-horizontal-relative:margin;mso-wrap-style:none;z-index:251675648;mso-width-relative:page;mso-height-relative:page;" filled="f" stroked="f" coordsize="21600,21600" o:gfxdata="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BGgVY+2wAAAAwBAAAPAAAAAAAAAAEAIAAAADgAAABkcnMvZG93&#10;bnJldi54bWxQSwECFAAUAAAACACHTuJARxp5ACACAAAtBAAADgAAAAAAAAABACAAAABAAQAAZHJz&#10;L2Uyb0RvYy54bWxQSwUGAAAAAAYABgBZAQAA0gUAAAAA&#10;">
              <v:fill on="f" focussize="0,0"/>
              <v:stroke on="f" weight="0.5pt"/>
              <v:imagedata o:title=""/>
              <o:lock v:ext="edit" aspectratio="f"/>
              <v:textbox inset="0mm,0mm,0mm,0mm" style="layout-flow:vertical-ideographic;mso-fit-shape-to-text:t;">
                <w:txbxContent>
                  <w:p>
                    <w:pPr>
                      <w:pStyle w:val="3"/>
                      <w:rPr>
                        <w:rFonts w:hint="eastAsia" w:eastAsia="宋体"/>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- 22 -</w:t>
                    </w:r>
                    <w:r>
                      <w:rPr>
                        <w:rFonts w:hint="eastAsia"/>
                        <w:sz w:val="28"/>
                        <w:szCs w:val="28"/>
                        <w:lang w:eastAsia="zh-CN"/>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7C249"/>
    <w:rsid w:val="DFF7C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9"/>
    <w:pPr>
      <w:ind w:left="109"/>
      <w:outlineLvl w:val="0"/>
    </w:pPr>
    <w:rPr>
      <w:sz w:val="55"/>
      <w:szCs w:val="55"/>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theme" Target="theme/theme1.xml"/><Relationship Id="rId50" Type="http://schemas.openxmlformats.org/officeDocument/2006/relationships/footer" Target="footer34.xml"/><Relationship Id="rId5" Type="http://schemas.openxmlformats.org/officeDocument/2006/relationships/header" Target="header1.xml"/><Relationship Id="rId49" Type="http://schemas.openxmlformats.org/officeDocument/2006/relationships/footer" Target="footer33.xml"/><Relationship Id="rId48" Type="http://schemas.openxmlformats.org/officeDocument/2006/relationships/header" Target="header14.xml"/><Relationship Id="rId47" Type="http://schemas.openxmlformats.org/officeDocument/2006/relationships/header" Target="header13.xml"/><Relationship Id="rId46" Type="http://schemas.openxmlformats.org/officeDocument/2006/relationships/footer" Target="footer32.xml"/><Relationship Id="rId45" Type="http://schemas.openxmlformats.org/officeDocument/2006/relationships/footer" Target="footer31.xml"/><Relationship Id="rId44" Type="http://schemas.openxmlformats.org/officeDocument/2006/relationships/footer" Target="footer30.xml"/><Relationship Id="rId43" Type="http://schemas.openxmlformats.org/officeDocument/2006/relationships/footer" Target="footer29.xml"/><Relationship Id="rId42" Type="http://schemas.openxmlformats.org/officeDocument/2006/relationships/footer" Target="footer28.xml"/><Relationship Id="rId41" Type="http://schemas.openxmlformats.org/officeDocument/2006/relationships/footer" Target="footer27.xml"/><Relationship Id="rId40" Type="http://schemas.openxmlformats.org/officeDocument/2006/relationships/header" Target="header12.xml"/><Relationship Id="rId4" Type="http://schemas.openxmlformats.org/officeDocument/2006/relationships/footer" Target="footer2.xml"/><Relationship Id="rId39" Type="http://schemas.openxmlformats.org/officeDocument/2006/relationships/header" Target="header11.xml"/><Relationship Id="rId38" Type="http://schemas.openxmlformats.org/officeDocument/2006/relationships/footer" Target="footer26.xml"/><Relationship Id="rId37" Type="http://schemas.openxmlformats.org/officeDocument/2006/relationships/footer" Target="footer25.xml"/><Relationship Id="rId36" Type="http://schemas.openxmlformats.org/officeDocument/2006/relationships/footer" Target="footer24.xml"/><Relationship Id="rId35" Type="http://schemas.openxmlformats.org/officeDocument/2006/relationships/footer" Target="footer23.xml"/><Relationship Id="rId34" Type="http://schemas.openxmlformats.org/officeDocument/2006/relationships/footer" Target="footer22.xml"/><Relationship Id="rId33" Type="http://schemas.openxmlformats.org/officeDocument/2006/relationships/footer" Target="footer21.xml"/><Relationship Id="rId32" Type="http://schemas.openxmlformats.org/officeDocument/2006/relationships/header" Target="header10.xml"/><Relationship Id="rId31" Type="http://schemas.openxmlformats.org/officeDocument/2006/relationships/header" Target="header9.xml"/><Relationship Id="rId30" Type="http://schemas.openxmlformats.org/officeDocument/2006/relationships/footer" Target="footer20.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header" Target="header7.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2021-09-29T16:34:00Z</dcterms:created>
  <dc:creator>baixin</dc:creator>
  <cp:lastModifiedBy>baixin</cp:lastModifiedBy>
  <dcterms:modified xsi:type="dcterms:W3CDTF">2021-09-29T16:35:09Z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