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text" w:horzAnchor="page" w:tblpX="1440" w:tblpY="242"/>
        <w:tblOverlap w:val="never"/>
        <w:tblW w:w="1386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793"/>
        <w:gridCol w:w="3574"/>
        <w:gridCol w:w="3246"/>
        <w:gridCol w:w="3247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3860" w:type="dxa"/>
            <w:gridSpan w:val="4"/>
            <w:noWrap w:val="0"/>
            <w:vAlign w:val="top"/>
          </w:tcPr>
          <w:p>
            <w:pPr>
              <w:spacing w:line="600" w:lineRule="exact"/>
              <w:rPr>
                <w:rFonts w:hint="eastAsia" w:ascii="黑体" w:hAnsi="宋体" w:eastAsia="黑体" w:cs="黑体"/>
                <w:color w:val="auto"/>
                <w:kern w:val="0"/>
                <w:sz w:val="32"/>
                <w:szCs w:val="32"/>
                <w:highlight w:val="none"/>
                <w:lang w:bidi="ar"/>
              </w:rPr>
            </w:pPr>
          </w:p>
          <w:p>
            <w:pPr>
              <w:spacing w:line="600" w:lineRule="exact"/>
              <w:rPr>
                <w:rFonts w:hint="default" w:ascii="黑体" w:hAnsi="宋体" w:eastAsia="黑体" w:cs="黑体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32"/>
                <w:szCs w:val="32"/>
                <w:highlight w:val="none"/>
                <w:lang w:bidi="ar"/>
              </w:rPr>
              <w:t>附</w:t>
            </w:r>
            <w:r>
              <w:rPr>
                <w:rFonts w:hint="eastAsia" w:ascii="黑体" w:hAnsi="宋体" w:eastAsia="黑体" w:cs="黑体"/>
                <w:color w:val="auto"/>
                <w:kern w:val="0"/>
                <w:sz w:val="32"/>
                <w:szCs w:val="32"/>
                <w:highlight w:val="none"/>
                <w:lang w:eastAsia="zh-CN" w:bidi="ar"/>
              </w:rPr>
              <w:t>件</w:t>
            </w:r>
            <w:r>
              <w:rPr>
                <w:rFonts w:hint="eastAsia" w:ascii="黑体" w:hAnsi="宋体" w:eastAsia="黑体" w:cs="黑体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4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3860" w:type="dxa"/>
            <w:gridSpan w:val="4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600" w:lineRule="exact"/>
              <w:ind w:firstLine="880" w:firstLineChars="200"/>
              <w:jc w:val="center"/>
              <w:rPr>
                <w:rFonts w:ascii="方正小标宋简体" w:hAnsi="方正小标宋简体" w:eastAsia="方正小标宋简体" w:cs="方正小标宋简体"/>
                <w:color w:val="auto"/>
                <w:sz w:val="44"/>
                <w:szCs w:val="44"/>
                <w:highlight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sz w:val="44"/>
                <w:szCs w:val="44"/>
                <w:lang w:val="en-US" w:eastAsia="zh-CN"/>
              </w:rPr>
              <w:t>非煤矿山生产安全事故应急县级响应条件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3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一级响应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二级响应</w:t>
            </w:r>
          </w:p>
        </w:tc>
        <w:tc>
          <w:tcPr>
            <w:tcW w:w="3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三级响应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四级响应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3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firstLine="560" w:firstLineChars="200"/>
              <w:textAlignment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bidi="ar"/>
              </w:rPr>
              <w:t>符合以下情形之一时，启动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一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bidi="ar"/>
              </w:rPr>
              <w:t>级响应：</w:t>
            </w:r>
          </w:p>
          <w:p>
            <w:pPr>
              <w:widowControl/>
              <w:ind w:firstLine="560" w:firstLineChars="200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1.发生特别重大事故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；</w:t>
            </w:r>
          </w:p>
          <w:p>
            <w:pPr>
              <w:widowControl/>
              <w:ind w:firstLine="560" w:firstLineChars="200"/>
              <w:textAlignment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2.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bidi="ar"/>
              </w:rPr>
              <w:t>需要紧急转移安置5万人以上的生产安全事故；</w:t>
            </w:r>
          </w:p>
          <w:p>
            <w:pPr>
              <w:widowControl/>
              <w:ind w:firstLine="560" w:firstLineChars="200"/>
              <w:textAlignment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3.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bidi="ar"/>
              </w:rPr>
              <w:t>需要启动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一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bidi="ar"/>
              </w:rPr>
              <w:t>级响应的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其他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bidi="ar"/>
              </w:rPr>
              <w:t>情形。</w:t>
            </w:r>
          </w:p>
          <w:p>
            <w:pPr>
              <w:pStyle w:val="8"/>
              <w:rPr>
                <w:rFonts w:hint="eastAsia"/>
                <w:lang w:eastAsia="zh-CN"/>
              </w:rPr>
            </w:pP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firstLine="560" w:firstLineChars="200"/>
              <w:textAlignment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bidi="ar"/>
              </w:rPr>
              <w:t>符合以下情形之一时，启动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二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bidi="ar"/>
              </w:rPr>
              <w:t>级响应：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 w:firstLine="560" w:firstLineChars="200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1.发生重大事故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 w:firstLine="560" w:firstLineChars="200"/>
              <w:textAlignment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2.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bidi="ar"/>
              </w:rPr>
              <w:t>需要紧急转移安置1万人以上5万人以下的生产安全事故；</w:t>
            </w:r>
          </w:p>
          <w:p>
            <w:pPr>
              <w:widowControl/>
              <w:numPr>
                <w:ilvl w:val="0"/>
                <w:numId w:val="0"/>
              </w:numPr>
              <w:ind w:firstLine="560" w:firstLineChars="200"/>
              <w:textAlignment w:val="center"/>
              <w:rPr>
                <w:rFonts w:hint="eastAsia" w:ascii="仿宋_GB2312" w:hAnsi="宋体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3.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bidi="ar"/>
              </w:rPr>
              <w:t>需要启动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二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bidi="ar"/>
              </w:rPr>
              <w:t>级响应的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其他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bidi="ar"/>
              </w:rPr>
              <w:t>情形。</w:t>
            </w:r>
          </w:p>
        </w:tc>
        <w:tc>
          <w:tcPr>
            <w:tcW w:w="3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firstLine="560" w:firstLineChars="200"/>
              <w:textAlignment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bidi="ar"/>
              </w:rPr>
              <w:t>符合以下情形之一时，启动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三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bidi="ar"/>
              </w:rPr>
              <w:t>级响应：</w:t>
            </w:r>
          </w:p>
          <w:p>
            <w:pPr>
              <w:widowControl/>
              <w:ind w:firstLine="560" w:firstLineChars="200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1.发生较大事故；</w:t>
            </w:r>
          </w:p>
          <w:p>
            <w:pPr>
              <w:widowControl/>
              <w:ind w:firstLine="560" w:firstLineChars="200"/>
              <w:textAlignment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2.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bidi="ar"/>
              </w:rPr>
              <w:t>需要紧急转移安置500人以上1万人以下的生产安全事故；</w:t>
            </w:r>
          </w:p>
          <w:p>
            <w:pPr>
              <w:widowControl/>
              <w:ind w:firstLine="560" w:firstLineChars="200"/>
              <w:textAlignment w:val="center"/>
              <w:rPr>
                <w:rFonts w:hint="eastAsia" w:ascii="仿宋_GB2312" w:hAnsi="宋体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3.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bidi="ar"/>
              </w:rPr>
              <w:t>需要启动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三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bidi="ar"/>
              </w:rPr>
              <w:t>级响应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的其他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bidi="ar"/>
              </w:rPr>
              <w:t>情形。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bidi="ar"/>
              </w:rPr>
              <w:t>符合以下情形之一时，启动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四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8"/>
                <w:szCs w:val="28"/>
                <w:highlight w:val="none"/>
                <w:lang w:bidi="ar"/>
              </w:rPr>
              <w:t>级响应：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1.发生一般事故；</w:t>
            </w:r>
          </w:p>
          <w:p>
            <w:pPr>
              <w:widowControl/>
              <w:ind w:firstLine="560" w:firstLineChars="200"/>
              <w:textAlignment w:val="center"/>
              <w:rPr>
                <w:rFonts w:hint="eastAsia" w:ascii="仿宋_GB2312" w:hAnsi="宋体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2.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需要启动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四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级响应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的其他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情形。</w:t>
            </w:r>
          </w:p>
        </w:tc>
      </w:tr>
    </w:tbl>
    <w:p>
      <w:pPr>
        <w:tabs>
          <w:tab w:val="left" w:pos="3203"/>
        </w:tabs>
        <w:bidi w:val="0"/>
        <w:jc w:val="left"/>
        <w:rPr>
          <w:rFonts w:hint="default"/>
          <w:lang w:val="en-US" w:eastAsia="zh-CN"/>
        </w:rPr>
        <w:sectPr>
          <w:headerReference r:id="rId3" w:type="default"/>
          <w:footerReference r:id="rId4" w:type="default"/>
          <w:pgSz w:w="16838" w:h="11906" w:orient="landscape"/>
          <w:pgMar w:top="2098" w:right="1474" w:bottom="1984" w:left="147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5"/>
          <w:cols w:space="720" w:num="1"/>
          <w:rtlGutter w:val="0"/>
          <w:docGrid w:type="lines" w:linePitch="319" w:charSpace="0"/>
        </w:sect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小标宋简体">
    <w:altName w:val="方正小标宋_GBK"/>
    <w:panose1 w:val="02010601030101010101"/>
    <w:charset w:val="00"/>
    <w:family w:val="script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left" w:pos="853"/>
        <w:tab w:val="clear" w:pos="4153"/>
      </w:tabs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8" name="文本框 1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BYAAABk&#10;cnMvUEsBAhQAFAAAAAgAh07iQM6pebnPAAAABQEAAA8AAAAAAAAAAQAgAAAAOAAAAGRycy9kb3du&#10;cmV2LnhtbFBLAQIUABQAAAAIAIdO4kBUWXXMuQEAAGQDAAAOAAAAAAAAAAEAIAAAADQBAABkcnMv&#10;ZTJvRG9jLnhtbFBLBQYAAAAABgAGAFkBAABf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spacing w:line="240" w:lineRule="auto"/>
      <w:ind w:left="0" w:leftChars="0" w:firstLine="0" w:firstLineChars="0"/>
    </w:pPr>
    <w:r>
      <w:rPr>
        <w:sz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-460375</wp:posOffset>
              </wp:positionH>
              <wp:positionV relativeFrom="paragraph">
                <wp:posOffset>2946400</wp:posOffset>
              </wp:positionV>
              <wp:extent cx="1828800" cy="1828800"/>
              <wp:effectExtent l="0" t="0" r="0" b="0"/>
              <wp:wrapNone/>
              <wp:docPr id="160" name="文本框 1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 rot="5400000"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36.25pt;margin-top:232pt;height:144pt;width:144pt;mso-position-horizontal-relative:margin;mso-wrap-style:none;rotation:5898240f;z-index:251660288;mso-width-relative:page;mso-height-relative:page;" filled="f" stroked="f" coordsize="21600,21600" o:gfxdata="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WAAAAZHJzL1BLAQIUABQAAAAIAIdO4kB/6jw+2QAAAAsBAAAPAAAAAAAA&#10;AAEAIAAAADgAAABkcnMvZG93bnJldi54bWxQSwECFAAUAAAACACHTuJATBwrR8IBAAByAwAADgAA&#10;AAAAAAABACAAAAA+AQAAZHJzL2Uyb0RvYy54bWxQSwUGAAAAAAYABgBZAQAAcg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F7B0EE"/>
    <w:rsid w:val="57F7B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next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8">
    <w:name w:val="正文首行缩进 21"/>
    <w:basedOn w:val="9"/>
    <w:next w:val="5"/>
    <w:qFormat/>
    <w:uiPriority w:val="0"/>
    <w:pPr>
      <w:widowControl/>
      <w:ind w:firstLine="200" w:firstLineChars="200"/>
      <w:jc w:val="left"/>
    </w:pPr>
    <w:rPr>
      <w:rFonts w:ascii="Calibri" w:hAnsi="Calibri" w:eastAsia="仿宋_GB2312" w:cs="Calibri"/>
      <w:kern w:val="0"/>
      <w:sz w:val="24"/>
      <w:szCs w:val="24"/>
    </w:rPr>
  </w:style>
  <w:style w:type="paragraph" w:customStyle="1" w:styleId="9">
    <w:name w:val="正文文本缩进1"/>
    <w:basedOn w:val="1"/>
    <w:qFormat/>
    <w:uiPriority w:val="0"/>
    <w:pPr>
      <w:ind w:left="200" w:left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2022-01-18T15:25:00Z</dcterms:created>
  <dc:creator>baixin</dc:creator>
  <cp:lastModifiedBy>baixin</cp:lastModifiedBy>
  <dcterms:modified xsi:type="dcterms:W3CDTF">2022-01-18T15:27:16Z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