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widowControl/>
        <w:spacing w:after="120" w:line="600" w:lineRule="exact"/>
        <w:jc w:val="both"/>
        <w:rPr>
          <w:rFonts w:hint="eastAsia" w:ascii="宋体" w:hAnsi="宋体" w:eastAsia="宋体" w:cs="宋体"/>
          <w:b/>
          <w:bCs/>
          <w:color w:val="auto"/>
          <w:sz w:val="44"/>
          <w:szCs w:val="44"/>
          <w:shd w:val="clear" w:color="auto" w:fill="FFFFFF"/>
          <w:lang w:val="en-US" w:eastAsia="zh-CN"/>
        </w:rPr>
      </w:pPr>
    </w:p>
    <w:p>
      <w:pPr>
        <w:pStyle w:val="8"/>
        <w:widowControl/>
        <w:spacing w:after="120" w:line="600" w:lineRule="exact"/>
        <w:jc w:val="center"/>
        <w:rPr>
          <w:rFonts w:hint="eastAsia" w:ascii="宋体" w:hAnsi="宋体" w:eastAsia="宋体" w:cs="宋体"/>
          <w:b/>
          <w:bCs/>
          <w:color w:val="auto"/>
          <w:sz w:val="44"/>
          <w:szCs w:val="44"/>
          <w:shd w:val="clear" w:color="auto" w:fill="FFFFFF"/>
          <w:lang w:val="en-US" w:eastAsia="zh-CN"/>
        </w:rPr>
      </w:pPr>
    </w:p>
    <w:p>
      <w:pPr>
        <w:pStyle w:val="8"/>
        <w:widowControl/>
        <w:spacing w:after="120" w:line="600" w:lineRule="exact"/>
        <w:jc w:val="center"/>
        <w:rPr>
          <w:rFonts w:hint="eastAsia" w:ascii="宋体" w:hAnsi="宋体" w:eastAsia="宋体" w:cs="宋体"/>
          <w:b/>
          <w:bCs/>
          <w:color w:val="auto"/>
          <w:sz w:val="44"/>
          <w:szCs w:val="44"/>
          <w:shd w:val="clear" w:color="auto" w:fill="FFFFFF"/>
          <w:lang w:val="en-US" w:eastAsia="zh-CN"/>
        </w:rPr>
      </w:pPr>
    </w:p>
    <w:p>
      <w:pPr>
        <w:jc w:val="center"/>
        <w:rPr>
          <w:rFonts w:ascii="仿宋" w:hAnsi="仿宋" w:eastAsia="仿宋" w:cs="仿宋"/>
          <w:color w:val="auto"/>
          <w:sz w:val="32"/>
          <w:szCs w:val="32"/>
        </w:rPr>
      </w:pPr>
      <w:r>
        <w:rPr>
          <w:rFonts w:hint="eastAsia" w:ascii="方正仿宋_GB2312" w:hAnsi="方正仿宋_GB2312" w:eastAsia="方正仿宋_GB2312" w:cs="方正仿宋_GB2312"/>
          <w:color w:val="auto"/>
          <w:sz w:val="32"/>
          <w:szCs w:val="32"/>
        </w:rPr>
        <w:t>曲卫</w:t>
      </w:r>
      <w:r>
        <w:rPr>
          <w:rFonts w:hint="eastAsia" w:ascii="方正仿宋_GB2312" w:hAnsi="方正仿宋_GB2312" w:eastAsia="方正仿宋_GB2312" w:cs="方正仿宋_GB2312"/>
          <w:color w:val="auto"/>
          <w:sz w:val="32"/>
          <w:szCs w:val="32"/>
          <w:lang w:eastAsia="zh-CN"/>
        </w:rPr>
        <w:t>发</w:t>
      </w:r>
      <w:r>
        <w:rPr>
          <w:rFonts w:hint="eastAsia" w:ascii="方正仿宋_GB2312" w:hAnsi="方正仿宋_GB2312" w:eastAsia="方正仿宋_GB2312" w:cs="方正仿宋_GB2312"/>
          <w:color w:val="auto"/>
          <w:sz w:val="32"/>
          <w:szCs w:val="32"/>
        </w:rPr>
        <w:t>〔20</w:t>
      </w:r>
      <w:r>
        <w:rPr>
          <w:rFonts w:hint="eastAsia" w:ascii="方正仿宋_GB2312" w:hAnsi="方正仿宋_GB2312" w:eastAsia="方正仿宋_GB2312" w:cs="方正仿宋_GB2312"/>
          <w:color w:val="auto"/>
          <w:sz w:val="32"/>
          <w:szCs w:val="32"/>
          <w:lang w:val="en-US" w:eastAsia="zh-CN"/>
        </w:rPr>
        <w:t>23</w:t>
      </w:r>
      <w:r>
        <w:rPr>
          <w:rFonts w:hint="eastAsia" w:ascii="方正仿宋_GB2312" w:hAnsi="方正仿宋_GB2312" w:eastAsia="方正仿宋_GB2312" w:cs="方正仿宋_GB2312"/>
          <w:color w:val="auto"/>
          <w:sz w:val="32"/>
          <w:szCs w:val="32"/>
        </w:rPr>
        <w:t>〕</w:t>
      </w:r>
      <w:r>
        <w:rPr>
          <w:rFonts w:hint="eastAsia" w:ascii="方正仿宋_GB2312" w:hAnsi="方正仿宋_GB2312" w:eastAsia="方正仿宋_GB2312" w:cs="方正仿宋_GB2312"/>
          <w:color w:val="auto"/>
          <w:sz w:val="32"/>
          <w:szCs w:val="32"/>
          <w:lang w:val="en-US" w:eastAsia="zh-CN"/>
        </w:rPr>
        <w:t>77</w:t>
      </w:r>
      <w:r>
        <w:rPr>
          <w:rFonts w:hint="eastAsia" w:ascii="方正仿宋_GB2312" w:hAnsi="方正仿宋_GB2312" w:eastAsia="方正仿宋_GB2312" w:cs="方正仿宋_GB2312"/>
          <w:color w:val="auto"/>
          <w:sz w:val="32"/>
          <w:szCs w:val="32"/>
        </w:rPr>
        <w:t>号</w:t>
      </w:r>
    </w:p>
    <w:p>
      <w:pPr>
        <w:pStyle w:val="8"/>
        <w:widowControl/>
        <w:spacing w:after="120" w:line="600" w:lineRule="exact"/>
        <w:jc w:val="center"/>
        <w:rPr>
          <w:rFonts w:hint="eastAsia" w:ascii="宋体" w:hAnsi="宋体" w:eastAsia="宋体" w:cs="宋体"/>
          <w:b/>
          <w:bCs/>
          <w:color w:val="auto"/>
          <w:sz w:val="44"/>
          <w:szCs w:val="44"/>
          <w:shd w:val="clear" w:color="auto" w:fill="FFFFFF"/>
        </w:rPr>
      </w:pPr>
    </w:p>
    <w:p>
      <w:pPr>
        <w:pStyle w:val="8"/>
        <w:widowControl/>
        <w:spacing w:after="120" w:line="600" w:lineRule="exact"/>
        <w:jc w:val="center"/>
        <w:rPr>
          <w:rFonts w:ascii="宋体" w:hAnsi="宋体" w:eastAsia="宋体" w:cs="宋体"/>
          <w:b/>
          <w:bCs/>
          <w:color w:val="auto"/>
          <w:sz w:val="44"/>
          <w:szCs w:val="44"/>
          <w:shd w:val="clear" w:color="auto" w:fill="FFFFFF"/>
        </w:rPr>
      </w:pPr>
      <w:r>
        <w:rPr>
          <w:rFonts w:hint="eastAsia" w:ascii="宋体" w:hAnsi="宋体" w:eastAsia="宋体" w:cs="宋体"/>
          <w:b/>
          <w:bCs/>
          <w:color w:val="auto"/>
          <w:sz w:val="44"/>
          <w:szCs w:val="44"/>
          <w:shd w:val="clear" w:color="auto" w:fill="FFFFFF"/>
        </w:rPr>
        <w:t>曲沃县卫生健康和体育局</w:t>
      </w:r>
    </w:p>
    <w:p>
      <w:pPr>
        <w:pStyle w:val="8"/>
        <w:widowControl/>
        <w:spacing w:after="120" w:line="600" w:lineRule="exact"/>
        <w:ind w:firstLine="640"/>
        <w:jc w:val="center"/>
        <w:rPr>
          <w:rFonts w:hint="eastAsia" w:ascii="宋体" w:hAnsi="宋体" w:eastAsia="宋体" w:cs="宋体"/>
          <w:b/>
          <w:bCs/>
          <w:color w:val="auto"/>
          <w:sz w:val="44"/>
          <w:szCs w:val="44"/>
          <w:shd w:val="clear" w:color="auto" w:fill="FFFFFF"/>
        </w:rPr>
      </w:pPr>
      <w:r>
        <w:rPr>
          <w:rFonts w:hint="eastAsia" w:ascii="宋体" w:hAnsi="宋体" w:eastAsia="宋体" w:cs="宋体"/>
          <w:b/>
          <w:bCs/>
          <w:color w:val="auto"/>
          <w:sz w:val="44"/>
          <w:szCs w:val="44"/>
          <w:shd w:val="clear" w:color="auto" w:fill="FFFFFF"/>
        </w:rPr>
        <w:t>2023年度法治政府建设年度报告</w:t>
      </w:r>
    </w:p>
    <w:p>
      <w:pPr>
        <w:pStyle w:val="8"/>
        <w:widowControl/>
        <w:spacing w:after="120" w:line="600" w:lineRule="exact"/>
        <w:ind w:firstLine="640"/>
        <w:jc w:val="center"/>
        <w:rPr>
          <w:rFonts w:ascii="宋体" w:hAnsi="宋体" w:eastAsia="宋体" w:cs="宋体"/>
          <w:b/>
          <w:bCs/>
          <w:color w:val="auto"/>
          <w:sz w:val="44"/>
          <w:szCs w:val="44"/>
          <w:shd w:val="clear" w:color="auto" w:fill="FFFFFF"/>
        </w:rPr>
      </w:pP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color w:val="auto"/>
          <w:sz w:val="32"/>
          <w:szCs w:val="32"/>
          <w:shd w:val="clear" w:color="auto" w:fill="FFFFFF"/>
        </w:rPr>
        <w:t>一年来，我们坚持以</w:t>
      </w:r>
      <w:r>
        <w:rPr>
          <w:rFonts w:hint="eastAsia" w:ascii="方正仿宋_GB2312" w:hAnsi="方正仿宋_GB2312" w:eastAsia="方正仿宋_GB2312" w:cs="方正仿宋_GB2312"/>
          <w:color w:val="auto"/>
          <w:sz w:val="32"/>
          <w:szCs w:val="32"/>
          <w:shd w:val="clear" w:color="auto" w:fill="FFFFFF"/>
          <w:lang w:val="zh-CN"/>
        </w:rPr>
        <w:t>习近平新时代中国特色社会主义思想为指导，深入贯彻党的二十大精神，认真学习贯彻习近平法治思想，严格按照中央、省、市、县关于法治政府建设的重大决策部署，发挥职能，求实创新，全面推进</w:t>
      </w:r>
      <w:r>
        <w:rPr>
          <w:rFonts w:hint="eastAsia" w:ascii="方正仿宋_GB2312" w:hAnsi="方正仿宋_GB2312" w:eastAsia="方正仿宋_GB2312" w:cs="方正仿宋_GB2312"/>
          <w:color w:val="auto"/>
          <w:sz w:val="32"/>
          <w:szCs w:val="32"/>
          <w:shd w:val="clear" w:color="auto" w:fill="FFFFFF"/>
        </w:rPr>
        <w:t>法治政府建设各项工作</w:t>
      </w:r>
      <w:r>
        <w:rPr>
          <w:rFonts w:hint="eastAsia" w:ascii="方正仿宋_GB2312" w:hAnsi="方正仿宋_GB2312" w:eastAsia="方正仿宋_GB2312" w:cs="方正仿宋_GB2312"/>
          <w:color w:val="auto"/>
          <w:sz w:val="32"/>
          <w:szCs w:val="32"/>
          <w:shd w:val="clear" w:color="auto" w:fill="FFFFFF"/>
          <w:lang w:val="zh-CN"/>
        </w:rPr>
        <w:t>，助力全县卫生健康体育事业发展取得新成效。现将</w:t>
      </w:r>
      <w:r>
        <w:rPr>
          <w:rFonts w:hint="eastAsia" w:ascii="方正仿宋_GB2312" w:hAnsi="方正仿宋_GB2312" w:eastAsia="方正仿宋_GB2312" w:cs="方正仿宋_GB2312"/>
          <w:color w:val="auto"/>
          <w:sz w:val="32"/>
          <w:szCs w:val="32"/>
          <w:shd w:val="clear" w:color="auto" w:fill="FFFFFF"/>
        </w:rPr>
        <w:t>2023</w:t>
      </w:r>
      <w:r>
        <w:rPr>
          <w:rFonts w:hint="eastAsia" w:ascii="方正仿宋_GB2312" w:hAnsi="方正仿宋_GB2312" w:eastAsia="方正仿宋_GB2312" w:cs="方正仿宋_GB2312"/>
          <w:color w:val="auto"/>
          <w:sz w:val="32"/>
          <w:szCs w:val="32"/>
          <w:shd w:val="clear" w:color="auto" w:fill="FFFFFF"/>
          <w:lang w:val="zh-CN"/>
        </w:rPr>
        <w:t>年法治政府建设有关工作情况报告如下：</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jc w:val="both"/>
        <w:textAlignment w:val="auto"/>
        <w:rPr>
          <w:rFonts w:ascii="黑体" w:hAnsi="黑体" w:eastAsia="黑体" w:cs="黑体"/>
          <w:b/>
          <w:bCs/>
          <w:color w:val="auto"/>
          <w:sz w:val="32"/>
          <w:szCs w:val="32"/>
          <w:shd w:val="clear" w:color="auto" w:fill="FFFFFF"/>
        </w:rPr>
      </w:pPr>
      <w:r>
        <w:rPr>
          <w:rFonts w:hint="eastAsia" w:ascii="黑体" w:hAnsi="黑体" w:eastAsia="黑体" w:cs="黑体"/>
          <w:b/>
          <w:bCs/>
          <w:color w:val="auto"/>
          <w:sz w:val="32"/>
          <w:szCs w:val="32"/>
          <w:shd w:val="clear" w:color="auto" w:fill="FFFFFF"/>
        </w:rPr>
        <w:t>一、2023年法治政府建设主要举措及成效</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ascii="楷体" w:hAnsi="楷体" w:eastAsia="楷体" w:cs="楷体"/>
          <w:b/>
          <w:bCs/>
          <w:color w:val="auto"/>
          <w:sz w:val="32"/>
          <w:szCs w:val="32"/>
          <w:shd w:val="clear" w:color="auto" w:fill="FFFFFF"/>
        </w:rPr>
      </w:pPr>
      <w:r>
        <w:rPr>
          <w:rFonts w:hint="eastAsia" w:ascii="楷体" w:hAnsi="楷体" w:eastAsia="楷体" w:cs="楷体"/>
          <w:b/>
          <w:bCs/>
          <w:color w:val="auto"/>
          <w:sz w:val="32"/>
          <w:szCs w:val="32"/>
          <w:shd w:val="clear" w:color="auto" w:fill="FFFFFF"/>
        </w:rPr>
        <w:t>(一)加强组织建设</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firstLineChars="200"/>
        <w:jc w:val="both"/>
        <w:textAlignment w:val="auto"/>
        <w:rPr>
          <w:rFonts w:hint="eastAsia" w:ascii="方正仿宋_GB2312" w:hAnsi="方正仿宋_GB2312" w:eastAsia="方正仿宋_GB2312" w:cs="方正仿宋_GB2312"/>
          <w:color w:val="auto"/>
          <w:sz w:val="32"/>
          <w:szCs w:val="32"/>
          <w:shd w:val="clear" w:color="auto" w:fill="FFFFFF"/>
        </w:rPr>
        <w:sectPr>
          <w:pgSz w:w="11906" w:h="16838"/>
          <w:pgMar w:top="1440" w:right="1800" w:bottom="1440" w:left="1800" w:header="851" w:footer="992" w:gutter="0"/>
          <w:cols w:space="425" w:num="1"/>
          <w:docGrid w:type="lines" w:linePitch="312" w:charSpace="0"/>
        </w:sectPr>
      </w:pP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color w:val="auto"/>
          <w:sz w:val="32"/>
          <w:szCs w:val="32"/>
          <w:shd w:val="clear" w:color="auto" w:fill="FFFFFF"/>
        </w:rPr>
        <w:t>为切实做好法治政府建设工作，我局成立了以党组书记、局长为组长，各副局长为副组长，各股室负责人为成员的法治建设领导组，进一步明确了职责分工，同时将法治建设纳入党政主要负责人履行法治建设第一责任人职责清单，将法治建设与业务工作同部署、同推进。制定了《曲沃县卫生健康和体育局2023年普法工作要点》《曲沃县卫生健康和体育局2023年普法责任清单》和《曲沃县卫生健康和体育局关于贯彻落实侵害未成年人案件强制报告制度工作实施方案》。</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jc w:val="both"/>
        <w:textAlignment w:val="auto"/>
        <w:rPr>
          <w:rFonts w:ascii="楷体" w:hAnsi="楷体" w:eastAsia="楷体" w:cs="楷体"/>
          <w:b/>
          <w:bCs/>
          <w:color w:val="auto"/>
          <w:sz w:val="32"/>
          <w:szCs w:val="32"/>
        </w:rPr>
      </w:pPr>
      <w:r>
        <w:rPr>
          <w:rFonts w:hint="eastAsia" w:ascii="楷体" w:hAnsi="楷体" w:eastAsia="楷体" w:cs="楷体"/>
          <w:b/>
          <w:bCs/>
          <w:color w:val="auto"/>
          <w:sz w:val="32"/>
          <w:szCs w:val="32"/>
          <w:shd w:val="clear" w:color="auto" w:fill="FFFFFF"/>
        </w:rPr>
        <w:t>（二）推进依法行政</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hint="eastAsia" w:ascii="方正仿宋_GB2312" w:hAnsi="方正仿宋_GB2312" w:eastAsia="方正仿宋_GB2312" w:cs="方正仿宋_GB2312"/>
          <w:b/>
          <w:bCs/>
          <w:color w:val="auto"/>
          <w:sz w:val="32"/>
          <w:szCs w:val="32"/>
          <w:shd w:val="clear" w:color="auto" w:fill="FFFFFF"/>
        </w:rPr>
      </w:pPr>
      <w:r>
        <w:rPr>
          <w:rFonts w:hint="eastAsia" w:ascii="方正仿宋_GB2312" w:hAnsi="方正仿宋_GB2312" w:eastAsia="方正仿宋_GB2312" w:cs="方正仿宋_GB2312"/>
          <w:b/>
          <w:bCs/>
          <w:color w:val="auto"/>
          <w:sz w:val="32"/>
          <w:szCs w:val="32"/>
          <w:shd w:val="clear" w:color="auto" w:fill="FFFFFF"/>
        </w:rPr>
        <w:t>1、深入推进“放管服”改革，全面落实卫生监督执法工作。</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val="0"/>
          <w:bCs w:val="0"/>
          <w:color w:val="auto"/>
          <w:sz w:val="32"/>
          <w:szCs w:val="32"/>
          <w:shd w:val="clear" w:color="auto" w:fill="FFFFFF"/>
        </w:rPr>
        <w:t>（1）强化监督执法，严肃查处违法行为</w:t>
      </w:r>
      <w:r>
        <w:rPr>
          <w:rFonts w:hint="eastAsia" w:ascii="方正仿宋_GB2312" w:hAnsi="方正仿宋_GB2312" w:eastAsia="方正仿宋_GB2312" w:cs="方正仿宋_GB2312"/>
          <w:b/>
          <w:bCs/>
          <w:color w:val="auto"/>
          <w:sz w:val="32"/>
          <w:szCs w:val="32"/>
          <w:shd w:val="clear" w:color="auto" w:fill="FFFFFF"/>
        </w:rPr>
        <w:t>。</w:t>
      </w:r>
      <w:r>
        <w:rPr>
          <w:rFonts w:hint="eastAsia" w:ascii="方正仿宋_GB2312" w:hAnsi="方正仿宋_GB2312" w:eastAsia="方正仿宋_GB2312" w:cs="方正仿宋_GB2312"/>
          <w:color w:val="auto"/>
          <w:sz w:val="32"/>
          <w:szCs w:val="32"/>
          <w:shd w:val="clear" w:color="auto" w:fill="FFFFFF"/>
        </w:rPr>
        <w:t>今年以来，共办理行政处罚案件55宗，其中当场警告处罚32宗，罚没款41.22万元。通过“以案促管”，极大震慑了各类违法违规行为，达到了以立案促进监管成效、以处罚促进行为规范的效果。</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val="0"/>
          <w:bCs w:val="0"/>
          <w:color w:val="auto"/>
          <w:sz w:val="32"/>
          <w:szCs w:val="32"/>
          <w:shd w:val="clear" w:color="auto" w:fill="FFFFFF"/>
        </w:rPr>
        <w:t>（2）按时完成“双随机</w:t>
      </w:r>
      <w:r>
        <w:rPr>
          <w:rFonts w:hint="eastAsia" w:ascii="方正仿宋_GB2312" w:hAnsi="方正仿宋_GB2312" w:eastAsia="方正仿宋_GB2312" w:cs="方正仿宋_GB2312"/>
          <w:b w:val="0"/>
          <w:bCs w:val="0"/>
          <w:color w:val="auto"/>
          <w:sz w:val="32"/>
          <w:szCs w:val="32"/>
          <w:shd w:val="clear" w:color="auto" w:fill="FFFFFF"/>
          <w:lang w:eastAsia="zh-CN"/>
        </w:rPr>
        <w:t>、</w:t>
      </w:r>
      <w:r>
        <w:rPr>
          <w:rFonts w:hint="eastAsia" w:ascii="方正仿宋_GB2312" w:hAnsi="方正仿宋_GB2312" w:eastAsia="方正仿宋_GB2312" w:cs="方正仿宋_GB2312"/>
          <w:b w:val="0"/>
          <w:bCs w:val="0"/>
          <w:color w:val="auto"/>
          <w:sz w:val="32"/>
          <w:szCs w:val="32"/>
          <w:shd w:val="clear" w:color="auto" w:fill="FFFFFF"/>
        </w:rPr>
        <w:t>一公开”专项监督抽检工作。</w:t>
      </w:r>
      <w:r>
        <w:rPr>
          <w:rFonts w:hint="eastAsia" w:ascii="方正仿宋_GB2312" w:hAnsi="方正仿宋_GB2312" w:eastAsia="方正仿宋_GB2312" w:cs="方正仿宋_GB2312"/>
          <w:color w:val="auto"/>
          <w:sz w:val="32"/>
          <w:szCs w:val="32"/>
          <w:shd w:val="clear" w:color="auto" w:fill="FFFFFF"/>
        </w:rPr>
        <w:t>截至目前，已完成所有单位的“双随机”监督抽检任务，监督完成率100%，任务完成率100%。“双随机</w:t>
      </w:r>
      <w:r>
        <w:rPr>
          <w:rFonts w:hint="eastAsia" w:ascii="方正仿宋_GB2312" w:hAnsi="方正仿宋_GB2312" w:eastAsia="方正仿宋_GB2312" w:cs="方正仿宋_GB2312"/>
          <w:color w:val="auto"/>
          <w:sz w:val="32"/>
          <w:szCs w:val="32"/>
          <w:shd w:val="clear" w:color="auto" w:fill="FFFFFF"/>
          <w:lang w:eastAsia="zh-CN"/>
        </w:rPr>
        <w:t>、</w:t>
      </w:r>
      <w:bookmarkStart w:id="0" w:name="_GoBack"/>
      <w:bookmarkEnd w:id="0"/>
      <w:r>
        <w:rPr>
          <w:rFonts w:hint="eastAsia" w:ascii="方正仿宋_GB2312" w:hAnsi="方正仿宋_GB2312" w:eastAsia="方正仿宋_GB2312" w:cs="方正仿宋_GB2312"/>
          <w:color w:val="auto"/>
          <w:sz w:val="32"/>
          <w:szCs w:val="32"/>
          <w:shd w:val="clear" w:color="auto" w:fill="FFFFFF"/>
        </w:rPr>
        <w:t>一公开”行政检查50宗，在检查中对7户进行了行政处罚，其中警告2宗，罚款5宗，罚款1.45万元。</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val="0"/>
          <w:bCs w:val="0"/>
          <w:color w:val="auto"/>
          <w:sz w:val="32"/>
          <w:szCs w:val="32"/>
          <w:shd w:val="clear" w:color="auto" w:fill="FFFFFF"/>
        </w:rPr>
        <w:t>（3）开展曲沃县2023年行政执法案卷评查工作。</w:t>
      </w:r>
      <w:r>
        <w:rPr>
          <w:rFonts w:hint="eastAsia" w:ascii="方正仿宋_GB2312" w:hAnsi="方正仿宋_GB2312" w:eastAsia="方正仿宋_GB2312" w:cs="方正仿宋_GB2312"/>
          <w:color w:val="auto"/>
          <w:sz w:val="32"/>
          <w:szCs w:val="32"/>
          <w:shd w:val="clear" w:color="auto" w:fill="FFFFFF"/>
        </w:rPr>
        <w:t>对2022年6月1日至2023年3月31日办结的行政处罚和行政检查案卷进行了自查，并抽取3个处罚案卷参加了全市的案卷评查工作。</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hint="eastAsia" w:ascii="方正仿宋_GB2312" w:hAnsi="方正仿宋_GB2312" w:eastAsia="方正仿宋_GB2312" w:cs="方正仿宋_GB2312"/>
          <w:b/>
          <w:bCs/>
          <w:color w:val="auto"/>
          <w:sz w:val="32"/>
          <w:szCs w:val="32"/>
          <w:shd w:val="clear" w:color="auto" w:fill="FFFFFF"/>
        </w:rPr>
      </w:pPr>
      <w:r>
        <w:rPr>
          <w:rFonts w:hint="eastAsia" w:ascii="方正仿宋_GB2312" w:hAnsi="方正仿宋_GB2312" w:eastAsia="方正仿宋_GB2312" w:cs="方正仿宋_GB2312"/>
          <w:b/>
          <w:bCs/>
          <w:color w:val="auto"/>
          <w:sz w:val="32"/>
          <w:szCs w:val="32"/>
          <w:shd w:val="clear" w:color="auto" w:fill="FFFFFF"/>
        </w:rPr>
        <w:t>2、扎实推进行政执法三项制度</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val="0"/>
          <w:bCs w:val="0"/>
          <w:color w:val="auto"/>
          <w:sz w:val="32"/>
          <w:szCs w:val="32"/>
          <w:shd w:val="clear" w:color="auto" w:fill="FFFFFF"/>
        </w:rPr>
        <w:t>（1）认真做好行政执法公示工作。</w:t>
      </w:r>
      <w:r>
        <w:rPr>
          <w:rFonts w:hint="eastAsia" w:ascii="方正仿宋_GB2312" w:hAnsi="方正仿宋_GB2312" w:eastAsia="方正仿宋_GB2312" w:cs="方正仿宋_GB2312"/>
          <w:color w:val="auto"/>
          <w:sz w:val="32"/>
          <w:szCs w:val="32"/>
          <w:shd w:val="clear" w:color="auto" w:fill="FFFFFF"/>
        </w:rPr>
        <w:t>按照“谁执法、谁</w:t>
      </w:r>
    </w:p>
    <w:p>
      <w:pPr>
        <w:pStyle w:val="8"/>
        <w:keepNext w:val="0"/>
        <w:keepLines w:val="0"/>
        <w:pageBreakBefore w:val="0"/>
        <w:widowControl/>
        <w:kinsoku/>
        <w:wordWrap/>
        <w:overflowPunct/>
        <w:topLinePunct w:val="0"/>
        <w:autoSpaceDE/>
        <w:autoSpaceDN/>
        <w:bidi w:val="0"/>
        <w:adjustRightInd/>
        <w:snapToGrid/>
        <w:spacing w:after="120" w:line="660" w:lineRule="exact"/>
        <w:jc w:val="both"/>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shd w:val="clear" w:color="auto" w:fill="FFFFFF"/>
        </w:rPr>
        <w:t>公示”的原则落实执法公示责任,认真推进行政执法事后公示，做好行政执法公示平台数据采集系统的行政执法收集录入工作，将所有执法事项列入双随机检查专业目录，并通过官网向社会公示。</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jc w:val="both"/>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b w:val="0"/>
          <w:bCs w:val="0"/>
          <w:color w:val="auto"/>
          <w:sz w:val="32"/>
          <w:szCs w:val="32"/>
          <w:shd w:val="clear" w:color="auto" w:fill="FFFFFF"/>
        </w:rPr>
        <w:t>（2）扎实开展行政执法全过程记录。</w:t>
      </w:r>
      <w:r>
        <w:rPr>
          <w:rFonts w:hint="eastAsia" w:ascii="方正仿宋_GB2312" w:hAnsi="方正仿宋_GB2312" w:eastAsia="方正仿宋_GB2312" w:cs="方正仿宋_GB2312"/>
          <w:color w:val="auto"/>
          <w:sz w:val="32"/>
          <w:szCs w:val="32"/>
          <w:shd w:val="clear" w:color="auto" w:fill="FFFFFF"/>
        </w:rPr>
        <w:t>一是加强行政执法全过程记录业务培训。积极组织执法人员参加执法全过程记录业务培训，要求执法人员的执法行为、言谈举止等一切执法活动合法、合规。二是按照国家行政执法三项制度有关规定，建立健全执法全过程记录资料归档保管、调阅登记制度，明确专人负责记录资料的归档、保存和调阅，严格规范执法记录仪的使用、音像资料上传。三是扎实推进执法记录仪监督执法过程中的使用工作，实现登记立案、监督检查、调查取证、行政决定等行政执法全过程均有据可查，做到全过程实时留痕和可回溯管理，达到了“无记录、不执法，无记录、不处罚”的工作要求。</w:t>
      </w:r>
    </w:p>
    <w:p>
      <w:pPr>
        <w:pStyle w:val="8"/>
        <w:keepNext w:val="0"/>
        <w:keepLines w:val="0"/>
        <w:pageBreakBefore w:val="0"/>
        <w:widowControl/>
        <w:kinsoku/>
        <w:wordWrap/>
        <w:overflowPunct/>
        <w:topLinePunct w:val="0"/>
        <w:autoSpaceDE/>
        <w:autoSpaceDN/>
        <w:bidi w:val="0"/>
        <w:adjustRightInd/>
        <w:snapToGrid/>
        <w:spacing w:after="120" w:line="660" w:lineRule="exact"/>
        <w:jc w:val="both"/>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shd w:val="clear" w:color="auto" w:fill="FFFFFF"/>
        </w:rPr>
        <w:t>　　</w:t>
      </w:r>
      <w:r>
        <w:rPr>
          <w:rFonts w:hint="eastAsia" w:ascii="方正仿宋_GB2312" w:hAnsi="方正仿宋_GB2312" w:eastAsia="方正仿宋_GB2312" w:cs="方正仿宋_GB2312"/>
          <w:b w:val="0"/>
          <w:bCs w:val="0"/>
          <w:color w:val="auto"/>
          <w:sz w:val="32"/>
          <w:szCs w:val="32"/>
          <w:shd w:val="clear" w:color="auto" w:fill="FFFFFF"/>
        </w:rPr>
        <w:t>（3）严格落实重大执法决定法制审核制度。</w:t>
      </w:r>
      <w:r>
        <w:rPr>
          <w:rFonts w:hint="eastAsia" w:ascii="方正仿宋_GB2312" w:hAnsi="方正仿宋_GB2312" w:eastAsia="方正仿宋_GB2312" w:cs="方正仿宋_GB2312"/>
          <w:color w:val="auto"/>
          <w:sz w:val="32"/>
          <w:szCs w:val="32"/>
          <w:shd w:val="clear" w:color="auto" w:fill="FFFFFF"/>
        </w:rPr>
        <w:t>对重大行政处罚决定法制审核工作进行严格规定，单位重大行政处罚决定做出前均由法制机构法制审核,未经法制审核或者审核未通过的,不得做出决定。</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bCs/>
          <w:color w:val="auto"/>
          <w:sz w:val="32"/>
          <w:szCs w:val="32"/>
          <w:shd w:val="clear" w:color="auto" w:fill="FFFFFF"/>
        </w:rPr>
        <w:t>3、进一步推进重大行政处罚负责人集体讨论制度。</w:t>
      </w:r>
      <w:r>
        <w:rPr>
          <w:rFonts w:hint="eastAsia" w:ascii="方正仿宋_GB2312" w:hAnsi="方正仿宋_GB2312" w:eastAsia="方正仿宋_GB2312" w:cs="方正仿宋_GB2312"/>
          <w:color w:val="auto"/>
          <w:sz w:val="32"/>
          <w:szCs w:val="32"/>
          <w:shd w:val="clear" w:color="auto" w:fill="FFFFFF"/>
        </w:rPr>
        <w:t>针对重大行政执法案件，严格落实重大行政处罚负责人集体讨论制度，局领导班子实行集体讨论，确保公开、公正、合法地处理各类重大、疑难、复杂行政执法案件。2023年党组会讨论重大事项20余件，重大事项集体讨论率100%。</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b/>
          <w:bCs/>
          <w:color w:val="auto"/>
          <w:sz w:val="32"/>
          <w:szCs w:val="32"/>
          <w:shd w:val="clear" w:color="auto" w:fill="FFFFFF"/>
        </w:rPr>
        <w:t>4、着力推进公平竞争审查制度。</w:t>
      </w:r>
      <w:r>
        <w:rPr>
          <w:rFonts w:hint="eastAsia" w:ascii="方正仿宋_GB2312" w:hAnsi="方正仿宋_GB2312" w:eastAsia="方正仿宋_GB2312" w:cs="方正仿宋_GB2312"/>
          <w:color w:val="auto"/>
          <w:sz w:val="32"/>
          <w:szCs w:val="32"/>
          <w:shd w:val="clear" w:color="auto" w:fill="FFFFFF"/>
        </w:rPr>
        <w:t>建立了公平竞争审查内部工作机制，按照“谁起草、谁审查”的原则，对2023年拟印发文件进行自我审查，确保制定的政策符合相关法律法规和公平竞争要求。2023年我局未发现不符合公平竞争审查工作的文件。</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bCs/>
          <w:color w:val="auto"/>
          <w:sz w:val="32"/>
          <w:szCs w:val="32"/>
          <w:shd w:val="clear" w:color="auto" w:fill="FFFFFF"/>
        </w:rPr>
        <w:t>5、建立法律顾问工作长效机制。</w:t>
      </w:r>
      <w:r>
        <w:rPr>
          <w:rFonts w:hint="eastAsia" w:ascii="方正仿宋_GB2312" w:hAnsi="方正仿宋_GB2312" w:eastAsia="方正仿宋_GB2312" w:cs="方正仿宋_GB2312"/>
          <w:color w:val="auto"/>
          <w:sz w:val="32"/>
          <w:szCs w:val="32"/>
          <w:shd w:val="clear" w:color="auto" w:fill="FFFFFF"/>
        </w:rPr>
        <w:t>聘请法律顾问开展咨询服务，提供疑难问题、复议诉讼代理、合同审核等法律事务相关工作，确保行政工作合法性。本单位现有聘用律师1名，在行政复议、行政应诉、疑难问题、合同审查、普法教育等方面做了大量工作。</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bCs/>
          <w:color w:val="auto"/>
          <w:sz w:val="32"/>
          <w:szCs w:val="32"/>
          <w:shd w:val="clear" w:color="auto" w:fill="FFFFFF"/>
        </w:rPr>
        <w:t>6、推进“互联网+监管”系统建设。</w:t>
      </w:r>
      <w:r>
        <w:rPr>
          <w:rFonts w:hint="eastAsia" w:ascii="方正仿宋_GB2312" w:hAnsi="方正仿宋_GB2312" w:eastAsia="方正仿宋_GB2312" w:cs="方正仿宋_GB2312"/>
          <w:color w:val="auto"/>
          <w:sz w:val="32"/>
          <w:szCs w:val="32"/>
          <w:shd w:val="clear" w:color="auto" w:fill="FFFFFF"/>
        </w:rPr>
        <w:t>积极推进“互联网+监管”各项工作，确定专人负责系统的完善及更新。2023年度监管行为覆盖率100%，监管行为数据报送数3017条，监管业务数据报送2000余条。</w:t>
      </w:r>
    </w:p>
    <w:p>
      <w:pPr>
        <w:pStyle w:val="8"/>
        <w:keepNext w:val="0"/>
        <w:keepLines w:val="0"/>
        <w:pageBreakBefore w:val="0"/>
        <w:widowControl/>
        <w:kinsoku/>
        <w:wordWrap/>
        <w:overflowPunct/>
        <w:topLinePunct w:val="0"/>
        <w:autoSpaceDE/>
        <w:autoSpaceDN/>
        <w:bidi w:val="0"/>
        <w:adjustRightInd/>
        <w:snapToGrid/>
        <w:spacing w:after="120" w:line="660" w:lineRule="exact"/>
        <w:jc w:val="both"/>
        <w:textAlignment w:val="auto"/>
        <w:rPr>
          <w:rFonts w:ascii="仿宋" w:hAnsi="仿宋" w:eastAsia="仿宋" w:cs="仿宋"/>
          <w:color w:val="auto"/>
          <w:sz w:val="32"/>
          <w:szCs w:val="32"/>
        </w:rPr>
      </w:pPr>
      <w:r>
        <w:rPr>
          <w:rFonts w:hint="eastAsia" w:ascii="仿宋" w:hAnsi="仿宋" w:eastAsia="仿宋" w:cs="仿宋"/>
          <w:color w:val="auto"/>
          <w:sz w:val="32"/>
          <w:szCs w:val="32"/>
          <w:shd w:val="clear" w:color="auto" w:fill="FFFFFF"/>
        </w:rPr>
        <w:t>　　</w:t>
      </w:r>
      <w:r>
        <w:rPr>
          <w:rFonts w:hint="eastAsia" w:ascii="楷体" w:hAnsi="楷体" w:eastAsia="楷体" w:cs="楷体"/>
          <w:b/>
          <w:bCs/>
          <w:color w:val="auto"/>
          <w:sz w:val="32"/>
          <w:szCs w:val="32"/>
          <w:shd w:val="clear" w:color="auto" w:fill="FFFFFF"/>
        </w:rPr>
        <w:t>（三）化解社会矛盾纠纷</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bCs/>
          <w:color w:val="auto"/>
          <w:sz w:val="32"/>
          <w:szCs w:val="32"/>
          <w:shd w:val="clear" w:color="auto" w:fill="FFFFFF"/>
        </w:rPr>
        <w:t>1、健全完善医疗纠纷“三方联调”工作机制。</w:t>
      </w:r>
      <w:r>
        <w:rPr>
          <w:rFonts w:hint="eastAsia" w:ascii="方正仿宋_GB2312" w:hAnsi="方正仿宋_GB2312" w:eastAsia="方正仿宋_GB2312" w:cs="方正仿宋_GB2312"/>
          <w:color w:val="auto"/>
          <w:sz w:val="32"/>
          <w:szCs w:val="32"/>
          <w:shd w:val="clear" w:color="auto" w:fill="FFFFFF"/>
        </w:rPr>
        <w:t>理顺行政调解、行业调解、司法调解（配合）各项工作，筑好三道防线，建好多元化矛盾纠纷调解网络。通过行政调解及时化解争议纠纷，力争将争议纠纷化解在行政程序内、化解在初始阶段。</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52"/>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bCs/>
          <w:color w:val="auto"/>
          <w:sz w:val="32"/>
          <w:szCs w:val="32"/>
          <w:shd w:val="clear" w:color="auto" w:fill="FFFFFF"/>
        </w:rPr>
        <w:t>2、做好行政复议和行政诉讼工作。</w:t>
      </w:r>
      <w:r>
        <w:rPr>
          <w:rFonts w:hint="eastAsia" w:ascii="方正仿宋_GB2312" w:hAnsi="方正仿宋_GB2312" w:eastAsia="方正仿宋_GB2312" w:cs="方正仿宋_GB2312"/>
          <w:color w:val="auto"/>
          <w:sz w:val="32"/>
          <w:szCs w:val="32"/>
          <w:shd w:val="clear" w:color="auto" w:fill="FFFFFF"/>
        </w:rPr>
        <w:t>行政复议及应诉工作是依法行政的一项重要工作，卫生健康综合行政执法队会同法律顾问对行政复议和行政诉讼进行研究把关，确保我局行政复议诉讼应诉工作的顺利开展。为确保行政复议和行政诉讼工作的质量，我局不断加强行政复议和行政诉讼经办人员的业务学习，提高行政复议和行政应诉水平。2023年度我局无被提起行政复议的案件。</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b/>
          <w:bCs/>
          <w:color w:val="auto"/>
          <w:sz w:val="32"/>
          <w:szCs w:val="32"/>
          <w:shd w:val="clear" w:color="auto" w:fill="FFFFFF"/>
        </w:rPr>
        <w:t>3、完善信访制度，畅通调解渠道。</w:t>
      </w:r>
      <w:r>
        <w:rPr>
          <w:rFonts w:hint="eastAsia" w:ascii="方正仿宋_GB2312" w:hAnsi="方正仿宋_GB2312" w:eastAsia="方正仿宋_GB2312" w:cs="方正仿宋_GB2312"/>
          <w:color w:val="auto"/>
          <w:sz w:val="32"/>
          <w:szCs w:val="32"/>
          <w:shd w:val="clear" w:color="auto" w:fill="FFFFFF"/>
        </w:rPr>
        <w:t>建立信访投诉管理制度，畅通举报箱、电子邮箱、热线电话等监督渠道，依法及时受理信访投诉。健全完善信访工作责任体系，进一步明确信访工作各责任主体的责任，切实把工作责任逐级分解落实到各责任科室。2023年，我局未收到信访案件。</w:t>
      </w:r>
    </w:p>
    <w:p>
      <w:pPr>
        <w:pStyle w:val="8"/>
        <w:keepNext w:val="0"/>
        <w:keepLines w:val="0"/>
        <w:pageBreakBefore w:val="0"/>
        <w:widowControl/>
        <w:kinsoku/>
        <w:wordWrap/>
        <w:overflowPunct/>
        <w:topLinePunct w:val="0"/>
        <w:autoSpaceDE/>
        <w:autoSpaceDN/>
        <w:bidi w:val="0"/>
        <w:adjustRightInd/>
        <w:snapToGrid/>
        <w:spacing w:after="120" w:line="660" w:lineRule="exact"/>
        <w:jc w:val="both"/>
        <w:textAlignment w:val="auto"/>
        <w:rPr>
          <w:rFonts w:ascii="仿宋" w:hAnsi="仿宋" w:eastAsia="楷体" w:cs="仿宋"/>
          <w:color w:val="auto"/>
          <w:sz w:val="32"/>
          <w:szCs w:val="32"/>
        </w:rPr>
      </w:pPr>
      <w:r>
        <w:rPr>
          <w:rFonts w:hint="eastAsia" w:ascii="仿宋" w:hAnsi="仿宋" w:eastAsia="仿宋" w:cs="仿宋"/>
          <w:color w:val="auto"/>
          <w:sz w:val="32"/>
          <w:szCs w:val="32"/>
          <w:shd w:val="clear" w:color="auto" w:fill="FFFFFF"/>
        </w:rPr>
        <w:t>　　</w:t>
      </w:r>
      <w:r>
        <w:rPr>
          <w:rFonts w:hint="eastAsia" w:ascii="楷体" w:hAnsi="楷体" w:eastAsia="楷体" w:cs="楷体"/>
          <w:b/>
          <w:bCs/>
          <w:color w:val="auto"/>
          <w:sz w:val="32"/>
          <w:szCs w:val="32"/>
          <w:shd w:val="clear" w:color="auto" w:fill="FFFFFF"/>
        </w:rPr>
        <w:t>（四）开展法治主题宣传活动</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color w:val="auto"/>
          <w:sz w:val="32"/>
          <w:szCs w:val="32"/>
          <w:shd w:val="clear" w:color="auto" w:fill="FFFFFF"/>
        </w:rPr>
        <w:t>组织各医疗卫生单位开展民法典主题宣传活动，提升全体干部职工的法治意识，提高广大群众的法律素质。借助“世界防治结核病日”“爱心日”等各类主题宣传日，深入广场、社区等人群聚集点，通过悬挂宣传主题横幅、张贴宣传海报、发放宣传资料以及设立现场咨询台等方式向市民群众宣传健康知识，普及《职业病防治法》《传染病防治法》等与群众切身利益相关的法律法规和惠民政策。</w:t>
      </w:r>
    </w:p>
    <w:p>
      <w:pPr>
        <w:pStyle w:val="8"/>
        <w:keepNext w:val="0"/>
        <w:keepLines w:val="0"/>
        <w:pageBreakBefore w:val="0"/>
        <w:widowControl/>
        <w:numPr>
          <w:ilvl w:val="0"/>
          <w:numId w:val="1"/>
        </w:numPr>
        <w:kinsoku/>
        <w:wordWrap/>
        <w:overflowPunct/>
        <w:topLinePunct w:val="0"/>
        <w:autoSpaceDE/>
        <w:autoSpaceDN/>
        <w:bidi w:val="0"/>
        <w:adjustRightInd/>
        <w:snapToGrid/>
        <w:spacing w:after="120" w:line="660" w:lineRule="exact"/>
        <w:ind w:firstLine="642" w:firstLineChars="200"/>
        <w:jc w:val="both"/>
        <w:textAlignment w:val="auto"/>
        <w:rPr>
          <w:rFonts w:ascii="黑体" w:hAnsi="黑体" w:eastAsia="黑体" w:cs="黑体"/>
          <w:b/>
          <w:bCs/>
          <w:color w:val="auto"/>
          <w:sz w:val="32"/>
          <w:szCs w:val="32"/>
          <w:shd w:val="clear" w:color="auto" w:fill="FFFFFF"/>
        </w:rPr>
      </w:pPr>
      <w:r>
        <w:rPr>
          <w:rFonts w:hint="eastAsia" w:ascii="黑体" w:hAnsi="黑体" w:eastAsia="黑体" w:cs="黑体"/>
          <w:b/>
          <w:bCs/>
          <w:color w:val="auto"/>
          <w:sz w:val="32"/>
          <w:szCs w:val="32"/>
          <w:shd w:val="clear" w:color="auto" w:fill="FFFFFF"/>
        </w:rPr>
        <w:t>法治政府建设工作中存在的不足和原因</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color w:val="auto"/>
          <w:sz w:val="32"/>
          <w:szCs w:val="32"/>
          <w:shd w:val="clear" w:color="auto" w:fill="FFFFFF"/>
        </w:rPr>
        <w:t>2023年以来虽然我们在依法行政、法治政府建设工作方面取得了一些成绩，但还存在一些问题和不足：一是个别下属单位对法治政府建设工作重视不够，医疗机构医务人员法律意识和法律素养参差不齐。例如：医疗机构里普遍存在重医疗卫生专业，轻普法依法治理的倾向，部分医护人员认为“能瞧好病就是好医生”“技能过硬就是好护士”，忽视了依法执业的自我要求。二是“黑医美”等现象隐蔽性强，执法人员难以取证。个别生活美容场所私自开展医疗美容活动，如注射“瘦脸针”等，且多数都采取预约开展，将地点设在场地相对隐蔽的酒店、居民住宅、出租屋等，或通过采取诊疗场所与接诊场所分开、药品与诊疗场所分开等手段躲避执法，给查处工作带来了难度，事后现场清理干净，执法人员不易及时获取线索，难以取证，以至于在打击非法医疗美容方面处于被动局面。</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ascii="黑体" w:hAnsi="黑体" w:eastAsia="黑体" w:cs="黑体"/>
          <w:b/>
          <w:bCs/>
          <w:color w:val="auto"/>
          <w:sz w:val="32"/>
          <w:szCs w:val="32"/>
          <w:shd w:val="clear" w:color="auto" w:fill="FFFFFF"/>
        </w:rPr>
      </w:pPr>
      <w:r>
        <w:rPr>
          <w:rFonts w:hint="eastAsia" w:ascii="黑体" w:hAnsi="黑体" w:eastAsia="黑体" w:cs="黑体"/>
          <w:b/>
          <w:bCs/>
          <w:color w:val="auto"/>
          <w:sz w:val="32"/>
          <w:szCs w:val="32"/>
          <w:shd w:val="clear" w:color="auto" w:fill="FFFFFF"/>
        </w:rPr>
        <w:t>三、2023年度党政主要负责人推进法治建设第一责任人职责、加强法治政府建设的情况</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0"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color w:val="auto"/>
          <w:sz w:val="32"/>
          <w:szCs w:val="32"/>
          <w:shd w:val="clear" w:color="auto" w:fill="FFFFFF"/>
        </w:rPr>
        <w:t>局党组书记、局长能够坚持以习近平新时代中国特色社会主义思想为指导，认真学习习近平法治思想，全面贯彻落实中共中央办公厅、国务院办公厅印发的《党政主要负责人履行推进法治建设第一责任人职责规定》，切实履行推进法治建设第一责任人的职责，团结带领局班子和全局干部职工坚决落实县委、县政府关于推进法治建设的部署要求，紧紧围绕全县中心任务，牢牢把握卫体工作实际，认真落实法治建设各项工作措施，不断改进工作方法，创新工作思路，有效推动法治建设不断迈上新台阶。能够深入学习《习近平法治思想学习纲要》，对法治建设重要工作亲自部署、重大问题亲自过问、重要任务亲自督办。能够认真研究本领域涉及法治建设的重要工作，及时解决重大问题，切实做到了依法决策、依法行政、依法办事，在全县卫体系统中带头宣传全面依法治县的重大意义，教育引导广大党员干部，特别是行政管理和执法监督人员必须做到法在心中、法在手中、依法履职、依法行政。</w:t>
      </w:r>
    </w:p>
    <w:p>
      <w:pPr>
        <w:pStyle w:val="8"/>
        <w:keepNext w:val="0"/>
        <w:keepLines w:val="0"/>
        <w:pageBreakBefore w:val="0"/>
        <w:widowControl/>
        <w:kinsoku/>
        <w:wordWrap/>
        <w:overflowPunct/>
        <w:topLinePunct w:val="0"/>
        <w:autoSpaceDE/>
        <w:autoSpaceDN/>
        <w:bidi w:val="0"/>
        <w:adjustRightInd/>
        <w:snapToGrid/>
        <w:spacing w:after="120" w:line="660" w:lineRule="exact"/>
        <w:jc w:val="both"/>
        <w:textAlignment w:val="auto"/>
        <w:rPr>
          <w:rFonts w:ascii="仿宋" w:hAnsi="仿宋" w:eastAsia="仿宋" w:cs="仿宋"/>
          <w:b/>
          <w:bCs/>
          <w:color w:val="auto"/>
          <w:sz w:val="32"/>
          <w:szCs w:val="32"/>
        </w:rPr>
      </w:pPr>
      <w:r>
        <w:rPr>
          <w:rFonts w:hint="eastAsia" w:ascii="仿宋" w:hAnsi="仿宋" w:eastAsia="仿宋" w:cs="仿宋"/>
          <w:b/>
          <w:bCs/>
          <w:color w:val="auto"/>
          <w:sz w:val="32"/>
          <w:szCs w:val="32"/>
          <w:shd w:val="clear" w:color="auto" w:fill="FFFFFF"/>
        </w:rPr>
        <w:t>　　</w:t>
      </w:r>
      <w:r>
        <w:rPr>
          <w:rFonts w:hint="eastAsia" w:ascii="黑体" w:hAnsi="黑体" w:eastAsia="黑体" w:cs="黑体"/>
          <w:b/>
          <w:bCs/>
          <w:color w:val="auto"/>
          <w:sz w:val="32"/>
          <w:szCs w:val="32"/>
          <w:shd w:val="clear" w:color="auto" w:fill="FFFFFF"/>
        </w:rPr>
        <w:t>四、下一年度法治政府建设工作计划</w:t>
      </w:r>
    </w:p>
    <w:p>
      <w:pPr>
        <w:pStyle w:val="106"/>
        <w:keepNext w:val="0"/>
        <w:keepLines w:val="0"/>
        <w:pageBreakBefore w:val="0"/>
        <w:widowControl/>
        <w:kinsoku/>
        <w:wordWrap/>
        <w:overflowPunct/>
        <w:topLinePunct w:val="0"/>
        <w:autoSpaceDE/>
        <w:autoSpaceDN/>
        <w:bidi w:val="0"/>
        <w:adjustRightInd/>
        <w:snapToGrid/>
        <w:spacing w:before="0" w:line="660" w:lineRule="exact"/>
        <w:ind w:firstLine="640" w:firstLineChars="200"/>
        <w:jc w:val="both"/>
        <w:textAlignment w:val="auto"/>
        <w:rPr>
          <w:rFonts w:hint="eastAsia" w:ascii="方正仿宋_GB2312" w:hAnsi="方正仿宋_GB2312" w:eastAsia="方正仿宋_GB2312" w:cs="方正仿宋_GB2312"/>
          <w:color w:val="auto"/>
          <w:kern w:val="0"/>
          <w:sz w:val="32"/>
          <w:szCs w:val="32"/>
          <w:shd w:val="clear" w:color="auto" w:fill="FFFFFF"/>
          <w:lang w:val="en-US" w:eastAsia="zh-CN" w:bidi="ar-SA"/>
        </w:rPr>
      </w:pPr>
      <w:r>
        <w:rPr>
          <w:rFonts w:hint="eastAsia" w:ascii="方正仿宋_GB2312" w:hAnsi="方正仿宋_GB2312" w:eastAsia="方正仿宋_GB2312" w:cs="方正仿宋_GB2312"/>
          <w:color w:val="auto"/>
          <w:kern w:val="0"/>
          <w:sz w:val="32"/>
          <w:szCs w:val="32"/>
          <w:shd w:val="clear" w:color="auto" w:fill="FFFFFF"/>
          <w:lang w:val="en-US" w:eastAsia="zh-CN" w:bidi="ar-SA"/>
        </w:rPr>
        <w:t>2024年，我局将认真按照上级法治政府建设工作的总体要求，认真抓好法治政府建设各项工作，针对薄弱环节，加大工作力度，切实解决</w:t>
      </w:r>
      <w:r>
        <w:rPr>
          <w:rFonts w:hint="eastAsia" w:ascii="方正仿宋_GB2312" w:hAnsi="方正仿宋_GB2312" w:eastAsia="方正仿宋_GB2312" w:cs="方正仿宋_GB2312"/>
          <w:color w:val="auto"/>
          <w:kern w:val="0"/>
          <w:sz w:val="32"/>
          <w:szCs w:val="32"/>
          <w:shd w:val="clear" w:color="auto" w:fill="FFFFFF"/>
          <w:rtl/>
          <w:lang w:val="ar-SA" w:eastAsia="zh-CN" w:bidi="ar-SA"/>
        </w:rPr>
        <w:t>“</w:t>
      </w:r>
      <w:r>
        <w:rPr>
          <w:rFonts w:hint="eastAsia" w:ascii="方正仿宋_GB2312" w:hAnsi="方正仿宋_GB2312" w:eastAsia="方正仿宋_GB2312" w:cs="方正仿宋_GB2312"/>
          <w:color w:val="auto"/>
          <w:kern w:val="0"/>
          <w:sz w:val="32"/>
          <w:szCs w:val="32"/>
          <w:shd w:val="clear" w:color="auto" w:fill="FFFFFF"/>
          <w:lang w:val="en-US" w:eastAsia="zh-CN" w:bidi="ar-SA"/>
        </w:rPr>
        <w:t>短板”问题，进一步提高依法行政的工作水平和能力，更好营造卫体系统良好法治环境。</w:t>
      </w:r>
    </w:p>
    <w:p>
      <w:pPr>
        <w:pStyle w:val="106"/>
        <w:keepNext w:val="0"/>
        <w:keepLines w:val="0"/>
        <w:pageBreakBefore w:val="0"/>
        <w:widowControl/>
        <w:kinsoku/>
        <w:wordWrap/>
        <w:overflowPunct/>
        <w:topLinePunct w:val="0"/>
        <w:autoSpaceDE/>
        <w:autoSpaceDN/>
        <w:bidi w:val="0"/>
        <w:adjustRightInd/>
        <w:snapToGrid/>
        <w:spacing w:before="0" w:line="660" w:lineRule="exact"/>
        <w:ind w:firstLine="642" w:firstLineChars="200"/>
        <w:jc w:val="both"/>
        <w:textAlignment w:val="auto"/>
        <w:rPr>
          <w:rFonts w:hint="eastAsia" w:ascii="方正仿宋_GB2312" w:hAnsi="方正仿宋_GB2312" w:eastAsia="方正仿宋_GB2312" w:cs="方正仿宋_GB2312"/>
          <w:color w:val="auto"/>
          <w:sz w:val="32"/>
          <w:szCs w:val="32"/>
          <w:shd w:val="clear" w:color="auto" w:fill="FFFFFF"/>
          <w:lang w:bidi="ar"/>
        </w:rPr>
      </w:pPr>
      <w:r>
        <w:rPr>
          <w:rFonts w:hint="eastAsia" w:ascii="方正仿宋_GB2312" w:hAnsi="方正仿宋_GB2312" w:eastAsia="方正仿宋_GB2312" w:cs="方正仿宋_GB2312"/>
          <w:b/>
          <w:bCs/>
          <w:color w:val="auto"/>
          <w:sz w:val="32"/>
          <w:szCs w:val="32"/>
          <w:shd w:val="clear" w:color="auto" w:fill="FFFFFF"/>
          <w:lang w:bidi="ar"/>
        </w:rPr>
        <w:t>1、高质量开展专项整治行动。</w:t>
      </w:r>
      <w:r>
        <w:rPr>
          <w:rFonts w:hint="eastAsia" w:ascii="方正仿宋_GB2312" w:hAnsi="方正仿宋_GB2312" w:eastAsia="方正仿宋_GB2312" w:cs="方正仿宋_GB2312"/>
          <w:color w:val="auto"/>
          <w:sz w:val="32"/>
          <w:szCs w:val="32"/>
          <w:shd w:val="clear" w:color="auto" w:fill="FFFFFF"/>
          <w:lang w:bidi="ar"/>
        </w:rPr>
        <w:t>根据本行业实际情况，开展各种专项整治行动，针对经营单位日常容易出现卫生问题的环节进行专门监督检查，以此促进经营单位卫生管理工作水平的提高。</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bCs/>
          <w:color w:val="auto"/>
          <w:sz w:val="32"/>
          <w:szCs w:val="32"/>
          <w:shd w:val="clear" w:color="auto" w:fill="FFFFFF"/>
          <w:lang w:bidi="ar"/>
        </w:rPr>
        <w:t>2、继续</w:t>
      </w:r>
      <w:r>
        <w:rPr>
          <w:rFonts w:hint="eastAsia" w:ascii="方正仿宋_GB2312" w:hAnsi="方正仿宋_GB2312" w:eastAsia="方正仿宋_GB2312" w:cs="方正仿宋_GB2312"/>
          <w:b/>
          <w:bCs/>
          <w:color w:val="auto"/>
          <w:sz w:val="32"/>
          <w:szCs w:val="32"/>
          <w:shd w:val="clear" w:color="auto" w:fill="FFFFFF"/>
          <w:lang w:val="zh-CN" w:bidi="ar"/>
        </w:rPr>
        <w:t>加强卫生健康领域普法宣传工作。</w:t>
      </w:r>
      <w:r>
        <w:rPr>
          <w:rFonts w:hint="eastAsia" w:ascii="方正仿宋_GB2312" w:hAnsi="方正仿宋_GB2312" w:eastAsia="方正仿宋_GB2312" w:cs="方正仿宋_GB2312"/>
          <w:color w:val="auto"/>
          <w:sz w:val="32"/>
          <w:szCs w:val="32"/>
          <w:shd w:val="clear" w:color="auto" w:fill="FFFFFF"/>
          <w:lang w:val="zh-CN" w:bidi="ar"/>
        </w:rPr>
        <w:t>进一步深入各场所开展普法宣传活动，营造良好法治社会氛围。</w:t>
      </w:r>
      <w:r>
        <w:rPr>
          <w:rFonts w:hint="eastAsia" w:ascii="方正仿宋_GB2312" w:hAnsi="方正仿宋_GB2312" w:eastAsia="方正仿宋_GB2312" w:cs="方正仿宋_GB2312"/>
          <w:color w:val="auto"/>
          <w:sz w:val="32"/>
          <w:szCs w:val="32"/>
          <w:shd w:val="clear" w:color="auto" w:fill="FFFFFF"/>
        </w:rPr>
        <w:t>充分发挥媒体和社会舆论监督作用，加大卫生监测信息、警示信息等的公示力度，及时报道卫生监督执法工作进展情况，提高社会对卫生工作的知晓度和认同感。强化对管理相对人以及从业人员的培训，提高企业主体责任意识，不断提升其自身管理水平。</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bCs/>
          <w:color w:val="auto"/>
          <w:sz w:val="32"/>
          <w:szCs w:val="32"/>
          <w:shd w:val="clear" w:color="auto" w:fill="FFFFFF"/>
        </w:rPr>
        <w:t>3、增强卫生健康行政权力网上透明运行机制。</w:t>
      </w:r>
      <w:r>
        <w:rPr>
          <w:rFonts w:hint="eastAsia" w:ascii="方正仿宋_GB2312" w:hAnsi="方正仿宋_GB2312" w:eastAsia="方正仿宋_GB2312" w:cs="方正仿宋_GB2312"/>
          <w:color w:val="auto"/>
          <w:sz w:val="32"/>
          <w:szCs w:val="32"/>
          <w:shd w:val="clear" w:color="auto" w:fill="FFFFFF"/>
        </w:rPr>
        <w:t>制定完善权力清单制度，推动行政机关依法行使权力，从依据到决策、执行、结果实行全过程动态公开，实行阳光执政，接受人民群众监督。</w:t>
      </w:r>
    </w:p>
    <w:p>
      <w:pPr>
        <w:pStyle w:val="8"/>
        <w:keepNext w:val="0"/>
        <w:keepLines w:val="0"/>
        <w:pageBreakBefore w:val="0"/>
        <w:widowControl/>
        <w:kinsoku/>
        <w:wordWrap/>
        <w:overflowPunct/>
        <w:topLinePunct w:val="0"/>
        <w:autoSpaceDE/>
        <w:autoSpaceDN/>
        <w:bidi w:val="0"/>
        <w:adjustRightInd/>
        <w:snapToGrid/>
        <w:spacing w:after="120" w:line="660" w:lineRule="exact"/>
        <w:ind w:firstLine="642" w:firstLineChars="2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b/>
          <w:bCs/>
          <w:color w:val="auto"/>
          <w:sz w:val="32"/>
          <w:szCs w:val="32"/>
          <w:shd w:val="clear" w:color="auto" w:fill="FFFFFF"/>
        </w:rPr>
        <w:t>4、加强“以案促管”工作，提高案件质量。</w:t>
      </w:r>
      <w:r>
        <w:rPr>
          <w:rFonts w:hint="eastAsia" w:ascii="方正仿宋_GB2312" w:hAnsi="方正仿宋_GB2312" w:eastAsia="方正仿宋_GB2312" w:cs="方正仿宋_GB2312"/>
          <w:bCs/>
          <w:color w:val="auto"/>
          <w:sz w:val="32"/>
          <w:szCs w:val="32"/>
          <w:shd w:val="clear" w:color="auto" w:fill="FFFFFF"/>
        </w:rPr>
        <w:t>推动</w:t>
      </w:r>
      <w:r>
        <w:rPr>
          <w:rFonts w:hint="eastAsia" w:ascii="方正仿宋_GB2312" w:hAnsi="方正仿宋_GB2312" w:eastAsia="方正仿宋_GB2312" w:cs="方正仿宋_GB2312"/>
          <w:color w:val="auto"/>
          <w:sz w:val="32"/>
          <w:szCs w:val="32"/>
          <w:shd w:val="clear" w:color="auto" w:fill="FFFFFF"/>
        </w:rPr>
        <w:t>案件从以量为重向以质为先的方向转变，多开展卫生法律法规的培训学习，多开展对案宗的分析与评查，通过相互讨论交流，提升执法人员办案能力和水平。</w:t>
      </w:r>
    </w:p>
    <w:p>
      <w:pPr>
        <w:pStyle w:val="8"/>
        <w:keepNext w:val="0"/>
        <w:keepLines w:val="0"/>
        <w:pageBreakBefore w:val="0"/>
        <w:widowControl/>
        <w:kinsoku/>
        <w:wordWrap/>
        <w:overflowPunct/>
        <w:topLinePunct w:val="0"/>
        <w:autoSpaceDE/>
        <w:autoSpaceDN/>
        <w:bidi w:val="0"/>
        <w:adjustRightInd/>
        <w:snapToGrid/>
        <w:spacing w:after="120" w:line="660" w:lineRule="exact"/>
        <w:jc w:val="both"/>
        <w:textAlignment w:val="auto"/>
        <w:rPr>
          <w:rFonts w:hint="eastAsia" w:ascii="方正仿宋_GB2312" w:hAnsi="方正仿宋_GB2312" w:eastAsia="方正仿宋_GB2312" w:cs="方正仿宋_GB2312"/>
          <w:color w:val="auto"/>
          <w:sz w:val="32"/>
          <w:szCs w:val="32"/>
          <w:shd w:val="clear" w:color="auto" w:fill="FFFFFF"/>
        </w:rPr>
      </w:pPr>
    </w:p>
    <w:p>
      <w:pPr>
        <w:pStyle w:val="8"/>
        <w:keepNext w:val="0"/>
        <w:keepLines w:val="0"/>
        <w:pageBreakBefore w:val="0"/>
        <w:widowControl/>
        <w:kinsoku/>
        <w:wordWrap/>
        <w:overflowPunct/>
        <w:topLinePunct w:val="0"/>
        <w:autoSpaceDE/>
        <w:autoSpaceDN/>
        <w:bidi w:val="0"/>
        <w:adjustRightInd/>
        <w:snapToGrid/>
        <w:spacing w:after="120" w:line="660" w:lineRule="exact"/>
        <w:ind w:firstLine="4480" w:firstLineChars="1400"/>
        <w:jc w:val="both"/>
        <w:textAlignment w:val="auto"/>
        <w:rPr>
          <w:rFonts w:hint="eastAsia" w:ascii="方正仿宋_GB2312" w:hAnsi="方正仿宋_GB2312" w:eastAsia="方正仿宋_GB2312" w:cs="方正仿宋_GB2312"/>
          <w:color w:val="auto"/>
          <w:sz w:val="32"/>
          <w:szCs w:val="32"/>
          <w:shd w:val="clear" w:color="auto" w:fill="FFFFFF"/>
        </w:rPr>
      </w:pPr>
    </w:p>
    <w:p>
      <w:pPr>
        <w:pStyle w:val="8"/>
        <w:keepNext w:val="0"/>
        <w:keepLines w:val="0"/>
        <w:pageBreakBefore w:val="0"/>
        <w:widowControl/>
        <w:kinsoku/>
        <w:wordWrap/>
        <w:overflowPunct/>
        <w:topLinePunct w:val="0"/>
        <w:autoSpaceDE/>
        <w:autoSpaceDN/>
        <w:bidi w:val="0"/>
        <w:adjustRightInd/>
        <w:snapToGrid/>
        <w:spacing w:after="120" w:line="660" w:lineRule="exact"/>
        <w:ind w:firstLine="4480" w:firstLineChars="1400"/>
        <w:jc w:val="both"/>
        <w:textAlignment w:val="auto"/>
        <w:rPr>
          <w:rFonts w:hint="eastAsia" w:ascii="方正仿宋_GB2312" w:hAnsi="方正仿宋_GB2312" w:eastAsia="方正仿宋_GB2312" w:cs="方正仿宋_GB2312"/>
          <w:color w:val="auto"/>
          <w:sz w:val="32"/>
          <w:szCs w:val="32"/>
          <w:shd w:val="clear" w:color="auto" w:fill="FFFFFF"/>
        </w:rPr>
      </w:pPr>
    </w:p>
    <w:p>
      <w:pPr>
        <w:pStyle w:val="8"/>
        <w:keepNext w:val="0"/>
        <w:keepLines w:val="0"/>
        <w:pageBreakBefore w:val="0"/>
        <w:widowControl/>
        <w:kinsoku/>
        <w:wordWrap/>
        <w:overflowPunct/>
        <w:topLinePunct w:val="0"/>
        <w:autoSpaceDE/>
        <w:autoSpaceDN/>
        <w:bidi w:val="0"/>
        <w:adjustRightInd/>
        <w:snapToGrid/>
        <w:spacing w:after="120" w:line="660" w:lineRule="exact"/>
        <w:ind w:firstLine="4480" w:firstLineChars="1400"/>
        <w:jc w:val="both"/>
        <w:textAlignment w:val="auto"/>
        <w:rPr>
          <w:rFonts w:hint="eastAsia" w:ascii="方正仿宋_GB2312" w:hAnsi="方正仿宋_GB2312" w:eastAsia="方正仿宋_GB2312" w:cs="方正仿宋_GB2312"/>
          <w:color w:val="auto"/>
          <w:sz w:val="32"/>
          <w:szCs w:val="32"/>
          <w:shd w:val="clear" w:color="auto" w:fill="FFFFFF"/>
        </w:rPr>
      </w:pPr>
    </w:p>
    <w:p>
      <w:pPr>
        <w:pStyle w:val="8"/>
        <w:keepNext w:val="0"/>
        <w:keepLines w:val="0"/>
        <w:pageBreakBefore w:val="0"/>
        <w:widowControl/>
        <w:kinsoku/>
        <w:wordWrap/>
        <w:overflowPunct/>
        <w:topLinePunct w:val="0"/>
        <w:autoSpaceDE/>
        <w:autoSpaceDN/>
        <w:bidi w:val="0"/>
        <w:adjustRightInd/>
        <w:snapToGrid/>
        <w:spacing w:after="120" w:line="660" w:lineRule="exact"/>
        <w:ind w:firstLine="4480" w:firstLineChars="1400"/>
        <w:jc w:val="both"/>
        <w:textAlignment w:val="auto"/>
        <w:rPr>
          <w:rFonts w:hint="eastAsia" w:ascii="方正仿宋_GB2312" w:hAnsi="方正仿宋_GB2312" w:eastAsia="方正仿宋_GB2312" w:cs="方正仿宋_GB2312"/>
          <w:color w:val="auto"/>
          <w:sz w:val="32"/>
          <w:szCs w:val="32"/>
          <w:shd w:val="clear" w:color="auto" w:fill="FFFFFF"/>
        </w:rPr>
      </w:pPr>
      <w:r>
        <w:rPr>
          <w:rFonts w:hint="eastAsia" w:ascii="方正仿宋_GB2312" w:hAnsi="方正仿宋_GB2312" w:eastAsia="方正仿宋_GB2312" w:cs="方正仿宋_GB2312"/>
          <w:color w:val="auto"/>
          <w:sz w:val="32"/>
          <w:szCs w:val="32"/>
          <w:shd w:val="clear" w:color="auto" w:fill="FFFFFF"/>
        </w:rPr>
        <w:t>曲沃县卫生健康和体育局</w:t>
      </w:r>
    </w:p>
    <w:p>
      <w:pPr>
        <w:pStyle w:val="8"/>
        <w:keepNext w:val="0"/>
        <w:keepLines w:val="0"/>
        <w:pageBreakBefore w:val="0"/>
        <w:widowControl/>
        <w:kinsoku/>
        <w:wordWrap/>
        <w:overflowPunct/>
        <w:topLinePunct w:val="0"/>
        <w:autoSpaceDE/>
        <w:autoSpaceDN/>
        <w:bidi w:val="0"/>
        <w:adjustRightInd/>
        <w:snapToGrid/>
        <w:spacing w:after="120" w:line="660" w:lineRule="exact"/>
        <w:ind w:firstLine="5120" w:firstLineChars="1600"/>
        <w:jc w:val="both"/>
        <w:textAlignment w:val="auto"/>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z w:val="32"/>
          <w:szCs w:val="32"/>
          <w:shd w:val="clear" w:color="auto" w:fill="FFFFFF"/>
        </w:rPr>
        <w:t>2023年12月</w:t>
      </w:r>
      <w:r>
        <w:rPr>
          <w:rFonts w:hint="eastAsia" w:ascii="方正仿宋_GB2312" w:hAnsi="方正仿宋_GB2312" w:eastAsia="方正仿宋_GB2312" w:cs="方正仿宋_GB2312"/>
          <w:color w:val="auto"/>
          <w:sz w:val="32"/>
          <w:szCs w:val="32"/>
          <w:shd w:val="clear" w:color="auto" w:fill="FFFFFF"/>
          <w:lang w:val="en-US" w:eastAsia="zh-CN"/>
        </w:rPr>
        <w:t>20</w:t>
      </w:r>
      <w:r>
        <w:rPr>
          <w:rFonts w:hint="eastAsia" w:ascii="方正仿宋_GB2312" w:hAnsi="方正仿宋_GB2312" w:eastAsia="方正仿宋_GB2312" w:cs="方正仿宋_GB2312"/>
          <w:color w:val="auto"/>
          <w:sz w:val="32"/>
          <w:szCs w:val="32"/>
          <w:shd w:val="clear" w:color="auto" w:fill="FFFFFF"/>
        </w:rPr>
        <w:t>日</w:t>
      </w:r>
    </w:p>
    <w:sectPr>
      <w:footerReference r:id="rId3" w:type="default"/>
      <w:pgSz w:w="11906" w:h="16838"/>
      <w:pgMar w:top="1440" w:right="1800" w:bottom="1440" w:left="1800" w:header="851" w:footer="992" w:gutter="0"/>
      <w:pgNumType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Arial Unicode MS">
    <w:altName w:val="Nimbus Roman No9 L"/>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9534B5"/>
    <w:multiLevelType w:val="singleLevel"/>
    <w:tmpl w:val="169534B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4MzNkYTRhMmY1ZjMwYzI3Y2IwMWRkNzhmZTUwNmQifQ=="/>
  </w:docVars>
  <w:rsids>
    <w:rsidRoot w:val="000C3B23"/>
    <w:rsid w:val="000C3B23"/>
    <w:rsid w:val="003A6636"/>
    <w:rsid w:val="00A63EBF"/>
    <w:rsid w:val="00CC48FF"/>
    <w:rsid w:val="03A205EB"/>
    <w:rsid w:val="14080171"/>
    <w:rsid w:val="190E40E3"/>
    <w:rsid w:val="1A2E0308"/>
    <w:rsid w:val="35DC2076"/>
    <w:rsid w:val="40EA21B6"/>
    <w:rsid w:val="5D265AAF"/>
    <w:rsid w:val="63853B7C"/>
    <w:rsid w:val="699B684F"/>
    <w:rsid w:val="707C21E3"/>
    <w:rsid w:val="79A07BB8"/>
    <w:rsid w:val="7CD41BDA"/>
    <w:rsid w:val="7DC80E79"/>
    <w:rsid w:val="7F1F274E"/>
    <w:rsid w:val="DF7FA0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jc w:val="left"/>
      <w:outlineLvl w:val="0"/>
    </w:pPr>
    <w:rPr>
      <w:rFonts w:hint="eastAsia" w:ascii="宋体" w:hAnsi="宋体" w:eastAsia="宋体" w:cs="Times New Roman"/>
      <w:b/>
      <w:kern w:val="44"/>
      <w:sz w:val="48"/>
      <w:szCs w:val="48"/>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paragraph" w:styleId="4">
    <w:name w:val="heading 6"/>
    <w:basedOn w:val="1"/>
    <w:next w:val="1"/>
    <w:unhideWhenUsed/>
    <w:qFormat/>
    <w:uiPriority w:val="0"/>
    <w:pPr>
      <w:jc w:val="left"/>
      <w:outlineLvl w:val="5"/>
    </w:pPr>
    <w:rPr>
      <w:rFonts w:hint="eastAsia" w:ascii="宋体" w:hAnsi="宋体" w:eastAsia="宋体" w:cs="Times New Roman"/>
      <w:b/>
      <w:kern w:val="0"/>
      <w:sz w:val="15"/>
      <w:szCs w:val="15"/>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99"/>
    <w:pPr>
      <w:ind w:firstLine="420" w:firstLineChars="200"/>
    </w:pPr>
    <w:rPr>
      <w:rFonts w:ascii="Calibri" w:hAnsi="Calibri" w:eastAsia="楷体" w:cs="Times New Roman"/>
      <w:sz w:val="28"/>
      <w:szCs w:val="2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jc w:val="left"/>
    </w:pPr>
    <w:rPr>
      <w:rFonts w:cs="Times New Roman"/>
      <w:kern w:val="0"/>
      <w:sz w:val="24"/>
    </w:rPr>
  </w:style>
  <w:style w:type="character" w:styleId="11">
    <w:name w:val="FollowedHyperlink"/>
    <w:basedOn w:val="10"/>
    <w:qFormat/>
    <w:uiPriority w:val="0"/>
    <w:rPr>
      <w:color w:val="800080"/>
      <w:u w:val="none"/>
    </w:rPr>
  </w:style>
  <w:style w:type="character" w:styleId="12">
    <w:name w:val="Emphasis"/>
    <w:basedOn w:val="10"/>
    <w:qFormat/>
    <w:uiPriority w:val="0"/>
  </w:style>
  <w:style w:type="character" w:styleId="13">
    <w:name w:val="Hyperlink"/>
    <w:basedOn w:val="10"/>
    <w:qFormat/>
    <w:uiPriority w:val="0"/>
    <w:rPr>
      <w:color w:val="0000FF"/>
      <w:u w:val="none"/>
    </w:rPr>
  </w:style>
  <w:style w:type="paragraph" w:customStyle="1" w:styleId="14">
    <w:name w:val="样式1"/>
    <w:basedOn w:val="1"/>
    <w:qFormat/>
    <w:uiPriority w:val="0"/>
    <w:rPr>
      <w:rFonts w:ascii="Calibri" w:hAnsi="Calibri" w:eastAsia="宋体" w:cs="Times New Roman"/>
      <w:b/>
      <w:color w:val="538135"/>
      <w:sz w:val="28"/>
    </w:rPr>
  </w:style>
  <w:style w:type="paragraph" w:customStyle="1" w:styleId="15">
    <w:name w:val="Heading1"/>
    <w:basedOn w:val="1"/>
    <w:next w:val="1"/>
    <w:qFormat/>
    <w:uiPriority w:val="0"/>
    <w:pPr>
      <w:keepNext/>
      <w:keepLines/>
      <w:spacing w:line="620" w:lineRule="exact"/>
      <w:jc w:val="center"/>
      <w:textAlignment w:val="baseline"/>
    </w:pPr>
    <w:rPr>
      <w:rFonts w:ascii="Calibri" w:hAnsi="Calibri" w:eastAsia="方正小标宋_GBK"/>
      <w:kern w:val="44"/>
      <w:sz w:val="44"/>
    </w:rPr>
  </w:style>
  <w:style w:type="paragraph" w:customStyle="1" w:styleId="16">
    <w:name w:val="列出段落1"/>
    <w:basedOn w:val="1"/>
    <w:qFormat/>
    <w:uiPriority w:val="99"/>
    <w:pPr>
      <w:ind w:firstLine="420" w:firstLineChars="200"/>
    </w:pPr>
  </w:style>
  <w:style w:type="character" w:customStyle="1" w:styleId="17">
    <w:name w:val="tq"/>
    <w:basedOn w:val="10"/>
    <w:qFormat/>
    <w:uiPriority w:val="0"/>
  </w:style>
  <w:style w:type="character" w:customStyle="1" w:styleId="18">
    <w:name w:val="indextb"/>
    <w:basedOn w:val="10"/>
    <w:qFormat/>
    <w:uiPriority w:val="0"/>
  </w:style>
  <w:style w:type="character" w:customStyle="1" w:styleId="19">
    <w:name w:val="bg92"/>
    <w:basedOn w:val="10"/>
    <w:qFormat/>
    <w:uiPriority w:val="0"/>
  </w:style>
  <w:style w:type="character" w:customStyle="1" w:styleId="20">
    <w:name w:val="bg93"/>
    <w:basedOn w:val="10"/>
    <w:qFormat/>
    <w:uiPriority w:val="0"/>
  </w:style>
  <w:style w:type="character" w:customStyle="1" w:styleId="21">
    <w:name w:val="bg94"/>
    <w:basedOn w:val="10"/>
    <w:qFormat/>
    <w:uiPriority w:val="0"/>
  </w:style>
  <w:style w:type="character" w:customStyle="1" w:styleId="22">
    <w:name w:val="before"/>
    <w:basedOn w:val="10"/>
    <w:qFormat/>
    <w:uiPriority w:val="0"/>
    <w:rPr>
      <w:shd w:val="clear" w:color="auto" w:fill="E5927B"/>
    </w:rPr>
  </w:style>
  <w:style w:type="character" w:customStyle="1" w:styleId="23">
    <w:name w:val="before1"/>
    <w:basedOn w:val="10"/>
    <w:qFormat/>
    <w:uiPriority w:val="0"/>
    <w:rPr>
      <w:shd w:val="clear" w:color="auto" w:fill="5895D3"/>
    </w:rPr>
  </w:style>
  <w:style w:type="character" w:customStyle="1" w:styleId="24">
    <w:name w:val="before2"/>
    <w:basedOn w:val="10"/>
    <w:qFormat/>
    <w:uiPriority w:val="0"/>
    <w:rPr>
      <w:shd w:val="clear" w:color="auto" w:fill="5895D3"/>
    </w:rPr>
  </w:style>
  <w:style w:type="character" w:customStyle="1" w:styleId="25">
    <w:name w:val="bg11"/>
    <w:basedOn w:val="10"/>
    <w:qFormat/>
    <w:uiPriority w:val="0"/>
  </w:style>
  <w:style w:type="character" w:customStyle="1" w:styleId="26">
    <w:name w:val="hover31"/>
    <w:basedOn w:val="10"/>
    <w:qFormat/>
    <w:uiPriority w:val="0"/>
    <w:rPr>
      <w:color w:val="B40C11"/>
    </w:rPr>
  </w:style>
  <w:style w:type="character" w:customStyle="1" w:styleId="27">
    <w:name w:val="hover32"/>
    <w:basedOn w:val="10"/>
    <w:qFormat/>
    <w:uiPriority w:val="0"/>
    <w:rPr>
      <w:color w:val="FFFFFF"/>
      <w:shd w:val="clear" w:color="auto" w:fill="0068B7"/>
    </w:rPr>
  </w:style>
  <w:style w:type="character" w:customStyle="1" w:styleId="28">
    <w:name w:val="hover33"/>
    <w:basedOn w:val="10"/>
    <w:qFormat/>
    <w:uiPriority w:val="0"/>
  </w:style>
  <w:style w:type="character" w:customStyle="1" w:styleId="29">
    <w:name w:val="hover34"/>
    <w:basedOn w:val="10"/>
    <w:qFormat/>
    <w:uiPriority w:val="0"/>
    <w:rPr>
      <w:b/>
      <w:color w:val="FFFFFF"/>
      <w:shd w:val="clear" w:color="auto" w:fill="2887D4"/>
    </w:rPr>
  </w:style>
  <w:style w:type="character" w:customStyle="1" w:styleId="30">
    <w:name w:val="hover35"/>
    <w:basedOn w:val="10"/>
    <w:qFormat/>
    <w:uiPriority w:val="0"/>
    <w:rPr>
      <w:color w:val="FFFFFF"/>
    </w:rPr>
  </w:style>
  <w:style w:type="character" w:customStyle="1" w:styleId="31">
    <w:name w:val="hover36"/>
    <w:basedOn w:val="10"/>
    <w:qFormat/>
    <w:uiPriority w:val="0"/>
    <w:rPr>
      <w:color w:val="FFFFFF"/>
      <w:shd w:val="clear" w:color="auto" w:fill="0077D2"/>
    </w:rPr>
  </w:style>
  <w:style w:type="character" w:customStyle="1" w:styleId="32">
    <w:name w:val="hover37"/>
    <w:basedOn w:val="10"/>
    <w:qFormat/>
    <w:uiPriority w:val="0"/>
    <w:rPr>
      <w:color w:val="FFFFFF"/>
      <w:shd w:val="clear" w:color="auto" w:fill="D33516"/>
    </w:rPr>
  </w:style>
  <w:style w:type="character" w:customStyle="1" w:styleId="33">
    <w:name w:val="hover38"/>
    <w:basedOn w:val="10"/>
    <w:qFormat/>
    <w:uiPriority w:val="0"/>
    <w:rPr>
      <w:color w:val="FFFFFF"/>
      <w:shd w:val="clear" w:color="auto" w:fill="0068B7"/>
    </w:rPr>
  </w:style>
  <w:style w:type="character" w:customStyle="1" w:styleId="34">
    <w:name w:val="hover39"/>
    <w:basedOn w:val="10"/>
    <w:qFormat/>
    <w:uiPriority w:val="0"/>
    <w:rPr>
      <w:color w:val="0067CC"/>
      <w:sz w:val="28"/>
      <w:szCs w:val="28"/>
    </w:rPr>
  </w:style>
  <w:style w:type="character" w:customStyle="1" w:styleId="35">
    <w:name w:val="hover40"/>
    <w:basedOn w:val="10"/>
    <w:qFormat/>
    <w:uiPriority w:val="0"/>
    <w:rPr>
      <w:color w:val="FFFFFF"/>
      <w:shd w:val="clear" w:color="auto" w:fill="7BD110"/>
    </w:rPr>
  </w:style>
  <w:style w:type="character" w:customStyle="1" w:styleId="36">
    <w:name w:val="hover41"/>
    <w:basedOn w:val="10"/>
    <w:qFormat/>
    <w:uiPriority w:val="0"/>
    <w:rPr>
      <w:b/>
      <w:color w:val="CA0200"/>
    </w:rPr>
  </w:style>
  <w:style w:type="character" w:customStyle="1" w:styleId="37">
    <w:name w:val="bg38"/>
    <w:basedOn w:val="10"/>
    <w:qFormat/>
    <w:uiPriority w:val="0"/>
  </w:style>
  <w:style w:type="character" w:customStyle="1" w:styleId="38">
    <w:name w:val="bg64"/>
    <w:basedOn w:val="10"/>
    <w:qFormat/>
    <w:uiPriority w:val="0"/>
  </w:style>
  <w:style w:type="character" w:customStyle="1" w:styleId="39">
    <w:name w:val="bg65"/>
    <w:basedOn w:val="10"/>
    <w:qFormat/>
    <w:uiPriority w:val="0"/>
  </w:style>
  <w:style w:type="character" w:customStyle="1" w:styleId="40">
    <w:name w:val="bg66"/>
    <w:basedOn w:val="10"/>
    <w:qFormat/>
    <w:uiPriority w:val="0"/>
  </w:style>
  <w:style w:type="character" w:customStyle="1" w:styleId="41">
    <w:name w:val="bg67"/>
    <w:basedOn w:val="10"/>
    <w:qFormat/>
    <w:uiPriority w:val="0"/>
  </w:style>
  <w:style w:type="character" w:customStyle="1" w:styleId="42">
    <w:name w:val="bg68"/>
    <w:basedOn w:val="10"/>
    <w:qFormat/>
    <w:uiPriority w:val="0"/>
  </w:style>
  <w:style w:type="character" w:customStyle="1" w:styleId="43">
    <w:name w:val="bg69"/>
    <w:basedOn w:val="10"/>
    <w:qFormat/>
    <w:uiPriority w:val="0"/>
  </w:style>
  <w:style w:type="character" w:customStyle="1" w:styleId="44">
    <w:name w:val="bg610"/>
    <w:basedOn w:val="10"/>
    <w:qFormat/>
    <w:uiPriority w:val="0"/>
  </w:style>
  <w:style w:type="character" w:customStyle="1" w:styleId="45">
    <w:name w:val="bg611"/>
    <w:basedOn w:val="10"/>
    <w:qFormat/>
    <w:uiPriority w:val="0"/>
  </w:style>
  <w:style w:type="character" w:customStyle="1" w:styleId="46">
    <w:name w:val="bg28"/>
    <w:basedOn w:val="10"/>
    <w:qFormat/>
    <w:uiPriority w:val="0"/>
  </w:style>
  <w:style w:type="character" w:customStyle="1" w:styleId="47">
    <w:name w:val="bg29"/>
    <w:basedOn w:val="10"/>
    <w:qFormat/>
    <w:uiPriority w:val="0"/>
  </w:style>
  <w:style w:type="character" w:customStyle="1" w:styleId="48">
    <w:name w:val="bg210"/>
    <w:basedOn w:val="10"/>
    <w:qFormat/>
    <w:uiPriority w:val="0"/>
  </w:style>
  <w:style w:type="character" w:customStyle="1" w:styleId="49">
    <w:name w:val="bg211"/>
    <w:basedOn w:val="10"/>
    <w:qFormat/>
    <w:uiPriority w:val="0"/>
  </w:style>
  <w:style w:type="character" w:customStyle="1" w:styleId="50">
    <w:name w:val="bg212"/>
    <w:basedOn w:val="10"/>
    <w:qFormat/>
    <w:uiPriority w:val="0"/>
  </w:style>
  <w:style w:type="character" w:customStyle="1" w:styleId="51">
    <w:name w:val="bg213"/>
    <w:basedOn w:val="10"/>
    <w:qFormat/>
    <w:uiPriority w:val="0"/>
  </w:style>
  <w:style w:type="character" w:customStyle="1" w:styleId="52">
    <w:name w:val="bg214"/>
    <w:basedOn w:val="10"/>
    <w:qFormat/>
    <w:uiPriority w:val="0"/>
  </w:style>
  <w:style w:type="character" w:customStyle="1" w:styleId="53">
    <w:name w:val="bg215"/>
    <w:basedOn w:val="10"/>
    <w:qFormat/>
    <w:uiPriority w:val="0"/>
  </w:style>
  <w:style w:type="character" w:customStyle="1" w:styleId="54">
    <w:name w:val="bg216"/>
    <w:basedOn w:val="10"/>
    <w:qFormat/>
    <w:uiPriority w:val="0"/>
  </w:style>
  <w:style w:type="character" w:customStyle="1" w:styleId="55">
    <w:name w:val="bg217"/>
    <w:basedOn w:val="10"/>
    <w:qFormat/>
    <w:uiPriority w:val="0"/>
  </w:style>
  <w:style w:type="character" w:customStyle="1" w:styleId="56">
    <w:name w:val="bg218"/>
    <w:basedOn w:val="10"/>
    <w:qFormat/>
    <w:uiPriority w:val="0"/>
  </w:style>
  <w:style w:type="character" w:customStyle="1" w:styleId="57">
    <w:name w:val="bg219"/>
    <w:basedOn w:val="10"/>
    <w:qFormat/>
    <w:uiPriority w:val="0"/>
  </w:style>
  <w:style w:type="character" w:customStyle="1" w:styleId="58">
    <w:name w:val="bg220"/>
    <w:basedOn w:val="10"/>
    <w:qFormat/>
    <w:uiPriority w:val="0"/>
  </w:style>
  <w:style w:type="character" w:customStyle="1" w:styleId="59">
    <w:name w:val="bg221"/>
    <w:basedOn w:val="10"/>
    <w:qFormat/>
    <w:uiPriority w:val="0"/>
  </w:style>
  <w:style w:type="character" w:customStyle="1" w:styleId="60">
    <w:name w:val="bg222"/>
    <w:basedOn w:val="10"/>
    <w:qFormat/>
    <w:uiPriority w:val="0"/>
  </w:style>
  <w:style w:type="character" w:customStyle="1" w:styleId="61">
    <w:name w:val="bg223"/>
    <w:basedOn w:val="10"/>
    <w:qFormat/>
    <w:uiPriority w:val="0"/>
  </w:style>
  <w:style w:type="character" w:customStyle="1" w:styleId="62">
    <w:name w:val="bg224"/>
    <w:basedOn w:val="10"/>
    <w:qFormat/>
    <w:uiPriority w:val="0"/>
  </w:style>
  <w:style w:type="character" w:customStyle="1" w:styleId="63">
    <w:name w:val="bg47"/>
    <w:basedOn w:val="10"/>
    <w:qFormat/>
    <w:uiPriority w:val="0"/>
  </w:style>
  <w:style w:type="character" w:customStyle="1" w:styleId="64">
    <w:name w:val="bg48"/>
    <w:basedOn w:val="10"/>
    <w:qFormat/>
    <w:uiPriority w:val="0"/>
  </w:style>
  <w:style w:type="character" w:customStyle="1" w:styleId="65">
    <w:name w:val="bg49"/>
    <w:basedOn w:val="10"/>
    <w:qFormat/>
    <w:uiPriority w:val="0"/>
  </w:style>
  <w:style w:type="character" w:customStyle="1" w:styleId="66">
    <w:name w:val="bg410"/>
    <w:basedOn w:val="10"/>
    <w:qFormat/>
    <w:uiPriority w:val="0"/>
  </w:style>
  <w:style w:type="character" w:customStyle="1" w:styleId="67">
    <w:name w:val="bg411"/>
    <w:basedOn w:val="10"/>
    <w:qFormat/>
    <w:uiPriority w:val="0"/>
  </w:style>
  <w:style w:type="character" w:customStyle="1" w:styleId="68">
    <w:name w:val="bg412"/>
    <w:basedOn w:val="10"/>
    <w:qFormat/>
    <w:uiPriority w:val="0"/>
  </w:style>
  <w:style w:type="character" w:customStyle="1" w:styleId="69">
    <w:name w:val="bg413"/>
    <w:basedOn w:val="10"/>
    <w:qFormat/>
    <w:uiPriority w:val="0"/>
  </w:style>
  <w:style w:type="character" w:customStyle="1" w:styleId="70">
    <w:name w:val="bg414"/>
    <w:basedOn w:val="10"/>
    <w:qFormat/>
    <w:uiPriority w:val="0"/>
  </w:style>
  <w:style w:type="character" w:customStyle="1" w:styleId="71">
    <w:name w:val="bg415"/>
    <w:basedOn w:val="10"/>
    <w:qFormat/>
    <w:uiPriority w:val="0"/>
  </w:style>
  <w:style w:type="character" w:customStyle="1" w:styleId="72">
    <w:name w:val="bg416"/>
    <w:basedOn w:val="10"/>
    <w:qFormat/>
    <w:uiPriority w:val="0"/>
  </w:style>
  <w:style w:type="character" w:customStyle="1" w:styleId="73">
    <w:name w:val="bg417"/>
    <w:basedOn w:val="10"/>
    <w:qFormat/>
    <w:uiPriority w:val="0"/>
  </w:style>
  <w:style w:type="character" w:customStyle="1" w:styleId="74">
    <w:name w:val="bg418"/>
    <w:basedOn w:val="10"/>
    <w:qFormat/>
    <w:uiPriority w:val="0"/>
  </w:style>
  <w:style w:type="character" w:customStyle="1" w:styleId="75">
    <w:name w:val="bg419"/>
    <w:basedOn w:val="10"/>
    <w:qFormat/>
    <w:uiPriority w:val="0"/>
  </w:style>
  <w:style w:type="character" w:customStyle="1" w:styleId="76">
    <w:name w:val="bg420"/>
    <w:basedOn w:val="10"/>
    <w:qFormat/>
    <w:uiPriority w:val="0"/>
  </w:style>
  <w:style w:type="character" w:customStyle="1" w:styleId="77">
    <w:name w:val="bg421"/>
    <w:basedOn w:val="10"/>
    <w:qFormat/>
    <w:uiPriority w:val="0"/>
  </w:style>
  <w:style w:type="character" w:customStyle="1" w:styleId="78">
    <w:name w:val="bg56"/>
    <w:basedOn w:val="10"/>
    <w:qFormat/>
    <w:uiPriority w:val="0"/>
  </w:style>
  <w:style w:type="character" w:customStyle="1" w:styleId="79">
    <w:name w:val="bg57"/>
    <w:basedOn w:val="10"/>
    <w:qFormat/>
    <w:uiPriority w:val="0"/>
  </w:style>
  <w:style w:type="character" w:customStyle="1" w:styleId="80">
    <w:name w:val="bg58"/>
    <w:basedOn w:val="10"/>
    <w:qFormat/>
    <w:uiPriority w:val="0"/>
  </w:style>
  <w:style w:type="character" w:customStyle="1" w:styleId="81">
    <w:name w:val="bg59"/>
    <w:basedOn w:val="10"/>
    <w:qFormat/>
    <w:uiPriority w:val="0"/>
  </w:style>
  <w:style w:type="character" w:customStyle="1" w:styleId="82">
    <w:name w:val="bg510"/>
    <w:basedOn w:val="10"/>
    <w:qFormat/>
    <w:uiPriority w:val="0"/>
  </w:style>
  <w:style w:type="character" w:customStyle="1" w:styleId="83">
    <w:name w:val="bg511"/>
    <w:basedOn w:val="10"/>
    <w:qFormat/>
    <w:uiPriority w:val="0"/>
  </w:style>
  <w:style w:type="character" w:customStyle="1" w:styleId="84">
    <w:name w:val="bg512"/>
    <w:basedOn w:val="10"/>
    <w:qFormat/>
    <w:uiPriority w:val="0"/>
  </w:style>
  <w:style w:type="character" w:customStyle="1" w:styleId="85">
    <w:name w:val="bg513"/>
    <w:basedOn w:val="10"/>
    <w:qFormat/>
    <w:uiPriority w:val="0"/>
  </w:style>
  <w:style w:type="character" w:customStyle="1" w:styleId="86">
    <w:name w:val="bg74"/>
    <w:basedOn w:val="10"/>
    <w:qFormat/>
    <w:uiPriority w:val="0"/>
  </w:style>
  <w:style w:type="character" w:customStyle="1" w:styleId="87">
    <w:name w:val="bg75"/>
    <w:basedOn w:val="10"/>
    <w:qFormat/>
    <w:uiPriority w:val="0"/>
  </w:style>
  <w:style w:type="character" w:customStyle="1" w:styleId="88">
    <w:name w:val="bg76"/>
    <w:basedOn w:val="10"/>
    <w:qFormat/>
    <w:uiPriority w:val="0"/>
  </w:style>
  <w:style w:type="character" w:customStyle="1" w:styleId="89">
    <w:name w:val="bg77"/>
    <w:basedOn w:val="10"/>
    <w:qFormat/>
    <w:uiPriority w:val="0"/>
  </w:style>
  <w:style w:type="character" w:customStyle="1" w:styleId="90">
    <w:name w:val="bg121"/>
    <w:basedOn w:val="10"/>
    <w:qFormat/>
    <w:uiPriority w:val="0"/>
  </w:style>
  <w:style w:type="character" w:customStyle="1" w:styleId="91">
    <w:name w:val="wei"/>
    <w:basedOn w:val="10"/>
    <w:qFormat/>
    <w:uiPriority w:val="0"/>
  </w:style>
  <w:style w:type="character" w:customStyle="1" w:styleId="92">
    <w:name w:val="bg101"/>
    <w:basedOn w:val="10"/>
    <w:qFormat/>
    <w:uiPriority w:val="0"/>
  </w:style>
  <w:style w:type="character" w:customStyle="1" w:styleId="93">
    <w:name w:val="bg102"/>
    <w:basedOn w:val="10"/>
    <w:qFormat/>
    <w:uiPriority w:val="0"/>
  </w:style>
  <w:style w:type="character" w:customStyle="1" w:styleId="94">
    <w:name w:val="bg103"/>
    <w:basedOn w:val="10"/>
    <w:qFormat/>
    <w:uiPriority w:val="0"/>
  </w:style>
  <w:style w:type="character" w:customStyle="1" w:styleId="95">
    <w:name w:val="bg82"/>
    <w:basedOn w:val="10"/>
    <w:qFormat/>
    <w:uiPriority w:val="0"/>
  </w:style>
  <w:style w:type="character" w:customStyle="1" w:styleId="96">
    <w:name w:val="bg83"/>
    <w:basedOn w:val="10"/>
    <w:qFormat/>
    <w:uiPriority w:val="0"/>
  </w:style>
  <w:style w:type="character" w:customStyle="1" w:styleId="97">
    <w:name w:val="bg84"/>
    <w:basedOn w:val="10"/>
    <w:qFormat/>
    <w:uiPriority w:val="0"/>
  </w:style>
  <w:style w:type="character" w:customStyle="1" w:styleId="98">
    <w:name w:val="bg85"/>
    <w:basedOn w:val="10"/>
    <w:qFormat/>
    <w:uiPriority w:val="0"/>
  </w:style>
  <w:style w:type="character" w:customStyle="1" w:styleId="99">
    <w:name w:val="bn-arrows-left"/>
    <w:basedOn w:val="10"/>
    <w:qFormat/>
    <w:uiPriority w:val="0"/>
  </w:style>
  <w:style w:type="character" w:customStyle="1" w:styleId="100">
    <w:name w:val="bn-arrows-right"/>
    <w:basedOn w:val="10"/>
    <w:qFormat/>
    <w:uiPriority w:val="0"/>
  </w:style>
  <w:style w:type="character" w:customStyle="1" w:styleId="101">
    <w:name w:val="swiper-pagination-bullet-active"/>
    <w:basedOn w:val="10"/>
    <w:qFormat/>
    <w:uiPriority w:val="0"/>
  </w:style>
  <w:style w:type="character" w:customStyle="1" w:styleId="102">
    <w:name w:val="bg131"/>
    <w:basedOn w:val="10"/>
    <w:qFormat/>
    <w:uiPriority w:val="0"/>
  </w:style>
  <w:style w:type="character" w:customStyle="1" w:styleId="103">
    <w:name w:val="bg141"/>
    <w:basedOn w:val="10"/>
    <w:qFormat/>
    <w:uiPriority w:val="0"/>
  </w:style>
  <w:style w:type="character" w:customStyle="1" w:styleId="104">
    <w:name w:val="bg151"/>
    <w:basedOn w:val="10"/>
    <w:qFormat/>
    <w:uiPriority w:val="0"/>
  </w:style>
  <w:style w:type="character" w:customStyle="1" w:styleId="105">
    <w:name w:val="bsharetext"/>
    <w:basedOn w:val="10"/>
    <w:qFormat/>
    <w:uiPriority w:val="0"/>
  </w:style>
  <w:style w:type="paragraph" w:customStyle="1" w:styleId="106">
    <w:name w:val="默认"/>
    <w:qFormat/>
    <w:uiPriority w:val="0"/>
    <w:pPr>
      <w:spacing w:before="160" w:line="288" w:lineRule="auto"/>
    </w:pPr>
    <w:rPr>
      <w:rFonts w:hint="eastAsia" w:ascii="Arial Unicode MS" w:hAnsi="Arial Unicode MS" w:eastAsia="Arial Unicode MS" w:cs="Arial Unicode MS"/>
      <w:color w:val="000000"/>
      <w:sz w:val="24"/>
      <w:szCs w:val="24"/>
      <w:lang w:val="zh-CN"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553</Words>
  <Characters>3158</Characters>
  <Lines>26</Lines>
  <Paragraphs>7</Paragraphs>
  <TotalTime>1</TotalTime>
  <ScaleCrop>false</ScaleCrop>
  <LinksUpToDate>false</LinksUpToDate>
  <CharactersWithSpaces>3704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2021-06-03T07:32:00Z</dcterms:created>
  <dc:creator>筱璐</dc:creator>
  <cp:lastModifiedBy>En</cp:lastModifiedBy>
  <cp:lastPrinted>2023-12-21T09:46:00Z</cp:lastPrinted>
  <dcterms:modified xsi:type="dcterms:W3CDTF">2024-04-24T15:57:57Z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ACB127966E7247FA9AA4C6E6DCFCF47B_13</vt:lpwstr>
  </property>
</Properties>
</file>