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附 件</w:t>
      </w: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 w:hAnsi="仿宋" w:eastAsia="仿宋" w:cs="仿宋"/>
          <w:b w:val="0"/>
          <w:bCs w:val="0"/>
          <w:color w:val="auto"/>
          <w:sz w:val="32"/>
          <w:szCs w:val="32"/>
          <w:u w:val="none"/>
          <w:lang w:val="en-US" w:eastAsia="zh-CN"/>
        </w:rPr>
      </w:pPr>
      <w:r>
        <w:rPr>
          <w:rFonts w:hint="eastAsia" w:ascii="方正小标宋_GBK" w:hAnsi="方正小标宋_GBK" w:eastAsia="方正小标宋_GBK" w:cs="方正小标宋_GBK"/>
          <w:b w:val="0"/>
          <w:bCs w:val="0"/>
          <w:color w:val="auto"/>
          <w:sz w:val="44"/>
          <w:szCs w:val="44"/>
          <w:u w:val="none"/>
          <w:lang w:val="en-US" w:eastAsia="zh-CN"/>
        </w:rPr>
        <w:t>曲沃县公交企业绩效考核表</w:t>
      </w:r>
    </w:p>
    <w:tbl>
      <w:tblPr>
        <w:tblStyle w:val="5"/>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7"/>
        <w:gridCol w:w="1148"/>
        <w:gridCol w:w="1320"/>
        <w:gridCol w:w="1012"/>
        <w:gridCol w:w="3008"/>
        <w:gridCol w:w="2775"/>
        <w:gridCol w:w="810"/>
        <w:gridCol w:w="930"/>
        <w:gridCol w:w="735"/>
        <w:gridCol w:w="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3" w:hRule="atLeast"/>
        </w:trPr>
        <w:tc>
          <w:tcPr>
            <w:tcW w:w="457"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序</w:t>
            </w:r>
          </w:p>
          <w:p>
            <w:pPr>
              <w:keepNext w:val="0"/>
              <w:keepLines w:val="0"/>
              <w:pageBreakBefore w:val="0"/>
              <w:widowControl/>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号</w:t>
            </w:r>
          </w:p>
        </w:tc>
        <w:tc>
          <w:tcPr>
            <w:tcW w:w="114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指标类别</w:t>
            </w: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指标名称</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指标单位</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指标解释及计算方法</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评分标准</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分值</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考核</w:t>
            </w:r>
          </w:p>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目标值</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扣分事项</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b w:val="0"/>
                <w:bCs w:val="0"/>
                <w:color w:val="auto"/>
                <w:sz w:val="18"/>
                <w:szCs w:val="18"/>
                <w:vertAlign w:val="baseline"/>
                <w:lang w:val="en-US" w:eastAsia="zh-CN"/>
              </w:rPr>
            </w:pPr>
            <w:r>
              <w:rPr>
                <w:rFonts w:hint="eastAsia" w:ascii="黑体" w:hAnsi="黑体" w:eastAsia="黑体" w:cs="黑体"/>
                <w:b w:val="0"/>
                <w:bCs w:val="0"/>
                <w:color w:val="auto"/>
                <w:sz w:val="18"/>
                <w:szCs w:val="18"/>
                <w:vertAlign w:val="baseline"/>
                <w:lang w:val="en-US" w:eastAsia="zh-CN"/>
              </w:rPr>
              <w:t>考核得分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457"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w:t>
            </w:r>
          </w:p>
        </w:tc>
        <w:tc>
          <w:tcPr>
            <w:tcW w:w="1148" w:type="dxa"/>
            <w:vMerge w:val="restar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设施与服务</w:t>
            </w:r>
          </w:p>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（35分）</w:t>
            </w: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车容车貌</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处</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卫生整洁</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平时检查记录，有一处不达标的扣0.1分，扣完为止。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0.1/处</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457"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2</w:t>
            </w:r>
          </w:p>
        </w:tc>
        <w:tc>
          <w:tcPr>
            <w:tcW w:w="1148"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设施设备</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处</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语音报站器、视频监控器、卫星定位车载终端、电子显示屏等设施完好有效、一卡通设备</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平时检查记录，有一处损坏或无效扣0.1分，扣完为止。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r>
              <w:rPr>
                <w:rFonts w:hint="eastAsia" w:ascii="仿宋_GB2312" w:hAnsi="仿宋_GB2312" w:eastAsia="仿宋_GB2312" w:cs="仿宋_GB2312"/>
                <w:b w:val="0"/>
                <w:bCs w:val="0"/>
                <w:color w:val="auto"/>
                <w:sz w:val="18"/>
                <w:szCs w:val="18"/>
                <w:vertAlign w:val="baseline"/>
                <w:lang w:val="en-US" w:eastAsia="zh-CN"/>
              </w:rPr>
              <w:t>0.1/处</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trPr>
        <w:tc>
          <w:tcPr>
            <w:tcW w:w="457"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3</w:t>
            </w:r>
          </w:p>
        </w:tc>
        <w:tc>
          <w:tcPr>
            <w:tcW w:w="1148"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乘客满意度</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随机抽取100名乘客进行社会满意度测评</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按实际测评比例得分，满意度100%不扣分，少一个百分点扣0.1分，满意度低于50%，不得分。</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58" w:hRule="atLeast"/>
        </w:trPr>
        <w:tc>
          <w:tcPr>
            <w:tcW w:w="457"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4</w:t>
            </w:r>
          </w:p>
        </w:tc>
        <w:tc>
          <w:tcPr>
            <w:tcW w:w="1148"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驾驶员服务</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次</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持证上岗，着装统一，仪表整洁，文明用语，耐心解答询问，主动照顾特殊人群，无开车打电话、吸烟、闲聊等现象，按规定开启空调、暖气，起步、停车平稳</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平时检查记录及相关投诉核实情况，每次扣0.5分，扣完为止。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10</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rPr>
            </w:pPr>
            <w:r>
              <w:rPr>
                <w:rFonts w:hint="eastAsia" w:ascii="仿宋_GB2312" w:hAnsi="仿宋_GB2312" w:eastAsia="仿宋_GB2312" w:cs="仿宋_GB2312"/>
                <w:b w:val="0"/>
                <w:bCs w:val="0"/>
                <w:color w:val="auto"/>
                <w:sz w:val="18"/>
                <w:szCs w:val="18"/>
                <w:vertAlign w:val="baseline"/>
                <w:lang w:val="en-US" w:eastAsia="zh-CN"/>
              </w:rPr>
              <w:t>0.5/次</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457"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w:t>
            </w:r>
          </w:p>
        </w:tc>
        <w:tc>
          <w:tcPr>
            <w:tcW w:w="1148"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有责投诉</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宗</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交通主管部门通过12328、网络舆情、市长热线等渠道获取的有责投诉数量</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有投诉经调查核实，有一宗扣0.1分，扣完为止。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10</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rPr>
            </w:pPr>
            <w:r>
              <w:rPr>
                <w:rFonts w:hint="eastAsia" w:ascii="仿宋_GB2312" w:hAnsi="仿宋_GB2312" w:eastAsia="仿宋_GB2312" w:cs="仿宋_GB2312"/>
                <w:b w:val="0"/>
                <w:bCs w:val="0"/>
                <w:color w:val="auto"/>
                <w:sz w:val="18"/>
                <w:szCs w:val="18"/>
                <w:vertAlign w:val="baseline"/>
                <w:lang w:val="en-US" w:eastAsia="zh-CN"/>
              </w:rPr>
              <w:t>0.1/宗</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6</w:t>
            </w:r>
          </w:p>
        </w:tc>
        <w:tc>
          <w:tcPr>
            <w:tcW w:w="1155" w:type="dxa"/>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安全与稳定（33分）</w:t>
            </w: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交通责任事故</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宗</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按发生主要责任事故数量。发生亡人事故的，分值一次性扣完</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交通主要责任事故发生一宗扣1分，扣完为止。造成人员死亡的不得分。</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18</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1/宗</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bl>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sectPr>
          <w:footerReference r:id="rId3" w:type="default"/>
          <w:pgSz w:w="16820" w:h="11900" w:orient="landscape"/>
          <w:pgMar w:top="1440" w:right="1800" w:bottom="1440" w:left="1800" w:header="720" w:footer="720" w:gutter="0"/>
          <w:pgNumType w:fmt="decimal"/>
          <w:cols w:space="720" w:num="1"/>
        </w:sectPr>
      </w:pPr>
    </w:p>
    <w:tbl>
      <w:tblPr>
        <w:tblStyle w:val="5"/>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155"/>
        <w:gridCol w:w="1320"/>
        <w:gridCol w:w="1012"/>
        <w:gridCol w:w="3008"/>
        <w:gridCol w:w="2775"/>
        <w:gridCol w:w="810"/>
        <w:gridCol w:w="930"/>
        <w:gridCol w:w="735"/>
        <w:gridCol w:w="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7</w:t>
            </w:r>
          </w:p>
        </w:tc>
        <w:tc>
          <w:tcPr>
            <w:tcW w:w="1155" w:type="dxa"/>
            <w:vMerge w:val="restar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线路运行</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次</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按照规定线路运行</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平时检查记录，有一次未按规定线路运行扣0.5分，扣完为止。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r>
              <w:rPr>
                <w:rFonts w:hint="eastAsia" w:ascii="仿宋_GB2312" w:hAnsi="仿宋_GB2312" w:eastAsia="仿宋_GB2312" w:cs="仿宋_GB2312"/>
                <w:b w:val="0"/>
                <w:bCs w:val="0"/>
                <w:color w:val="auto"/>
                <w:sz w:val="18"/>
                <w:szCs w:val="18"/>
                <w:vertAlign w:val="baseline"/>
                <w:lang w:val="en-US" w:eastAsia="zh-CN"/>
              </w:rPr>
              <w:t>0.5/次</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8</w:t>
            </w:r>
          </w:p>
        </w:tc>
        <w:tc>
          <w:tcPr>
            <w:tcW w:w="11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违章行车</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宗</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闯红灯、违停、违规超车、超速等违章数据。</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有一宗违章扣0.2分，扣完为止。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0.2/宗</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9</w:t>
            </w:r>
          </w:p>
        </w:tc>
        <w:tc>
          <w:tcPr>
            <w:tcW w:w="11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企业重大不稳定事件数</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宗</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出现公司职工群体性上访</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未发生视为达标，发生一宗不得分</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5/宗</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10</w:t>
            </w:r>
          </w:p>
        </w:tc>
        <w:tc>
          <w:tcPr>
            <w:tcW w:w="1155" w:type="dxa"/>
            <w:vMerge w:val="restar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运营效率（12分）</w:t>
            </w: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线路发车准点率</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次</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检查发车准点率</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平时检查记录及相关投诉核实情况，有一次无故不准点的扣0.1分，扣完为止。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10</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0.1/次</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11</w:t>
            </w:r>
          </w:p>
        </w:tc>
        <w:tc>
          <w:tcPr>
            <w:tcW w:w="11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驾驶员人车比</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人/车</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驾驶员人数与运营车辆的比例是评价公交企业驾驶员工作强度的指标，人车比要达到1.5:1</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达标不加分，不达标不得分。</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1/次</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12</w:t>
            </w:r>
          </w:p>
        </w:tc>
        <w:tc>
          <w:tcPr>
            <w:tcW w:w="1155" w:type="dxa"/>
            <w:vMerge w:val="continue"/>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工勤管理人员</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人/车</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除驾驶员外其他管理人员与运营车辆的比例是评价公交企业管理水平效率的指标，人车比不超过  0.4:1</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达标不加分，不达标不得分。</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1/次</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13</w:t>
            </w:r>
          </w:p>
        </w:tc>
        <w:tc>
          <w:tcPr>
            <w:tcW w:w="115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行业处罚（10分）</w:t>
            </w: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违规处罚现象</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宗</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违反法律法规、规章被行政执法部门进行行政处罚。</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有违反法律法规、规章被行政执法部门实施处罚的一宗，扣1分，扣完为止。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10</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1/宗</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45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14</w:t>
            </w:r>
          </w:p>
        </w:tc>
        <w:tc>
          <w:tcPr>
            <w:tcW w:w="115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任务落实（10分）</w:t>
            </w:r>
          </w:p>
        </w:tc>
        <w:tc>
          <w:tcPr>
            <w:tcW w:w="132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统计信息及行业工作落实</w:t>
            </w:r>
          </w:p>
        </w:tc>
        <w:tc>
          <w:tcPr>
            <w:tcW w:w="1012"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项</w:t>
            </w:r>
          </w:p>
        </w:tc>
        <w:tc>
          <w:tcPr>
            <w:tcW w:w="3008"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对政府及行业主管部门部署工作的完成情况。</w:t>
            </w:r>
          </w:p>
        </w:tc>
        <w:tc>
          <w:tcPr>
            <w:tcW w:w="277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对政府及行业主管部门日常工作部署落实不到位，迟报、漏报、错报、拒不执行的每项扣0.1分，扣完为止。</w:t>
            </w:r>
          </w:p>
        </w:tc>
        <w:tc>
          <w:tcPr>
            <w:tcW w:w="81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eastAsia="zh-CN"/>
              </w:rPr>
            </w:pPr>
            <w:r>
              <w:rPr>
                <w:rFonts w:hint="eastAsia" w:ascii="仿宋_GB2312" w:hAnsi="仿宋_GB2312" w:eastAsia="仿宋_GB2312" w:cs="仿宋_GB2312"/>
                <w:b w:val="0"/>
                <w:bCs w:val="0"/>
                <w:color w:val="auto"/>
                <w:sz w:val="18"/>
                <w:szCs w:val="18"/>
                <w:vertAlign w:val="baseline"/>
                <w:lang w:val="en-US" w:eastAsia="zh-CN"/>
              </w:rPr>
              <w:t>10</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lang w:val="en-US"/>
              </w:rPr>
            </w:pPr>
            <w:r>
              <w:rPr>
                <w:rFonts w:hint="eastAsia" w:ascii="仿宋_GB2312" w:hAnsi="仿宋_GB2312" w:eastAsia="仿宋_GB2312" w:cs="仿宋_GB2312"/>
                <w:b w:val="0"/>
                <w:bCs w:val="0"/>
                <w:color w:val="auto"/>
                <w:sz w:val="18"/>
                <w:szCs w:val="18"/>
                <w:vertAlign w:val="baseline"/>
                <w:lang w:val="en-US" w:eastAsia="zh-CN"/>
              </w:rPr>
              <w:t>0.1/项</w:t>
            </w:r>
          </w:p>
        </w:tc>
        <w:tc>
          <w:tcPr>
            <w:tcW w:w="735"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仿宋_GB2312" w:hAnsi="仿宋_GB2312" w:eastAsia="仿宋_GB2312" w:cs="仿宋_GB2312"/>
                <w:b w:val="0"/>
                <w:bCs w:val="0"/>
                <w:color w:val="auto"/>
                <w:sz w:val="18"/>
                <w:szCs w:val="18"/>
                <w:vertAlign w:val="baseline"/>
              </w:rPr>
            </w:pPr>
          </w:p>
        </w:tc>
      </w:tr>
    </w:tbl>
    <w:p>
      <w:pPr>
        <w:keepNext w:val="0"/>
        <w:keepLines w:val="0"/>
        <w:pageBreakBefore w:val="0"/>
        <w:widowControl/>
        <w:kinsoku/>
        <w:wordWrap/>
        <w:overflowPunct/>
        <w:topLinePunct w:val="0"/>
        <w:autoSpaceDE/>
        <w:autoSpaceDN/>
        <w:bidi w:val="0"/>
        <w:adjustRightInd/>
        <w:snapToGrid/>
        <w:spacing w:after="0" w:line="50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sectPr>
          <w:footerReference r:id="rId4" w:type="default"/>
          <w:pgSz w:w="16820" w:h="11900" w:orient="landscape"/>
          <w:pgMar w:top="1440" w:right="1800" w:bottom="1440" w:left="1800" w:header="720" w:footer="720" w:gutter="0"/>
          <w:pgNumType w:fmt="decimal"/>
          <w:cols w:space="720" w:num="1"/>
        </w:sectPr>
      </w:pPr>
    </w:p>
    <w:p>
      <w:pPr>
        <w:keepNext w:val="0"/>
        <w:keepLines w:val="0"/>
        <w:pageBreakBefore w:val="0"/>
        <w:widowControl/>
        <w:kinsoku/>
        <w:wordWrap/>
        <w:overflowPunct/>
        <w:topLinePunct w:val="0"/>
        <w:autoSpaceDE/>
        <w:autoSpaceDN/>
        <w:bidi w:val="0"/>
        <w:adjustRightInd/>
        <w:snapToGrid/>
        <w:spacing w:after="0" w:line="50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指标说明：</w:t>
      </w:r>
    </w:p>
    <w:p>
      <w:pPr>
        <w:keepNext w:val="0"/>
        <w:keepLines w:val="0"/>
        <w:pageBreakBefore w:val="0"/>
        <w:widowControl/>
        <w:numPr>
          <w:ilvl w:val="0"/>
          <w:numId w:val="0"/>
        </w:numPr>
        <w:kinsoku/>
        <w:wordWrap/>
        <w:overflowPunct/>
        <w:topLinePunct w:val="0"/>
        <w:autoSpaceDE/>
        <w:autoSpaceDN/>
        <w:bidi w:val="0"/>
        <w:adjustRightInd/>
        <w:snapToGrid/>
        <w:spacing w:after="0" w:line="50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（一）该考核采用百分制，总分为100分；</w:t>
      </w:r>
    </w:p>
    <w:p>
      <w:pPr>
        <w:keepNext w:val="0"/>
        <w:keepLines w:val="0"/>
        <w:pageBreakBefore w:val="0"/>
        <w:widowControl/>
        <w:numPr>
          <w:ilvl w:val="0"/>
          <w:numId w:val="0"/>
        </w:numPr>
        <w:kinsoku/>
        <w:wordWrap/>
        <w:overflowPunct/>
        <w:topLinePunct w:val="0"/>
        <w:autoSpaceDE/>
        <w:autoSpaceDN/>
        <w:bidi w:val="0"/>
        <w:adjustRightInd/>
        <w:snapToGrid/>
        <w:spacing w:after="0" w:line="50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（二）各项指标的统计范围均为考核期内城市运营公交企业；</w:t>
      </w:r>
    </w:p>
    <w:p>
      <w:pPr>
        <w:keepNext w:val="0"/>
        <w:keepLines w:val="0"/>
        <w:pageBreakBefore w:val="0"/>
        <w:widowControl/>
        <w:numPr>
          <w:ilvl w:val="0"/>
          <w:numId w:val="0"/>
        </w:numPr>
        <w:kinsoku/>
        <w:wordWrap/>
        <w:overflowPunct/>
        <w:topLinePunct w:val="0"/>
        <w:autoSpaceDE/>
        <w:autoSpaceDN/>
        <w:bidi w:val="0"/>
        <w:adjustRightInd/>
        <w:snapToGrid/>
        <w:spacing w:after="0" w:line="500" w:lineRule="exact"/>
        <w:ind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（三）根据年度考核得分，将公交企业运行绩效划分为优秀、合格、不合格三个等次。标准如下：优秀（考核得分≥85分）；合格（60分≤考核得分＜85分）；不合格（考核得分＜60分）。</w:t>
      </w:r>
    </w:p>
    <w:p>
      <w:pPr>
        <w:rPr>
          <w:color w:val="auto"/>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00"/>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FFB571"/>
    <w:rsid w:val="73FFB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2024-04-30T15:31:00Z</dcterms:created>
  <dc:creator>baixin</dc:creator>
  <cp:lastModifiedBy>baixin</cp:lastModifiedBy>
  <dcterms:modified xsi:type="dcterms:W3CDTF">2024-04-30T15:31:29Z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