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_GBK" w:hAnsi="方正小标宋_GBK" w:eastAsia="方正小标宋_GBK" w:cs="方正小标宋_GBK"/>
          <w:i w:val="0"/>
          <w:iCs w:val="0"/>
          <w:caps w:val="0"/>
          <w:color w:val="000000" w:themeColor="text1"/>
          <w:spacing w:val="0"/>
          <w:sz w:val="44"/>
          <w:szCs w:val="44"/>
          <w:shd w:val="clear" w:color="auto" w:fill="auto"/>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4"/>
          <w:szCs w:val="44"/>
          <w:shd w:val="clear" w:color="auto" w:fill="auto"/>
          <w:lang w:val="en-US" w:eastAsia="zh-CN"/>
          <w14:textFill>
            <w14:solidFill>
              <w14:schemeClr w14:val="tx1"/>
            </w14:solidFill>
          </w14:textFill>
        </w:rPr>
        <w:t>曲沃县行政审批服务管理局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_GBK" w:hAnsi="方正小标宋_GBK" w:eastAsia="方正小标宋_GBK" w:cs="方正小标宋_GBK"/>
          <w:i w:val="0"/>
          <w:iCs w:val="0"/>
          <w:caps w:val="0"/>
          <w:color w:val="000000" w:themeColor="text1"/>
          <w:spacing w:val="0"/>
          <w:sz w:val="44"/>
          <w:szCs w:val="44"/>
          <w:shd w:val="clear" w:color="auto" w:fill="auto"/>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4"/>
          <w:szCs w:val="44"/>
          <w:shd w:val="clear" w:color="auto" w:fill="auto"/>
          <w:lang w:val="en-US" w:eastAsia="zh-CN"/>
          <w14:textFill>
            <w14:solidFill>
              <w14:schemeClr w14:val="tx1"/>
            </w14:solidFill>
          </w14:textFill>
        </w:rPr>
        <w:t>2022年度法治政府建设情况报告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shd w:val="clear" w:color="auto" w:fill="auto"/>
          <w:lang w:val="en-US" w:eastAsia="zh-CN"/>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auto"/>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auto"/>
          <w14:textFill>
            <w14:solidFill>
              <w14:schemeClr w14:val="tx1"/>
            </w14:solidFill>
          </w14:textFill>
        </w:rPr>
        <w:t>我局法治政府建设工作坚持以习近平新时代中国特色社会主义思想为指导</w:t>
      </w:r>
      <w:r>
        <w:rPr>
          <w:rFonts w:hint="eastAsia" w:ascii="仿宋" w:hAnsi="仿宋" w:eastAsia="仿宋" w:cs="仿宋"/>
          <w:i w:val="0"/>
          <w:iCs w:val="0"/>
          <w:caps w:val="0"/>
          <w:color w:val="000000" w:themeColor="text1"/>
          <w:spacing w:val="0"/>
          <w:sz w:val="32"/>
          <w:szCs w:val="32"/>
          <w:shd w:val="clear" w:color="auto" w:fill="auto"/>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32"/>
          <w:shd w:val="clear" w:color="auto" w:fill="auto"/>
          <w14:textFill>
            <w14:solidFill>
              <w14:schemeClr w14:val="tx1"/>
            </w14:solidFill>
          </w14:textFill>
        </w:rPr>
        <w:t>贯彻落实国务院、省、市</w:t>
      </w:r>
      <w:r>
        <w:rPr>
          <w:rFonts w:hint="eastAsia" w:ascii="仿宋" w:hAnsi="仿宋" w:eastAsia="仿宋" w:cs="仿宋"/>
          <w:i w:val="0"/>
          <w:iCs w:val="0"/>
          <w:caps w:val="0"/>
          <w:color w:val="000000" w:themeColor="text1"/>
          <w:spacing w:val="0"/>
          <w:sz w:val="32"/>
          <w:szCs w:val="32"/>
          <w:shd w:val="clear" w:color="auto" w:fill="auto"/>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32"/>
          <w:shd w:val="clear" w:color="auto" w:fill="auto"/>
          <w:lang w:val="en-US" w:eastAsia="zh-CN"/>
          <w14:textFill>
            <w14:solidFill>
              <w14:schemeClr w14:val="tx1"/>
            </w14:solidFill>
          </w14:textFill>
        </w:rPr>
        <w:t>县</w:t>
      </w:r>
      <w:r>
        <w:rPr>
          <w:rFonts w:hint="eastAsia" w:ascii="仿宋" w:hAnsi="仿宋" w:eastAsia="仿宋" w:cs="仿宋"/>
          <w:i w:val="0"/>
          <w:iCs w:val="0"/>
          <w:caps w:val="0"/>
          <w:color w:val="000000" w:themeColor="text1"/>
          <w:spacing w:val="0"/>
          <w:sz w:val="32"/>
          <w:szCs w:val="32"/>
          <w:shd w:val="clear" w:color="auto" w:fill="auto"/>
          <w14:textFill>
            <w14:solidFill>
              <w14:schemeClr w14:val="tx1"/>
            </w14:solidFill>
          </w14:textFill>
        </w:rPr>
        <w:t>法治政府建设的决策部署，紧紧围绕“简政放权、放管结合、优化服务”主基调，坚持全面提升各项工作的法治化水平，推进政府职能转变，提高依法行政的能力和依法决策水平。现将我局202</w:t>
      </w:r>
      <w:r>
        <w:rPr>
          <w:rFonts w:hint="eastAsia" w:ascii="仿宋" w:hAnsi="仿宋" w:eastAsia="仿宋" w:cs="仿宋"/>
          <w:i w:val="0"/>
          <w:iCs w:val="0"/>
          <w:caps w:val="0"/>
          <w:color w:val="000000" w:themeColor="text1"/>
          <w:spacing w:val="0"/>
          <w:sz w:val="32"/>
          <w:szCs w:val="32"/>
          <w:shd w:val="clear" w:color="auto" w:fill="auto"/>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32"/>
          <w:szCs w:val="32"/>
          <w:shd w:val="clear" w:color="auto" w:fill="auto"/>
          <w14:textFill>
            <w14:solidFill>
              <w14:schemeClr w14:val="tx1"/>
            </w14:solidFill>
          </w14:textFill>
        </w:rPr>
        <w:t>年度法治政府建设情况报告如下：</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一、主要举措和成效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楷体" w:hAnsi="楷体" w:eastAsia="楷体" w:cs="楷体"/>
          <w:b/>
          <w:bCs/>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（一）完善领导机制强建设</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将法治政府建设作为事关全局的重大工作，成立了以局长为组长，各股室负责人为成员的领导小组。局党组书记、局长严格履行法治建设第一责任人职责，定期召开局党组会，研究部署普法教育和依法治理工作，对法治建设重要工作亲自部署、重大问题亲自过问、重点环节亲自协调、重要任务亲自督办，及时解决工作中遇到的困难和问题，形成“一把手”亲自抓，分管领导具体抓，统筹协调，上下联动，齐抓共管，全员参与的依法治理工作格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二）突出重点工作强部署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对本单位法治建设的总体目标、主要任务及工作措施提出明确要求。局主要领导在各种会议上多次对本单位法治政府建设工作进行部署，将依法行政作为重点工作来抓。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三</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工作亮点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1.</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坚持带头学法用法普法，做法治思想的“传播者”。</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一是建立带头学法机制。出台领导干部学法工作制度，采取集体学习与自学相结合、邀请专家辅导和研讨交流相结合深入学习。突出学习重点，深入开展习近平法治思想、《宪法》、《民法典》、《行政许可法》、《优化营商环境条例》等学习，不断提高全局干部法治观念、法治素养，全面提高依法决策、依法行政、依法管理的水平。二是建立学习培训机制。通过周工作例会、学法用法学习培训等形式，深学细悟，入脑入心，促进学法系统化、经常化。三是建立普法宣传机制。通过在政务服务大厅显示屏滚动播放、制作发放宣传手册及“宪法周”等活动，多形式开展宣传，营造全社会知法守法用法的浓厚氛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聚焦抓好责任落实，做法治建设的“推进者”。</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一是强化组织领导。坚持一把手负责制，健全完善了法治建设工作领导小组，形成层层抓落实工作格局。主要领导坚持重大问题亲自过问、重点环节亲自协调、重大任务亲自督导，推动各项任务落实落细落地。二是抓好工作安排部署。将法治建设和法治政府</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工作</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与行政审批服务工作同部署、同安排、同推进、同督促，明确牵头领导、责任科室和责任人，建立横向到边纵向到底的责任链条体系。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3.</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完善阳光审批体系，做法治规范的“担当者”。</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一是再造审批流程。按照原行业主管部门相关法律法规，对承接的行政许可事项各要素“全链条”优化再造，编制标准化审批业务手册，以标准化促行政审批规范化。二是严格依法依规审批。对承接的行政许可事项，严格按照相关审批标准做好审批服务工作，确保审批依法依规。三是强化审管无缝衔接。按照“审管分离、审管联动”原则，及时将审批结果推送监管部门，实现审管之间互动经常、信息共享。</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4.</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强化主责主业定位，做依法履职的“践行者”</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both"/>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（1）进一步深化“证照分离”改革</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结合我县实际，梳理形成了《曲沃县“证照分离”改革事项清单（2022年版）》，逐项列明了事项名称、设定依据、审批层级和部门、改革方式、具体改革举措、加强事中事后监管措施等内容，全县涉企许可审批事项72项，按照四种方式分类推进改革，其中：直接取消审批10项，审批改为备案6项，实行告知承诺27项，优化审批服务29项，做到不缺项不漏项，确保每项改革任务落地落细，取得实效。按照改革要求，对所有事项清单以及改革规范性文件实行动态管理机制，及时对本部门制定的规范性文件进行调整。</w:t>
      </w:r>
      <w:r>
        <w:rPr>
          <w:rFonts w:hint="eastAsia" w:ascii="仿宋" w:hAnsi="仿宋" w:eastAsia="仿宋" w:cs="仿宋"/>
          <w:i w:val="0"/>
          <w:iCs w:val="0"/>
          <w:caps w:val="0"/>
          <w:color w:val="000000" w:themeColor="text1"/>
          <w:spacing w:val="0"/>
          <w:kern w:val="0"/>
          <w:sz w:val="32"/>
          <w:szCs w:val="32"/>
          <w:shd w:val="clear" w:color="auto" w:fill="FFFFFF"/>
          <w:lang w:val="en-US" w:eastAsia="zh-Hans" w:bidi="ar"/>
          <w14:textFill>
            <w14:solidFill>
              <w14:schemeClr w14:val="tx1"/>
            </w14:solidFill>
          </w14:textFill>
        </w:rPr>
        <w:t>同时</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利用LED屏、政务服务网、宣传手册等形式，加强对“证照分离”改革的宣传解读工作。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both"/>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（2）推进“一枚印章管审批”改革</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我局持续深化“一枚印章管审批”改革，全面做好“一枚印章管审批”改革后半篇文章，结合国家、省、市关于取消和下放的审批事项要求及工作实际，将划转至我局的206项审批事项压减为187项，通过优化企业开办流程、落实工程建设项目审批制度改革、推行网上办理等措施进一步压缩审批办理时限，大力开展电子印章和电子签章的应用推广。推行“独任制审批”制度，将行政审批受理、审查、核准等环节合并，变“多人审核、层层流转”为“审核合一、一人通办”，推动审批再提速、服务再升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both"/>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（3）深化“一件事”集成服务</w:t>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为进一步提升政务服务能力，以企业群众一次办成“一件事”为目标，按照“一次告知、一表申报、一套材料、一窗受理、一网通办、统一出件”的要求，聚焦与人民群众生产生活联系最紧密、人民群众反映最强烈的领域和问题，大幅减少办事环节、申请材料、办理时间和跑动次数，更好满足企业和群众办事需求。一是高度重视，健全工作机制。自“一件事一次办”改革以来，我局高度重视，不断健全工作机制，细化分解任务，责任落实到人，切实把“一件事一次办”做深做细、见到成效。二是优化再造办事流程，统一规范服务标准。按照“一次办好”要求，全面推进业务整合和流程再造，对照山西省“一件事一次办”事项参考目录，截止2022年底，已梳理编制形成我县40项“一件事一次办”高频事项办理规程，逐项编制标准化办事指南，并实行了动态管理机制，推动更多政务服务事项实现“一件事一次办”，进一步提高企业和群众办事的体验感和获得感。四是设置“一件事一次办”专窗，实现线上线下互联互通。在一体化在线政务服务台开设“一件事一次办”受理功能模块，提供线上办理总入口。在政务服务大厅设置“一件事一次办”综合窗口，全面推行“前台综合受理、后台分类审批、统一窗口出件”和免费帮办代办服务，助力提升办事便利度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（4）推广“一业一证”改革</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为持续深化“一件事一次办”改革，我局与政务服务标准化建设相结合，在农业、食品等高频事项领域试行“一业一证”改革，通过试行“一次告知、一套材料、一窗受理、一同核查、一网联动、一证准营”，实现“一证覆盖”。同时参照临汾市行政审批局《临汾市推行行业综合许可改革实施方案（试行）》有关内容，我局进一步细化工作措施，规范办事流程，制定行业综合许可办事指南。同时，配备专门的工作队伍，积极与一业一证改革技术部门沟通协调，不断推进系统数据共享建设。利用电子屏、新媒体等媒介，积极做好“一业一证”改革政策宣传解读与引导工作，提高企业群众的认知度和参与率，不断把改革推向纵深，激发出市场主体活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（5）推进工程建设项目审批制度改革</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我局推进工程建设项目改革，通过取消不合理审批事项、合并办理审批事项、实行容缺承诺办理等措施，再造了审批流程，优化了服务指南，将审批时限提速到了50%以上。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（6）打造“7×24小时”政务服务超市</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经过精心的摸底调研和考察学习，结合我县实际，我局在县政务服务大厅东侧设立了24小时自助服务区，配设了自助证照打印机一台、税务信息查询机一台，电力业务办理服务机已进入报装阶段待电力专网接通后即可投入使用，同时对自助区域进行了装修施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（7）推进政务服务事项“就近办”</w:t>
      </w:r>
    </w:p>
    <w:p>
      <w:pPr>
        <w:pStyle w:val="4"/>
        <w:keepNext w:val="0"/>
        <w:keepLines w:val="0"/>
        <w:pageBreakBefore w:val="0"/>
        <w:widowControl w:val="0"/>
        <w:kinsoku/>
        <w:wordWrap/>
        <w:overflowPunct/>
        <w:topLinePunct w:val="0"/>
        <w:autoSpaceDE/>
        <w:autoSpaceDN/>
        <w:bidi w:val="0"/>
        <w:adjustRightInd w:val="0"/>
        <w:snapToGrid w:val="0"/>
        <w:spacing w:before="0" w:after="0" w:line="560" w:lineRule="exact"/>
        <w:ind w:leftChars="0" w:firstLine="640" w:firstLineChars="200"/>
        <w:jc w:val="left"/>
        <w:textAlignment w:val="auto"/>
        <w:rPr>
          <w:rFonts w:hint="eastAsia" w:ascii="仿宋" w:hAnsi="仿宋" w:eastAsia="仿宋" w:cs="仿宋"/>
          <w:b w:val="0"/>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b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我局制定了《曲沃县关于进一步加强乡村两级政务服务规范化便民化建设的实施方案》，进一步加强了乡镇便民服务中心建设，规范了基础设施和人员配备，将115项与群众生产生活密切相关的农林牧、民政、计生、社保、医保、养老等政务服务事项，以直接赋权、委托下放、服务前移、帮办代办等方式，统一纳入到乡镇综合便民服务中心办理。为进一步提升便民服务能力，我局积极探索将登记渠道从政务服务大厅向金融网点延伸，与农商行开展政银合作，签订“政银合作”协议，并对农商行相关人员进行了业务培训。目前，县政务服务大厅已设置农商行帮办代办窗口，全县七个乡镇农商行各个网点也开通了工商登记业务，推动了更多事项就近办、多点办，实现了从取得营业执照到开办公户、获得信贷资金的“零跑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（8）推行“一窗受理”综合服务</w:t>
      </w:r>
    </w:p>
    <w:p>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一窗受理”项目通过设立“一窗受理”综合服务窗口，采取政府购买方式充实综合受理工作人员队伍，开展专业的业务和服务礼仪培训，提高“综合受理”服务水平，实现“前台综合受理、后台分类审批、统一窗口出件”的服务模式，打造“一窗式”智慧政务服务，由多窗办一事向一窗办多事转变，真正实现政务服务提质增效。目前，已完成该项工作。“一窗受理”窗口开始运行，工作中将不断完善，提升政务服务规范化、便利化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（9）持续推进“互联网+监管”工作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我局始终把“互联网+监管”工作作为一项系统性、长期性工作来抓，积极发挥牵头职能，明确专人负责，加强与全县各监管部门的密切沟通，确保第一时间将省、市最新指示要求传达到位、落实到位。今年共组织召开了两次全县“互联网+监管”工作推进会，进一步统一了思想认识，提高了工作标准。为提高监管数据录入效率，我局针对个别单位更换系统管理员或业务不熟悉等特殊情况，“一对一”开展业务辅导，有力地推进了全县“互联网+监管”工作顺利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四</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工作成效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1.</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法治队伍展现新活力。</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以法治政府建设示范创建为契机，推选讲大局、精法律、懂业务的青年干部到法治工作第一线，充实了本系统青年干部法治队伍。积极鼓励符合条件的干部职工参加全国统一法律职业资格考试，建立健全法治岗位素质能力标准，加大法治人才选拔力度，培育一批素养高、能力强的审批“法律明白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法治教育成为新常态。</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紧扣工作实际，结合</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曲沃县</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法治政府创建活动的开展，大力宣传行政审批服务领域法律和业务知识。按照领导带头讲业务、人人参与研业务、层层落实强业务的标准，抓实业务学习，夯实专业基础，补齐能力短板，以实用的“大讲堂”，做出能力提升的“大文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color="auto" w:fill="FFFFFF"/>
          <w:lang w:val="en-US" w:eastAsia="zh-CN"/>
          <w14:textFill>
            <w14:solidFill>
              <w14:schemeClr w14:val="tx1"/>
            </w14:solidFill>
          </w14:textFill>
        </w:rPr>
        <w:t>3.</w:t>
      </w:r>
      <w:r>
        <w:rPr>
          <w:rFonts w:hint="eastAsia" w:ascii="仿宋" w:hAnsi="仿宋" w:eastAsia="仿宋" w:cs="仿宋"/>
          <w:b/>
          <w:bCs/>
          <w:i w:val="0"/>
          <w:iCs w:val="0"/>
          <w:caps w:val="0"/>
          <w:color w:val="000000" w:themeColor="text1"/>
          <w:spacing w:val="0"/>
          <w:sz w:val="32"/>
          <w:szCs w:val="32"/>
          <w:shd w:val="clear" w:color="auto" w:fill="FFFFFF"/>
          <w14:textFill>
            <w14:solidFill>
              <w14:schemeClr w14:val="tx1"/>
            </w14:solidFill>
          </w14:textFill>
        </w:rPr>
        <w:t>法治能力实现新提升。</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积极推动领导班子和领导干部</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遵</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法学法守法用法实现制度化、规范化。要求领导干部带头依法办事，带头遵守法律，自觉运用法治思维和法治方式深化改革、推动发展，不断厚植领导干部依法执政意识，进一步坚持依法治国、依法执政、依法行政共同推进，法治国家、法治政府、法治社会一体建设。</w:t>
      </w:r>
    </w:p>
    <w:p>
      <w:pPr>
        <w:keepNext w:val="0"/>
        <w:keepLines w:val="0"/>
        <w:pageBreakBefore w:val="0"/>
        <w:numPr>
          <w:ilvl w:val="0"/>
          <w:numId w:val="1"/>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存在的问题和不足</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202</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2</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年，我局全面落实</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县</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委、</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县</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政府关于推进依法行政、加快法治政府建设的总体部署和要求，切实规范依法行政行为，不断提高依法行政能力，在全面推进法治政府建设工作中取得阶段性成果。但仍然存在依法行政工作能力不足，对法治政府建设概念模糊，部分工作人员依法行政和法治意识比较薄弱等问题。</w:t>
      </w:r>
    </w:p>
    <w:p>
      <w:pPr>
        <w:keepNext w:val="0"/>
        <w:keepLines w:val="0"/>
        <w:pageBreakBefore w:val="0"/>
        <w:numPr>
          <w:ilvl w:val="0"/>
          <w:numId w:val="1"/>
        </w:numPr>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党政主要负责人履行推进法治建设第一责任人职责有关情况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2022年，局党组书记、局长切实履行推进法治政府建设第一责任人职责，坚持以身作则、率先垂范，带头依法办事，带头遵守法律，自觉运用法治思维和法治方式深化“放管服”、“一件事一次办”、“一枚印章管审批”等改革，推动优化营商环境高质量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一</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持续强化法治教育培训。</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完善了领导干部带头学法用法制度，把法治教育纳入</w:t>
      </w:r>
      <w:r>
        <w:rPr>
          <w:rFonts w:hint="eastAsia" w:ascii="仿宋" w:hAnsi="仿宋" w:eastAsia="仿宋" w:cs="仿宋"/>
          <w:i w:val="0"/>
          <w:iCs w:val="0"/>
          <w:caps w:val="0"/>
          <w:color w:val="000000" w:themeColor="text1"/>
          <w:spacing w:val="0"/>
          <w:sz w:val="32"/>
          <w:szCs w:val="32"/>
          <w:shd w:val="clear" w:color="auto" w:fill="FFFFFF"/>
          <w:lang w:val="en-US" w:eastAsia="zh-CN"/>
          <w14:textFill>
            <w14:solidFill>
              <w14:schemeClr w14:val="tx1"/>
            </w14:solidFill>
          </w14:textFill>
        </w:rPr>
        <w:t>我局工作</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总体规划，在组织的各类业务培训中融入法治教育内容。不断加强干部职工法治修养，提高依法行政能力，养成自觉</w:t>
      </w:r>
      <w:r>
        <w:rPr>
          <w:rFonts w:hint="eastAsia" w:ascii="仿宋" w:hAnsi="仿宋" w:eastAsia="仿宋" w:cs="仿宋"/>
          <w:i w:val="0"/>
          <w:iCs w:val="0"/>
          <w:caps w:val="0"/>
          <w:color w:val="000000" w:themeColor="text1"/>
          <w:spacing w:val="0"/>
          <w:sz w:val="32"/>
          <w:szCs w:val="32"/>
          <w:shd w:val="clear" w:color="auto" w:fill="FFFFFF"/>
          <w:lang w:eastAsia="zh-CN"/>
          <w14:textFill>
            <w14:solidFill>
              <w14:schemeClr w14:val="tx1"/>
            </w14:solidFill>
          </w14:textFill>
        </w:rPr>
        <w:t>尊法</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学法守法用法良好习惯，大力弘扬社会主义法治精神，积极在工作中向人民群众普法，做法律法规的遵守者、执行者、宣传者，努力营造办事依法、遇事找法、解决问题用法、化解矛盾靠法的良好法治环境。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二</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落实重大行政决策程序制度。</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认真贯彻执行重大行政决策法定程序，强化落实法律顾问参与行政决策，推进政务服务行业法治建设，提高政务服务人员法律意识，规范政务服务流程，有力促进本单位各项工作有规可循、有法可依，充分利用顾问律师当好科学决策、依法决策的“智囊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三</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全面推行行政规范性文件合法性审核机制。</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严格遵守规范性文件的制定程序和备案审查制度，定期开展规范性文件清理工作，按要求提报清理目录和清理报告，确保无遗漏。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right="0" w:firstLine="642" w:firstLineChars="200"/>
        <w:jc w:val="both"/>
        <w:textAlignment w:val="auto"/>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lang w:val="en-US" w:eastAsia="zh-CN"/>
          <w14:textFill>
            <w14:solidFill>
              <w14:schemeClr w14:val="tx1"/>
            </w14:solidFill>
          </w14:textFill>
        </w:rPr>
        <w:t>四</w:t>
      </w:r>
      <w:r>
        <w:rPr>
          <w:rFonts w:hint="eastAsia" w:ascii="楷体" w:hAnsi="楷体" w:eastAsia="楷体" w:cs="楷体"/>
          <w:b/>
          <w:bCs/>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color="auto" w:fill="FFFFFF"/>
          <w14:textFill>
            <w14:solidFill>
              <w14:schemeClr w14:val="tx1"/>
            </w14:solidFill>
          </w14:textFill>
        </w:rPr>
        <w:t>认真履行推进法治政府建设职责。</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坚持把全面深化改革与法治建设相结合，积极探索法治保障改革发展方法路径。结合优化“放管服”改革优化营商环境工作，以清理减少行政审批事项、优化审批流程、公开审批标准、规范审批行为和加强监督管理为重点，创新行政审批方式，提高行政审批效率。</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本地区、本部门履行法院生效裁判情况</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无。</w:t>
      </w:r>
    </w:p>
    <w:p>
      <w:pPr>
        <w:keepNext w:val="0"/>
        <w:keepLines w:val="0"/>
        <w:pageBreakBefore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五、2023年工作计划</w:t>
      </w: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2023年，我局将继续贯彻落实习近平新时代中国特色社会主义思想，围绕县委、县政府中心工作，按照县委依法治县总体部署，持续深化“放管服”改革，优化营商环境，为曲沃县经济社会又好又快发展做出积极贡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楷体" w:hAnsi="楷体" w:eastAsia="楷体" w:cs="楷体"/>
          <w:b/>
          <w:bCs/>
          <w:color w:val="000000" w:themeColor="text1"/>
          <w:sz w:val="32"/>
          <w:szCs w:val="32"/>
          <w:lang w:val="en-US" w:eastAsia="zh-CN"/>
          <w14:textFill>
            <w14:solidFill>
              <w14:schemeClr w14:val="tx1"/>
            </w14:solidFill>
          </w14:textFill>
        </w:rPr>
        <w:t>（一）继续做好普法教育。</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以党的二十大精神</w:t>
      </w:r>
      <w:bookmarkStart w:id="0" w:name="_GoBack"/>
      <w:bookmarkEnd w:id="0"/>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为引领，持续开展好“宪法宣传日”等系列宣传活动，进一步加强干部职工及窗口工作人员的法治宣传教育，切实增强其学法、守法、用法的主动性。</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w:t>
      </w:r>
      <w:r>
        <w:rPr>
          <w:rFonts w:hint="eastAsia" w:ascii="楷体" w:hAnsi="楷体" w:eastAsia="楷体" w:cs="楷体"/>
          <w:b/>
          <w:bCs/>
          <w:color w:val="000000" w:themeColor="text1"/>
          <w:sz w:val="32"/>
          <w:szCs w:val="32"/>
          <w:lang w:val="en-US" w:eastAsia="zh-CN"/>
          <w14:textFill>
            <w14:solidFill>
              <w14:schemeClr w14:val="tx1"/>
            </w14:solidFill>
          </w14:textFill>
        </w:rPr>
        <w:t>（二）持续深化“放管服”改革。</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按照政务服务标准化建设规范要求，对已划转的行政许可权事项和其他权责事项进行再次梳理更新。根据法律法规立改废释和划转事项的取消下放等情况，及时对县、乡两级权责事项清单进行动态调整。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w:t>
      </w:r>
      <w:r>
        <w:rPr>
          <w:rFonts w:hint="eastAsia" w:ascii="楷体" w:hAnsi="楷体" w:eastAsia="楷体" w:cs="楷体"/>
          <w:b/>
          <w:bCs/>
          <w:color w:val="000000" w:themeColor="text1"/>
          <w:sz w:val="32"/>
          <w:szCs w:val="32"/>
          <w:lang w:val="en-US" w:eastAsia="zh-CN"/>
          <w14:textFill>
            <w14:solidFill>
              <w14:schemeClr w14:val="tx1"/>
            </w14:solidFill>
          </w14:textFill>
        </w:rPr>
        <w:t>（三）继续实施权责事项清单标准化。</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在推进政务服务事项名称、编码、依据、类型等基本要素“四级四同”基础上，对每个事项的办理流程、时间、材料等要素进行细化，明确法定依据、实施对象、法定条件、申报材料、办理流程、收费标准、收费依据、承诺时限、联系方式和申报材料格式文本等信息，实现“办事有服务指南、填表有格式模板、政策能实时查询”,并根据政策调整及时更新。</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w:t>
      </w:r>
      <w:r>
        <w:rPr>
          <w:rFonts w:hint="eastAsia" w:ascii="楷体" w:hAnsi="楷体" w:eastAsia="楷体" w:cs="楷体"/>
          <w:b/>
          <w:bCs/>
          <w:color w:val="000000" w:themeColor="text1"/>
          <w:sz w:val="32"/>
          <w:szCs w:val="32"/>
          <w:lang w:val="en-US" w:eastAsia="zh-CN"/>
          <w14:textFill>
            <w14:solidFill>
              <w14:schemeClr w14:val="tx1"/>
            </w14:solidFill>
          </w14:textFill>
        </w:rPr>
        <w:t>（四）继续推进政务服务向基层延伸。</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加快乡镇便民服务中心、村居便民服务站点建设，进一步强化业务指导和人员培训，严格规范下放事项办理规程，防止超时限、额外添加审批要件等现象。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w:t>
      </w:r>
      <w:r>
        <w:rPr>
          <w:rFonts w:hint="eastAsia" w:ascii="楷体" w:hAnsi="楷体" w:eastAsia="楷体" w:cs="楷体"/>
          <w:b/>
          <w:bCs/>
          <w:color w:val="000000" w:themeColor="text1"/>
          <w:sz w:val="32"/>
          <w:szCs w:val="32"/>
          <w:lang w:val="en-US" w:eastAsia="zh-CN"/>
          <w14:textFill>
            <w14:solidFill>
              <w14:schemeClr w14:val="tx1"/>
            </w14:solidFill>
          </w14:textFill>
        </w:rPr>
        <w:t>（五）继续推行“一件事一次办”集成服务。</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通过前台综合受理、后台分类审批、综合窗口出件，实现只进“一扇门”“一个窗口”“一次办成”目标。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w:t>
      </w:r>
      <w:r>
        <w:rPr>
          <w:rFonts w:hint="eastAsia" w:ascii="楷体" w:hAnsi="楷体" w:eastAsia="楷体" w:cs="楷体"/>
          <w:b/>
          <w:bCs/>
          <w:color w:val="000000" w:themeColor="text1"/>
          <w:sz w:val="32"/>
          <w:szCs w:val="32"/>
          <w:lang w:val="en-US" w:eastAsia="zh-CN"/>
          <w14:textFill>
            <w14:solidFill>
              <w14:schemeClr w14:val="tx1"/>
            </w14:solidFill>
          </w14:textFill>
        </w:rPr>
        <w:t>（六）完成县委、县政府交办的其他工作。</w:t>
      </w:r>
    </w:p>
    <w:p>
      <w:pPr>
        <w:keepNext w:val="0"/>
        <w:keepLines w:val="0"/>
        <w:pageBreakBefore w:val="0"/>
        <w:numPr>
          <w:ilvl w:val="0"/>
          <w:numId w:val="2"/>
        </w:numPr>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对全县加强法治政府建设的意见、建议</w:t>
      </w:r>
    </w:p>
    <w:p>
      <w:pPr>
        <w:pStyle w:val="2"/>
        <w:keepNext w:val="0"/>
        <w:keepLines w:val="0"/>
        <w:pageBreakBefore w:val="0"/>
        <w:kinsoku/>
        <w:wordWrap/>
        <w:overflowPunct/>
        <w:topLinePunct w:val="0"/>
        <w:autoSpaceDE/>
        <w:autoSpaceDN/>
        <w:bidi w:val="0"/>
        <w:spacing w:line="560" w:lineRule="exact"/>
        <w:ind w:left="0" w:leftChars="0" w:firstLine="640" w:firstLineChars="0"/>
        <w:textAlignment w:val="auto"/>
        <w:rPr>
          <w:rFonts w:hint="eastAsia"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建议多组织宣讲团、律师服务队深入企业、乡镇和各局开展法治宣传、法律咨询和法治讲座，实时推送法律常识、典型案例等信息，加大优化营商环境政策法规宣传力度，着力营造爱商、亲商、尊商、重商的社会氛围。</w:t>
      </w:r>
    </w:p>
    <w:p>
      <w:pPr>
        <w:keepNext w:val="0"/>
        <w:keepLines w:val="0"/>
        <w:pageBreakBefore w:val="0"/>
        <w:numPr>
          <w:ilvl w:val="0"/>
          <w:numId w:val="2"/>
        </w:numPr>
        <w:shd w:val="clea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其他需要报告的重要事项</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ascii="仿宋_GB2312" w:hAnsi="仿宋_GB2312" w:eastAsia="仿宋_GB2312" w:cs="仿宋_GB2312"/>
          <w:i w:val="0"/>
          <w:iCs w:val="0"/>
          <w:caps w:val="0"/>
          <w:color w:val="000000" w:themeColor="text1"/>
          <w:spacing w:val="0"/>
          <w:kern w:val="0"/>
          <w:sz w:val="32"/>
          <w:szCs w:val="32"/>
          <w:shd w:val="clear" w:color="auto" w:fill="FFFFFF"/>
          <w:lang w:val="en-US" w:eastAsia="zh-CN" w:bidi="ar"/>
          <w14:textFill>
            <w14:solidFill>
              <w14:schemeClr w14:val="tx1"/>
            </w14:solidFill>
          </w14:textFill>
        </w:rPr>
        <w:t xml:space="preserve"> </w:t>
      </w: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无。</w:t>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000000" w:themeColor="text1"/>
          <w:spacing w:val="0"/>
          <w:kern w:val="0"/>
          <w:sz w:val="32"/>
          <w:szCs w:val="32"/>
          <w:shd w:val="clear" w:color="auto" w:fill="FFFFFF"/>
          <w:lang w:val="en-US" w:eastAsia="zh-CN" w:bidi="ar"/>
          <w14:textFill>
            <w14:solidFill>
              <w14:schemeClr w14:val="tx1"/>
            </w14:solidFill>
          </w14:textFill>
        </w:rPr>
      </w:pP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i w:val="0"/>
          <w:iCs w:val="0"/>
          <w:caps w:val="0"/>
          <w:color w:val="000000" w:themeColor="text1"/>
          <w:spacing w:val="0"/>
          <w:kern w:val="0"/>
          <w:sz w:val="32"/>
          <w:szCs w:val="32"/>
          <w:shd w:val="clear" w:color="auto" w:fill="FFFFFF"/>
          <w:lang w:val="en-US" w:eastAsia="zh-CN" w:bidi="ar"/>
          <w14:textFill>
            <w14:solidFill>
              <w14:schemeClr w14:val="tx1"/>
            </w14:solidFill>
          </w14:textFill>
        </w:rPr>
      </w:pP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p>
    <w:p>
      <w:pPr>
        <w:pStyle w:val="2"/>
        <w:keepNext w:val="0"/>
        <w:keepLines w:val="0"/>
        <w:pageBreakBefore w:val="0"/>
        <w:numPr>
          <w:ilvl w:val="0"/>
          <w:numId w:val="0"/>
        </w:numPr>
        <w:kinsoku/>
        <w:wordWrap w:val="0"/>
        <w:overflowPunct/>
        <w:topLinePunct w:val="0"/>
        <w:autoSpaceDE/>
        <w:autoSpaceDN/>
        <w:bidi w:val="0"/>
        <w:spacing w:line="560" w:lineRule="exact"/>
        <w:jc w:val="right"/>
        <w:textAlignment w:val="auto"/>
        <w:rPr>
          <w:rFonts w:hint="default"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 xml:space="preserve">曲沃县行政审批服务管理        </w:t>
      </w:r>
    </w:p>
    <w:p>
      <w:pPr>
        <w:pStyle w:val="2"/>
        <w:keepNext w:val="0"/>
        <w:keepLines w:val="0"/>
        <w:pageBreakBefore w:val="0"/>
        <w:numPr>
          <w:ilvl w:val="0"/>
          <w:numId w:val="0"/>
        </w:numPr>
        <w:kinsoku/>
        <w:wordWrap w:val="0"/>
        <w:overflowPunct/>
        <w:topLinePunct w:val="0"/>
        <w:autoSpaceDE/>
        <w:autoSpaceDN/>
        <w:bidi w:val="0"/>
        <w:spacing w:line="560" w:lineRule="exact"/>
        <w:jc w:val="right"/>
        <w:textAlignment w:val="auto"/>
        <w:rPr>
          <w:rFonts w:hint="default"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t xml:space="preserve">2023年3月13日           </w:t>
      </w:r>
    </w:p>
    <w:p>
      <w:pPr>
        <w:pStyle w:val="2"/>
        <w:keepNext w:val="0"/>
        <w:keepLines w:val="0"/>
        <w:pageBreakBefore w:val="0"/>
        <w:numPr>
          <w:ilvl w:val="0"/>
          <w:numId w:val="0"/>
        </w:numPr>
        <w:kinsoku/>
        <w:wordWrap/>
        <w:overflowPunct/>
        <w:topLinePunct w:val="0"/>
        <w:autoSpaceDE/>
        <w:autoSpaceDN/>
        <w:bidi w:val="0"/>
        <w:spacing w:line="560" w:lineRule="exact"/>
        <w:ind w:firstLine="4480" w:firstLineChars="1400"/>
        <w:jc w:val="right"/>
        <w:textAlignment w:val="auto"/>
        <w:rPr>
          <w:rFonts w:hint="eastAsia" w:ascii="仿宋" w:hAnsi="仿宋" w:eastAsia="仿宋" w:cs="仿宋"/>
          <w:i w:val="0"/>
          <w:iCs w:val="0"/>
          <w:caps w:val="0"/>
          <w:color w:val="000000" w:themeColor="text1"/>
          <w:spacing w:val="0"/>
          <w:kern w:val="0"/>
          <w:sz w:val="32"/>
          <w:szCs w:val="32"/>
          <w:shd w:val="clear" w:color="auto" w:fill="FFFFFF"/>
          <w:lang w:val="en-US" w:eastAsia="zh-CN" w:bidi="ar"/>
          <w14:textFill>
            <w14:solidFill>
              <w14:schemeClr w14:val="tx1"/>
            </w14:solidFill>
          </w14:textFill>
        </w:rPr>
      </w:pPr>
    </w:p>
    <w:sectPr>
      <w:pgSz w:w="11906" w:h="16838"/>
      <w:pgMar w:top="1871" w:right="1531" w:bottom="1871"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AB728"/>
    <w:multiLevelType w:val="singleLevel"/>
    <w:tmpl w:val="FA8AB728"/>
    <w:lvl w:ilvl="0" w:tentative="0">
      <w:start w:val="6"/>
      <w:numFmt w:val="chineseCounting"/>
      <w:suff w:val="nothing"/>
      <w:lvlText w:val="%1、"/>
      <w:lvlJc w:val="left"/>
      <w:rPr>
        <w:rFonts w:hint="eastAsia" w:ascii="黑体" w:hAnsi="黑体" w:eastAsia="黑体" w:cs="黑体"/>
      </w:rPr>
    </w:lvl>
  </w:abstractNum>
  <w:abstractNum w:abstractNumId="1">
    <w:nsid w:val="4AC07CD4"/>
    <w:multiLevelType w:val="singleLevel"/>
    <w:tmpl w:val="4AC07CD4"/>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64BD16BD"/>
    <w:rsid w:val="136F1744"/>
    <w:rsid w:val="147B7A0E"/>
    <w:rsid w:val="181866A5"/>
    <w:rsid w:val="2577F6BA"/>
    <w:rsid w:val="27ED4762"/>
    <w:rsid w:val="33C17ECD"/>
    <w:rsid w:val="5DB70259"/>
    <w:rsid w:val="645106EB"/>
    <w:rsid w:val="6CA27A72"/>
    <w:rsid w:val="6EF72976"/>
    <w:rsid w:val="71AF72E6"/>
    <w:rsid w:val="737364D5"/>
    <w:rsid w:val="7625163C"/>
    <w:rsid w:val="AF73C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Title"/>
    <w:basedOn w:val="1"/>
    <w:next w:val="1"/>
    <w:qFormat/>
    <w:uiPriority w:val="0"/>
    <w:pPr>
      <w:spacing w:before="240" w:after="60"/>
      <w:jc w:val="center"/>
      <w:outlineLvl w:val="0"/>
    </w:pPr>
    <w:rPr>
      <w:rFonts w:ascii="Arial" w:hAnsi="Arial"/>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2">
      <a:dk1>
        <a:srgbClr val="000000"/>
      </a:dk1>
      <a:lt1>
        <a:srgbClr val="FFFFFF"/>
      </a:lt1>
      <a:dk2>
        <a:srgbClr val="44546A"/>
      </a:dk2>
      <a:lt2>
        <a:srgbClr val="E2F0D9"/>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5583</Words>
  <Characters>5632</Characters>
  <Lines>0</Lines>
  <Paragraphs>0</Paragraphs>
  <TotalTime>0</TotalTime>
  <ScaleCrop>false</ScaleCrop>
  <LinksUpToDate>false</LinksUpToDate>
  <CharactersWithSpaces>5652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2023-01-04T23:36:00Z</dcterms:created>
  <dc:creator>玫瑰花和小羊</dc:creator>
  <cp:lastModifiedBy>baixin</cp:lastModifiedBy>
  <cp:lastPrinted>2023-03-13T17:55:00Z</cp:lastPrinted>
  <dcterms:modified xsi:type="dcterms:W3CDTF">2023-05-31T17:36:01Z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A613C0189F744ADBAEF3081A8BF72786</vt:lpwstr>
  </property>
</Properties>
</file>