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/>
        <w:widowControl w:val="0"/>
        <w:snapToGrid w:val="0"/>
        <w:spacing w:beforeLines="0" w:beforeAutospacing="0" w:afterLines="0" w:afterAutospacing="0" w:line="560" w:lineRule="exact"/>
        <w:ind w:left="0" w:leftChars="0" w:firstLine="0" w:firstLineChars="0"/>
        <w:jc w:val="left"/>
        <w:outlineLvl w:val="1"/>
        <w:rPr>
          <w:rFonts w:hint="eastAsia" w:ascii="黑体" w:hAnsi="黑体" w:eastAsia="黑体" w:cs="黑体"/>
          <w:color w:val="000000"/>
          <w:kern w:val="2"/>
          <w:sz w:val="32"/>
          <w:szCs w:val="24"/>
          <w:lang w:val="en-US" w:eastAsia="zh-CN" w:bidi="ar-SA"/>
        </w:rPr>
      </w:pPr>
      <w:bookmarkStart w:id="0" w:name="_Toc10841"/>
      <w:r>
        <w:rPr>
          <w:rFonts w:hint="eastAsia" w:ascii="黑体" w:hAnsi="黑体" w:eastAsia="黑体" w:cs="黑体"/>
          <w:color w:val="000000"/>
          <w:kern w:val="2"/>
          <w:sz w:val="32"/>
          <w:szCs w:val="24"/>
          <w:lang w:val="en-US" w:eastAsia="zh-CN" w:bidi="ar-SA"/>
        </w:rPr>
        <w:t>附件3</w:t>
      </w:r>
      <w:bookmarkEnd w:id="0"/>
    </w:p>
    <w:p>
      <w:pPr>
        <w:spacing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bidi="ar"/>
        </w:rPr>
        <w:t>地震灾害分级和对应响应级别</w:t>
      </w:r>
    </w:p>
    <w:p>
      <w:pPr>
        <w:pStyle w:val="7"/>
        <w:rPr>
          <w:rFonts w:hint="eastAsia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0"/>
        <w:gridCol w:w="2685"/>
        <w:gridCol w:w="2895"/>
        <w:gridCol w:w="2640"/>
        <w:gridCol w:w="2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470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灾害分级</w:t>
            </w:r>
          </w:p>
        </w:tc>
        <w:tc>
          <w:tcPr>
            <w:tcW w:w="2685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一般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较大</w:t>
            </w:r>
          </w:p>
        </w:tc>
        <w:tc>
          <w:tcPr>
            <w:tcW w:w="2640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重大</w:t>
            </w:r>
          </w:p>
        </w:tc>
        <w:tc>
          <w:tcPr>
            <w:tcW w:w="2280" w:type="dxa"/>
            <w:noWrap w:val="0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特别重大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70" w:type="dxa"/>
            <w:noWrap w:val="0"/>
            <w:vAlign w:val="top"/>
          </w:tcPr>
          <w:p>
            <w:pPr>
              <w:widowControl/>
              <w:spacing w:line="5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widowControl/>
              <w:spacing w:line="560" w:lineRule="exact"/>
              <w:ind w:left="0" w:leftChars="0" w:firstLine="480" w:firstLineChars="20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>
            <w:pPr>
              <w:widowControl/>
              <w:spacing w:line="560" w:lineRule="exact"/>
              <w:ind w:left="0" w:leftChars="0" w:firstLine="480" w:firstLineChars="200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分级标准</w:t>
            </w:r>
          </w:p>
        </w:tc>
        <w:tc>
          <w:tcPr>
            <w:tcW w:w="2685" w:type="dxa"/>
            <w:noWrap w:val="0"/>
            <w:vAlign w:val="top"/>
          </w:tcPr>
          <w:p>
            <w:pPr>
              <w:widowControl/>
              <w:spacing w:line="560" w:lineRule="exact"/>
              <w:ind w:left="0" w:leftChars="0" w:firstLine="480" w:firstLineChars="200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人口较密集地区发生 4.0-5.0 级地震或地震灾害造成 10人以下死亡（含失踪）</w:t>
            </w:r>
          </w:p>
        </w:tc>
        <w:tc>
          <w:tcPr>
            <w:tcW w:w="2895" w:type="dxa"/>
            <w:noWrap w:val="0"/>
            <w:vAlign w:val="top"/>
          </w:tcPr>
          <w:p>
            <w:pPr>
              <w:widowControl/>
              <w:spacing w:line="560" w:lineRule="exact"/>
              <w:ind w:left="0" w:leftChars="0" w:firstLine="480" w:firstLineChars="200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人口较密集地区发生 5.0-6.0 级地震，人口密集地区发4.0-5.0 级地震或地震造成10-50 人死亡（含失踪）</w:t>
            </w:r>
          </w:p>
        </w:tc>
        <w:tc>
          <w:tcPr>
            <w:tcW w:w="2640" w:type="dxa"/>
            <w:noWrap w:val="0"/>
            <w:vAlign w:val="top"/>
          </w:tcPr>
          <w:p>
            <w:pPr>
              <w:widowControl/>
              <w:spacing w:line="560" w:lineRule="exact"/>
              <w:ind w:left="0" w:leftChars="0" w:firstLine="480" w:firstLineChars="200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人口较密集地区发生 6.0-7.0级地震，人口密集地区发生5.0-6.0级地震或地震造成50-300人死亡（含失踪）</w:t>
            </w:r>
          </w:p>
        </w:tc>
        <w:tc>
          <w:tcPr>
            <w:tcW w:w="2280" w:type="dxa"/>
            <w:noWrap w:val="0"/>
            <w:vAlign w:val="top"/>
          </w:tcPr>
          <w:p>
            <w:pPr>
              <w:widowControl/>
              <w:spacing w:line="560" w:lineRule="exact"/>
              <w:ind w:left="0" w:leftChars="0" w:firstLine="480" w:firstLineChars="200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人口较密集地区发生 7.0 级以上，人口密集地区发生 6.0级以上地震或地震造成 300人以上死亡（含失踪）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70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响应级别</w:t>
            </w:r>
          </w:p>
        </w:tc>
        <w:tc>
          <w:tcPr>
            <w:tcW w:w="2685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四级响应</w:t>
            </w:r>
          </w:p>
        </w:tc>
        <w:tc>
          <w:tcPr>
            <w:tcW w:w="2895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三级响应</w:t>
            </w:r>
          </w:p>
        </w:tc>
        <w:tc>
          <w:tcPr>
            <w:tcW w:w="2640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二级响应</w:t>
            </w:r>
          </w:p>
        </w:tc>
        <w:tc>
          <w:tcPr>
            <w:tcW w:w="2280" w:type="dxa"/>
            <w:noWrap w:val="0"/>
            <w:vAlign w:val="top"/>
          </w:tcPr>
          <w:p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一级响应</w:t>
            </w:r>
          </w:p>
        </w:tc>
      </w:tr>
    </w:tbl>
    <w:p>
      <w:pPr>
        <w:widowControl w:val="0"/>
        <w:spacing w:before="100" w:beforeAutospacing="1" w:after="100" w:afterAutospacing="1" w:line="560" w:lineRule="exact"/>
        <w:ind w:left="0" w:right="0" w:firstLine="56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说明：“以上”包括本数，“以下”不包括本数。</w:t>
      </w:r>
    </w:p>
    <w:p>
      <w:pPr>
        <w:rPr>
          <w:rFonts w:hint="eastAsia" w:ascii="仿宋_GB2312" w:hAnsi="仿宋_GB2312" w:eastAsia="仿宋_GB2312" w:cs="仿宋_GB2312"/>
          <w:sz w:val="28"/>
          <w:szCs w:val="28"/>
          <w:lang w:bidi="ar"/>
        </w:rPr>
        <w:sectPr>
          <w:headerReference r:id="rId3" w:type="default"/>
          <w:footerReference r:id="rId4" w:type="default"/>
          <w:footerReference r:id="rId5" w:type="even"/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spacing w:line="560" w:lineRule="exact"/>
      <w:ind w:right="360" w:firstLine="360" w:firstLineChars="200"/>
      <w:jc w:val="left"/>
      <w:rPr>
        <w:rFonts w:ascii="Times New Roman" w:hAnsi="Times New Roman" w:eastAsia="方正仿宋_GBK" w:cs="Times New Roman"/>
        <w:color w:val="000000"/>
        <w:kern w:val="2"/>
        <w:sz w:val="18"/>
        <w:szCs w:val="24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framePr w:wrap="around" w:vAnchor="text" w:hAnchor="margin" w:xAlign="outside" w:y="1"/>
      <w:widowControl w:val="0"/>
      <w:snapToGrid w:val="0"/>
      <w:spacing w:line="560" w:lineRule="exact"/>
      <w:ind w:firstLine="360" w:firstLineChars="200"/>
      <w:jc w:val="left"/>
      <w:rPr>
        <w:rStyle w:val="6"/>
        <w:rFonts w:ascii="Times New Roman" w:hAnsi="Times New Roman" w:eastAsia="方正仿宋_GBK" w:cs="Times New Roman"/>
        <w:color w:val="000000"/>
        <w:kern w:val="2"/>
        <w:sz w:val="18"/>
        <w:szCs w:val="24"/>
        <w:lang w:val="en-US" w:eastAsia="zh-CN" w:bidi="ar-SA"/>
      </w:rPr>
    </w:pPr>
    <w:r>
      <w:rPr>
        <w:rFonts w:ascii="Times New Roman" w:hAnsi="Times New Roman" w:eastAsia="方正仿宋_GBK" w:cs="Times New Roman"/>
        <w:color w:val="000000"/>
        <w:kern w:val="2"/>
        <w:sz w:val="18"/>
        <w:szCs w:val="24"/>
        <w:lang w:val="en-US" w:eastAsia="zh-CN" w:bidi="ar-SA"/>
      </w:rPr>
      <w:fldChar w:fldCharType="begin"/>
    </w:r>
    <w:r>
      <w:rPr>
        <w:rStyle w:val="6"/>
        <w:rFonts w:ascii="Times New Roman" w:hAnsi="Times New Roman" w:eastAsia="宋体" w:cs="Times New Roman"/>
        <w:color w:val="000000"/>
        <w:kern w:val="2"/>
        <w:sz w:val="18"/>
        <w:szCs w:val="24"/>
        <w:lang w:val="en-US" w:eastAsia="zh-CN" w:bidi="ar-SA"/>
      </w:rPr>
      <w:instrText xml:space="preserve">PAGE  </w:instrText>
    </w:r>
    <w:r>
      <w:rPr>
        <w:rFonts w:ascii="Times New Roman" w:hAnsi="Times New Roman" w:eastAsia="方正仿宋_GBK" w:cs="Times New Roman"/>
        <w:color w:val="000000"/>
        <w:kern w:val="2"/>
        <w:sz w:val="18"/>
        <w:szCs w:val="24"/>
        <w:lang w:val="en-US" w:eastAsia="zh-CN" w:bidi="ar-SA"/>
      </w:rPr>
      <w:fldChar w:fldCharType="separate"/>
    </w:r>
    <w:r>
      <w:rPr>
        <w:rStyle w:val="6"/>
        <w:rFonts w:ascii="Times New Roman" w:hAnsi="Times New Roman" w:eastAsia="宋体" w:cs="Times New Roman"/>
        <w:color w:val="000000"/>
        <w:kern w:val="2"/>
        <w:sz w:val="18"/>
        <w:szCs w:val="24"/>
        <w:lang w:val="en-US" w:eastAsia="zh-CN" w:bidi="ar-SA"/>
      </w:rPr>
      <w:t>1</w:t>
    </w:r>
    <w:r>
      <w:rPr>
        <w:rFonts w:ascii="Times New Roman" w:hAnsi="Times New Roman" w:eastAsia="方正仿宋_GBK" w:cs="Times New Roman"/>
        <w:color w:val="000000"/>
        <w:kern w:val="2"/>
        <w:sz w:val="18"/>
        <w:szCs w:val="24"/>
        <w:lang w:val="en-US" w:eastAsia="zh-CN" w:bidi="ar-SA"/>
      </w:rPr>
      <w:fldChar w:fldCharType="end"/>
    </w:r>
  </w:p>
  <w:p>
    <w:pPr>
      <w:widowControl w:val="0"/>
      <w:snapToGrid w:val="0"/>
      <w:spacing w:line="560" w:lineRule="exact"/>
      <w:ind w:right="360" w:firstLine="360" w:firstLineChars="200"/>
      <w:jc w:val="left"/>
      <w:rPr>
        <w:rFonts w:ascii="Times New Roman" w:hAnsi="Times New Roman" w:eastAsia="方正仿宋_GBK" w:cs="Times New Roman"/>
        <w:color w:val="000000"/>
        <w:kern w:val="2"/>
        <w:sz w:val="18"/>
        <w:szCs w:val="24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top w:val="none" w:color="auto" w:sz="0" w:space="1"/>
        <w:left w:val="none" w:color="auto" w:sz="0" w:space="4"/>
        <w:bottom w:val="none" w:color="auto" w:sz="0" w:space="0"/>
        <w:right w:val="none" w:color="auto" w:sz="0" w:space="4"/>
      </w:pBdr>
      <w:snapToGrid w:val="0"/>
      <w:spacing w:line="240" w:lineRule="auto"/>
      <w:ind w:firstLine="360" w:firstLineChars="200"/>
      <w:jc w:val="both"/>
      <w:outlineLvl w:val="9"/>
      <w:rPr>
        <w:rFonts w:ascii="Times New Roman" w:hAnsi="Times New Roman" w:eastAsia="方正仿宋_GBK" w:cs="Times New Roman"/>
        <w:color w:val="000000"/>
        <w:kern w:val="2"/>
        <w:sz w:val="18"/>
        <w:szCs w:val="24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F95E6C"/>
    <w:rsid w:val="DFF9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qFormat/>
    <w:uiPriority w:val="0"/>
  </w:style>
  <w:style w:type="paragraph" w:customStyle="1" w:styleId="7">
    <w:name w:val="_Style 1"/>
    <w:qFormat/>
    <w:uiPriority w:val="1"/>
    <w:pPr>
      <w:widowControl w:val="0"/>
      <w:jc w:val="both"/>
    </w:pPr>
    <w:rPr>
      <w:rFonts w:ascii="仿宋" w:hAnsi="仿宋" w:eastAsia="仿宋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2022-01-18T15:40:00Z</dcterms:created>
  <dc:creator>baixin</dc:creator>
  <cp:lastModifiedBy>baixin</cp:lastModifiedBy>
  <dcterms:modified xsi:type="dcterms:W3CDTF">2022-01-18T15:42:24Z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