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4"/>
        <w:gridCol w:w="3000"/>
        <w:gridCol w:w="960"/>
        <w:gridCol w:w="2115"/>
        <w:gridCol w:w="16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2231"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黑体" w:hAnsi="黑体" w:eastAsia="黑体" w:cs="黑体"/>
                <w:i w:val="0"/>
                <w:iCs w:val="0"/>
                <w:color w:val="000000"/>
                <w:kern w:val="0"/>
                <w:sz w:val="32"/>
                <w:szCs w:val="32"/>
                <w:u w:val="none"/>
                <w:lang w:val="en-US" w:eastAsia="zh-CN" w:bidi="ar"/>
              </w:rPr>
              <w:t>附件1</w:t>
            </w:r>
          </w:p>
        </w:tc>
        <w:tc>
          <w:tcPr>
            <w:tcW w:w="56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24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96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5000" w:type="pct"/>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bookmarkStart w:id="0" w:name="_GoBack" w:colFirst="0" w:colLast="4"/>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县级企业国有资本收益（应交利润）申报表</w:t>
            </w: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trPr>
        <w:tc>
          <w:tcPr>
            <w:tcW w:w="5000" w:type="pct"/>
            <w:gridSpan w:val="5"/>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仿宋_GB2312" w:hAnsi="仿宋_GB2312" w:eastAsia="仿宋_GB2312" w:cs="仿宋_GB2312"/>
                <w:i w:val="0"/>
                <w:iCs w:val="0"/>
                <w:color w:val="000000"/>
                <w:kern w:val="0"/>
                <w:sz w:val="28"/>
                <w:szCs w:val="28"/>
                <w:u w:val="none"/>
                <w:lang w:val="en-US"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（20</w:t>
            </w:r>
            <w:r>
              <w:rPr>
                <w:rStyle w:val="6"/>
                <w:rFonts w:hint="eastAsia" w:ascii="仿宋_GB2312" w:hAnsi="仿宋_GB2312" w:eastAsia="仿宋_GB2312" w:cs="仿宋_GB2312"/>
                <w:sz w:val="24"/>
                <w:szCs w:val="24"/>
                <w:lang w:val="en-US" w:eastAsia="zh-CN" w:bidi="ar"/>
              </w:rPr>
              <w:t xml:space="preserve">   </w:t>
            </w:r>
            <w:r>
              <w:rPr>
                <w:rStyle w:val="7"/>
                <w:rFonts w:hint="eastAsia" w:ascii="仿宋_GB2312" w:hAnsi="仿宋_GB2312" w:eastAsia="仿宋_GB2312" w:cs="仿宋_GB2312"/>
                <w:sz w:val="24"/>
                <w:szCs w:val="24"/>
                <w:lang w:val="en-US" w:eastAsia="zh-CN" w:bidi="ar"/>
              </w:rPr>
              <w:t>年度 ）                    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申报单位基本情况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企业名称</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注册地址</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组织形式</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所处行业</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注册资本</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开户银行</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银行账号</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财务经理</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22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768"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应交国有资本收益申报情况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申报数</w:t>
            </w: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国资监管部门审核数</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财政部门复核数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合并净利润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减：少数股东损益</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归属于母公司所有者的净利润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减：弥补以前年度亏损</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减：提取法定公积金</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上交利润基数</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上交利润比例</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本期应交利润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加：以前年度欠交利润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减：本期已交利润</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应交（退）利润余额</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附送资料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1"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与企业年度合并财务报表有关的资料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明</w:t>
            </w:r>
          </w:p>
        </w:tc>
        <w:tc>
          <w:tcPr>
            <w:tcW w:w="4528" w:type="pct"/>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ind w:firstLine="400" w:firstLineChars="20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本公司对以上情况及申报资料的真实性承担法律责任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法人代表（签章）            （公章）</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4528"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4528"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4528"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4528"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4528" w:type="pct"/>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5000" w:type="pct"/>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总会计师：                                           经办人：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注： 国资监管部门指县人民政府国有资产监督管理委员会和其他县级企业主管部门。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FF6F46"/>
    <w:rsid w:val="0FE7397D"/>
    <w:rsid w:val="35BFD8B1"/>
    <w:rsid w:val="7DFF6F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No Spacing_ad81b47b-6779-4c76-b471-79375858c8cb"/>
    <w:basedOn w:val="1"/>
    <w:qFormat/>
    <w:uiPriority w:val="0"/>
    <w:pPr>
      <w:ind w:firstLine="200" w:firstLineChars="200"/>
    </w:pPr>
  </w:style>
  <w:style w:type="character" w:customStyle="1" w:styleId="6">
    <w:name w:val="font41"/>
    <w:basedOn w:val="4"/>
    <w:qFormat/>
    <w:uiPriority w:val="0"/>
    <w:rPr>
      <w:rFonts w:hint="eastAsia" w:ascii="宋体" w:hAnsi="宋体" w:eastAsia="宋体" w:cs="宋体"/>
      <w:color w:val="000000"/>
      <w:sz w:val="22"/>
      <w:szCs w:val="22"/>
      <w:u w:val="single"/>
    </w:rPr>
  </w:style>
  <w:style w:type="character" w:customStyle="1" w:styleId="7">
    <w:name w:val="font0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2023-11-17T10:40:00Z</dcterms:created>
  <dc:creator>baixin</dc:creator>
  <cp:lastModifiedBy>baixin</cp:lastModifiedBy>
  <dcterms:modified xsi:type="dcterms:W3CDTF">2023-11-17T10:41:57Z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