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03886">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leftChars="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pacing w:val="44"/>
          <w:kern w:val="0"/>
          <w:sz w:val="44"/>
          <w:szCs w:val="44"/>
          <w:fitText w:val="3080" w:id="1124288287"/>
          <w:lang w:val="en-US" w:eastAsia="zh-CN"/>
        </w:rPr>
        <w:t>中共曲沃县</w:t>
      </w:r>
      <w:r>
        <w:rPr>
          <w:rFonts w:hint="eastAsia" w:ascii="方正小标宋简体" w:hAnsi="方正小标宋简体" w:eastAsia="方正小标宋简体" w:cs="方正小标宋简体"/>
          <w:b w:val="0"/>
          <w:bCs w:val="0"/>
          <w:spacing w:val="0"/>
          <w:kern w:val="0"/>
          <w:sz w:val="44"/>
          <w:szCs w:val="44"/>
          <w:fitText w:val="3080" w:id="1124288287"/>
          <w:lang w:val="en-US" w:eastAsia="zh-CN"/>
        </w:rPr>
        <w:t>委</w:t>
      </w:r>
    </w:p>
    <w:p w14:paraId="6CC517EE">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0" w:left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曲沃县人民政府</w:t>
      </w:r>
    </w:p>
    <w:p w14:paraId="6CDA238A">
      <w:pPr>
        <w:pStyle w:val="3"/>
        <w:keepNext w:val="0"/>
        <w:keepLines w:val="0"/>
        <w:pageBreakBefore w:val="0"/>
        <w:widowControl w:val="0"/>
        <w:kinsoku/>
        <w:wordWrap/>
        <w:overflowPunct w:val="0"/>
        <w:topLinePunct w:val="0"/>
        <w:autoSpaceDE/>
        <w:autoSpaceDN/>
        <w:bidi w:val="0"/>
        <w:adjustRightInd/>
        <w:snapToGrid/>
        <w:spacing w:before="0" w:after="0" w:line="58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eastAsia="zh-CN"/>
        </w:rPr>
        <w:t>关于曲沃县</w:t>
      </w:r>
      <w:r>
        <w:rPr>
          <w:rFonts w:hint="eastAsia" w:ascii="方正小标宋简体" w:hAnsi="方正小标宋简体" w:eastAsia="方正小标宋简体" w:cs="方正小标宋简体"/>
          <w:b w:val="0"/>
          <w:bCs w:val="0"/>
          <w:sz w:val="44"/>
          <w:szCs w:val="44"/>
          <w:lang w:val="en-US" w:eastAsia="zh-CN"/>
        </w:rPr>
        <w:t>2025年法治政府建设情况的</w:t>
      </w:r>
    </w:p>
    <w:p w14:paraId="4012D985">
      <w:pPr>
        <w:pStyle w:val="3"/>
        <w:keepNext w:val="0"/>
        <w:keepLines w:val="0"/>
        <w:pageBreakBefore w:val="0"/>
        <w:widowControl w:val="0"/>
        <w:kinsoku/>
        <w:wordWrap/>
        <w:overflowPunct w:val="0"/>
        <w:topLinePunct w:val="0"/>
        <w:autoSpaceDE/>
        <w:autoSpaceDN/>
        <w:bidi w:val="0"/>
        <w:adjustRightInd/>
        <w:snapToGrid/>
        <w:spacing w:before="0" w:after="0" w:line="58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年度报告</w:t>
      </w:r>
    </w:p>
    <w:p w14:paraId="23B44E5C">
      <w:pPr>
        <w:pStyle w:val="3"/>
        <w:keepNext w:val="0"/>
        <w:keepLines w:val="0"/>
        <w:pageBreakBefore w:val="0"/>
        <w:widowControl w:val="0"/>
        <w:kinsoku/>
        <w:wordWrap/>
        <w:overflowPunct w:val="0"/>
        <w:topLinePunct w:val="0"/>
        <w:autoSpaceDE/>
        <w:autoSpaceDN/>
        <w:bidi w:val="0"/>
        <w:adjustRightInd/>
        <w:snapToGrid/>
        <w:spacing w:before="0" w:after="0" w:line="580" w:lineRule="exact"/>
        <w:ind w:leftChars="0" w:firstLine="640" w:firstLineChars="200"/>
        <w:jc w:val="left"/>
        <w:textAlignment w:val="auto"/>
        <w:rPr>
          <w:rFonts w:hint="eastAsia" w:ascii="仿宋_GB2312" w:hAnsi="仿宋_GB2312" w:eastAsia="仿宋_GB2312" w:cs="仿宋_GB2312"/>
          <w:b w:val="0"/>
          <w:bCs w:val="0"/>
          <w:sz w:val="32"/>
          <w:szCs w:val="32"/>
        </w:rPr>
      </w:pPr>
    </w:p>
    <w:p w14:paraId="56E47001">
      <w:pPr>
        <w:pStyle w:val="3"/>
        <w:keepNext w:val="0"/>
        <w:keepLines w:val="0"/>
        <w:pageBreakBefore w:val="0"/>
        <w:widowControl w:val="0"/>
        <w:kinsoku/>
        <w:wordWrap/>
        <w:overflowPunct w:val="0"/>
        <w:topLinePunct w:val="0"/>
        <w:autoSpaceDE/>
        <w:autoSpaceDN/>
        <w:bidi w:val="0"/>
        <w:adjustRightInd/>
        <w:snapToGrid/>
        <w:spacing w:before="0" w:after="0" w:line="58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2025年，曲沃县坚持以习近平新时代中国特色社会主义思想为指导，全面贯彻党的二十大和二十届</w:t>
      </w:r>
      <w:r>
        <w:rPr>
          <w:rFonts w:hint="eastAsia" w:ascii="仿宋_GB2312" w:hAnsi="仿宋_GB2312" w:eastAsia="仿宋_GB2312" w:cs="仿宋_GB2312"/>
          <w:b w:val="0"/>
          <w:bCs w:val="0"/>
          <w:sz w:val="32"/>
          <w:szCs w:val="32"/>
          <w:lang w:eastAsia="zh-CN"/>
        </w:rPr>
        <w:t>历次</w:t>
      </w:r>
      <w:r>
        <w:rPr>
          <w:rFonts w:hint="eastAsia" w:ascii="仿宋_GB2312" w:hAnsi="仿宋_GB2312" w:eastAsia="仿宋_GB2312" w:cs="仿宋_GB2312"/>
          <w:b w:val="0"/>
          <w:bCs w:val="0"/>
          <w:sz w:val="32"/>
          <w:szCs w:val="32"/>
        </w:rPr>
        <w:t>全会精神，深入学习贯彻习近平法治思想、习近平总书记视察山西重要讲话重要指示精神，紧抓《法治政府建设实施纲要（2021-2025年）》收官契机，聚焦经济建设中心工作，积极有为护航改革发展，全面优化法治宣传教育，科学推进法治政府建设，</w:t>
      </w:r>
      <w:r>
        <w:rPr>
          <w:rFonts w:hint="eastAsia" w:ascii="仿宋_GB2312" w:hAnsi="仿宋_GB2312" w:eastAsia="仿宋_GB2312" w:cs="仿宋_GB2312"/>
          <w:b w:val="0"/>
          <w:bCs w:val="0"/>
          <w:spacing w:val="0"/>
          <w:kern w:val="0"/>
          <w:sz w:val="32"/>
          <w:szCs w:val="32"/>
          <w:lang w:val="en-US" w:eastAsia="zh-CN" w:bidi="ar"/>
        </w:rPr>
        <w:t>各项工作都取得了显著成绩。</w:t>
      </w:r>
      <w:r>
        <w:rPr>
          <w:rFonts w:hint="eastAsia" w:ascii="仿宋_GB2312" w:hAnsi="仿宋_GB2312" w:eastAsia="仿宋_GB2312" w:cs="仿宋_GB2312"/>
          <w:b w:val="0"/>
          <w:bCs w:val="0"/>
          <w:sz w:val="32"/>
          <w:szCs w:val="32"/>
        </w:rPr>
        <w:t>现将</w:t>
      </w:r>
      <w:r>
        <w:rPr>
          <w:rFonts w:hint="eastAsia" w:ascii="仿宋_GB2312" w:hAnsi="仿宋_GB2312" w:eastAsia="仿宋_GB2312" w:cs="仿宋_GB2312"/>
          <w:b w:val="0"/>
          <w:bCs w:val="0"/>
          <w:sz w:val="32"/>
          <w:szCs w:val="32"/>
          <w:lang w:eastAsia="zh-CN"/>
        </w:rPr>
        <w:t>有关</w:t>
      </w:r>
      <w:r>
        <w:rPr>
          <w:rFonts w:hint="eastAsia" w:ascii="仿宋_GB2312" w:hAnsi="仿宋_GB2312" w:eastAsia="仿宋_GB2312" w:cs="仿宋_GB2312"/>
          <w:b w:val="0"/>
          <w:bCs w:val="0"/>
          <w:sz w:val="32"/>
          <w:szCs w:val="32"/>
        </w:rPr>
        <w:t>情况报告如下：</w:t>
      </w:r>
    </w:p>
    <w:p w14:paraId="464ABB65">
      <w:pPr>
        <w:pStyle w:val="3"/>
        <w:keepNext w:val="0"/>
        <w:keepLines w:val="0"/>
        <w:pageBreakBefore w:val="0"/>
        <w:widowControl w:val="0"/>
        <w:kinsoku/>
        <w:wordWrap/>
        <w:overflowPunct w:val="0"/>
        <w:topLinePunct w:val="0"/>
        <w:autoSpaceDE/>
        <w:autoSpaceDN/>
        <w:bidi w:val="0"/>
        <w:adjustRightInd/>
        <w:snapToGrid/>
        <w:spacing w:before="0" w:after="0" w:line="580" w:lineRule="exact"/>
        <w:ind w:leftChars="0" w:firstLine="640" w:firstLineChars="200"/>
        <w:jc w:val="left"/>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rPr>
        <w:t>一、</w:t>
      </w:r>
      <w:r>
        <w:rPr>
          <w:rFonts w:hint="eastAsia" w:ascii="黑体" w:hAnsi="黑体" w:eastAsia="黑体" w:cs="黑体"/>
          <w:b w:val="0"/>
          <w:bCs w:val="0"/>
          <w:sz w:val="32"/>
          <w:szCs w:val="32"/>
          <w:lang w:eastAsia="zh-CN"/>
        </w:rPr>
        <w:t>凝心铸魂</w:t>
      </w:r>
      <w:r>
        <w:rPr>
          <w:rFonts w:hint="eastAsia" w:ascii="黑体" w:hAnsi="黑体" w:eastAsia="黑体" w:cs="黑体"/>
          <w:b w:val="0"/>
          <w:bCs w:val="0"/>
          <w:sz w:val="32"/>
          <w:szCs w:val="32"/>
        </w:rPr>
        <w:t>强引领</w:t>
      </w:r>
      <w:r>
        <w:rPr>
          <w:rFonts w:hint="eastAsia" w:ascii="黑体" w:hAnsi="黑体" w:eastAsia="黑体" w:cs="黑体"/>
          <w:b w:val="0"/>
          <w:bCs w:val="0"/>
          <w:sz w:val="32"/>
          <w:szCs w:val="32"/>
          <w:lang w:eastAsia="zh-CN"/>
        </w:rPr>
        <w:t>，把稳</w:t>
      </w:r>
      <w:r>
        <w:rPr>
          <w:rFonts w:hint="eastAsia" w:ascii="黑体" w:hAnsi="黑体" w:eastAsia="黑体" w:cs="黑体"/>
          <w:b w:val="0"/>
          <w:bCs w:val="0"/>
          <w:sz w:val="32"/>
          <w:szCs w:val="32"/>
        </w:rPr>
        <w:t>法治政府建设</w:t>
      </w:r>
      <w:r>
        <w:rPr>
          <w:rFonts w:hint="eastAsia" w:ascii="黑体" w:hAnsi="黑体" w:eastAsia="黑体" w:cs="黑体"/>
          <w:b w:val="0"/>
          <w:bCs w:val="0"/>
          <w:sz w:val="32"/>
          <w:szCs w:val="32"/>
          <w:lang w:eastAsia="zh-CN"/>
        </w:rPr>
        <w:t>“定盘星”</w:t>
      </w:r>
    </w:p>
    <w:p w14:paraId="4D6B8CC1">
      <w:pPr>
        <w:pStyle w:val="3"/>
        <w:keepNext w:val="0"/>
        <w:keepLines w:val="0"/>
        <w:pageBreakBefore w:val="0"/>
        <w:widowControl w:val="0"/>
        <w:numPr>
          <w:ilvl w:val="0"/>
          <w:numId w:val="0"/>
        </w:numPr>
        <w:kinsoku/>
        <w:wordWrap/>
        <w:overflowPunct w:val="0"/>
        <w:topLinePunct w:val="0"/>
        <w:autoSpaceDE/>
        <w:autoSpaceDN/>
        <w:bidi w:val="0"/>
        <w:adjustRightInd/>
        <w:snapToGrid/>
        <w:spacing w:before="0" w:after="0" w:line="580"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sz w:val="32"/>
          <w:szCs w:val="32"/>
          <w:lang w:eastAsia="zh-CN"/>
        </w:rPr>
        <w:t>（一）</w:t>
      </w:r>
      <w:r>
        <w:rPr>
          <w:rFonts w:hint="eastAsia" w:ascii="楷体_GB2312" w:hAnsi="楷体_GB2312" w:eastAsia="楷体_GB2312" w:cs="楷体_GB2312"/>
          <w:b w:val="0"/>
          <w:bCs w:val="0"/>
          <w:sz w:val="32"/>
          <w:szCs w:val="32"/>
        </w:rPr>
        <w:t>深化理论</w:t>
      </w:r>
      <w:r>
        <w:rPr>
          <w:rFonts w:hint="eastAsia" w:ascii="楷体_GB2312" w:hAnsi="楷体_GB2312" w:eastAsia="楷体_GB2312" w:cs="楷体_GB2312"/>
          <w:b w:val="0"/>
          <w:bCs w:val="0"/>
          <w:sz w:val="32"/>
          <w:szCs w:val="32"/>
          <w:lang w:eastAsia="zh-CN"/>
        </w:rPr>
        <w:t>武装</w:t>
      </w: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eastAsia="zh-CN"/>
        </w:rPr>
        <w:t>筑牢</w:t>
      </w:r>
      <w:r>
        <w:rPr>
          <w:rFonts w:hint="eastAsia" w:ascii="楷体_GB2312" w:hAnsi="楷体_GB2312" w:eastAsia="楷体_GB2312" w:cs="楷体_GB2312"/>
          <w:b w:val="0"/>
          <w:bCs w:val="0"/>
          <w:sz w:val="32"/>
          <w:szCs w:val="32"/>
        </w:rPr>
        <w:t>思想之</w:t>
      </w:r>
      <w:r>
        <w:rPr>
          <w:rFonts w:hint="eastAsia" w:ascii="楷体_GB2312" w:hAnsi="楷体_GB2312" w:eastAsia="楷体_GB2312" w:cs="楷体_GB2312"/>
          <w:b w:val="0"/>
          <w:bCs w:val="0"/>
          <w:sz w:val="32"/>
          <w:szCs w:val="32"/>
          <w:lang w:eastAsia="zh-CN"/>
        </w:rPr>
        <w:t>基</w:t>
      </w:r>
      <w:r>
        <w:rPr>
          <w:rFonts w:hint="eastAsia" w:ascii="楷体_GB2312" w:hAnsi="楷体_GB2312" w:eastAsia="楷体_GB2312" w:cs="楷体_GB2312"/>
          <w:b w:val="0"/>
          <w:bCs w:val="0"/>
          <w:sz w:val="32"/>
          <w:szCs w:val="32"/>
        </w:rPr>
        <w:t>。</w:t>
      </w:r>
      <w:r>
        <w:rPr>
          <w:rFonts w:hint="eastAsia" w:ascii="仿宋_GB2312" w:hAnsi="仿宋_GB2312" w:eastAsia="仿宋_GB2312" w:cs="仿宋_GB2312"/>
          <w:b w:val="0"/>
          <w:bCs w:val="0"/>
          <w:sz w:val="32"/>
          <w:szCs w:val="32"/>
          <w:lang w:eastAsia="zh-CN"/>
        </w:rPr>
        <w:t>以县</w:t>
      </w:r>
      <w:r>
        <w:rPr>
          <w:rFonts w:hint="eastAsia" w:ascii="仿宋_GB2312" w:hAnsi="仿宋_GB2312" w:eastAsia="仿宋_GB2312" w:cs="仿宋_GB2312"/>
          <w:b w:val="0"/>
          <w:bCs w:val="0"/>
          <w:sz w:val="32"/>
          <w:szCs w:val="32"/>
        </w:rPr>
        <w:t>委理论学习中心组示范作用</w:t>
      </w:r>
      <w:r>
        <w:rPr>
          <w:rFonts w:hint="eastAsia" w:ascii="仿宋_GB2312" w:hAnsi="仿宋_GB2312" w:eastAsia="仿宋_GB2312" w:cs="仿宋_GB2312"/>
          <w:b w:val="0"/>
          <w:bCs w:val="0"/>
          <w:sz w:val="32"/>
          <w:szCs w:val="32"/>
          <w:lang w:eastAsia="zh-CN"/>
        </w:rPr>
        <w:t>为引领，县政府党组</w:t>
      </w:r>
      <w:r>
        <w:rPr>
          <w:rFonts w:hint="eastAsia" w:ascii="仿宋_GB2312" w:hAnsi="仿宋_GB2312" w:eastAsia="仿宋_GB2312" w:cs="仿宋_GB2312"/>
          <w:b w:val="0"/>
          <w:bCs w:val="0"/>
          <w:sz w:val="32"/>
          <w:szCs w:val="32"/>
        </w:rPr>
        <w:t>认真落实“第一议题”</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会前学法</w:t>
      </w:r>
      <w:r>
        <w:rPr>
          <w:rFonts w:hint="eastAsia" w:ascii="仿宋_GB2312" w:hAnsi="仿宋_GB2312" w:eastAsia="仿宋_GB2312" w:cs="仿宋_GB2312"/>
          <w:b w:val="0"/>
          <w:bCs w:val="0"/>
          <w:sz w:val="32"/>
          <w:szCs w:val="32"/>
          <w:lang w:eastAsia="zh-CN"/>
        </w:rPr>
        <w:t>”等</w:t>
      </w:r>
      <w:r>
        <w:rPr>
          <w:rFonts w:hint="eastAsia" w:ascii="仿宋_GB2312" w:hAnsi="仿宋_GB2312" w:eastAsia="仿宋_GB2312" w:cs="仿宋_GB2312"/>
          <w:b w:val="0"/>
          <w:bCs w:val="0"/>
          <w:sz w:val="32"/>
          <w:szCs w:val="32"/>
        </w:rPr>
        <w:t>制度，围绕习近平法治思想定期开展集中学法、专题研讨</w:t>
      </w:r>
      <w:r>
        <w:rPr>
          <w:rFonts w:hint="eastAsia" w:ascii="仿宋_GB2312" w:hAnsi="仿宋_GB2312" w:eastAsia="仿宋_GB2312" w:cs="仿宋_GB2312"/>
          <w:b w:val="0"/>
          <w:bCs w:val="0"/>
          <w:sz w:val="32"/>
          <w:szCs w:val="32"/>
          <w:lang w:eastAsia="zh-CN"/>
        </w:rPr>
        <w:t>，并在第一时间传达学习了习近平总书记对全面依法治国工作的重要指示精神，</w:t>
      </w:r>
      <w:r>
        <w:rPr>
          <w:rFonts w:hint="eastAsia" w:ascii="仿宋_GB2312" w:hAnsi="仿宋_GB2312" w:eastAsia="仿宋_GB2312" w:cs="仿宋_GB2312"/>
          <w:b w:val="0"/>
          <w:bCs w:val="0"/>
          <w:sz w:val="32"/>
          <w:szCs w:val="32"/>
        </w:rPr>
        <w:t>带动</w:t>
      </w:r>
      <w:r>
        <w:rPr>
          <w:rFonts w:hint="eastAsia" w:ascii="仿宋_GB2312" w:hAnsi="仿宋_GB2312" w:eastAsia="仿宋_GB2312" w:cs="仿宋_GB2312"/>
          <w:b w:val="0"/>
          <w:bCs w:val="0"/>
          <w:sz w:val="32"/>
          <w:szCs w:val="32"/>
          <w:lang w:eastAsia="zh-CN"/>
        </w:rPr>
        <w:t>全县</w:t>
      </w:r>
      <w:r>
        <w:rPr>
          <w:rFonts w:hint="eastAsia" w:ascii="仿宋_GB2312" w:hAnsi="仿宋_GB2312" w:eastAsia="仿宋_GB2312" w:cs="仿宋_GB2312"/>
          <w:b w:val="0"/>
          <w:bCs w:val="0"/>
          <w:sz w:val="32"/>
          <w:szCs w:val="32"/>
        </w:rPr>
        <w:t>各级</w:t>
      </w:r>
      <w:r>
        <w:rPr>
          <w:rFonts w:hint="eastAsia" w:ascii="仿宋_GB2312" w:hAnsi="仿宋_GB2312" w:eastAsia="仿宋_GB2312" w:cs="仿宋_GB2312"/>
          <w:b w:val="0"/>
          <w:bCs w:val="0"/>
          <w:sz w:val="32"/>
          <w:szCs w:val="32"/>
          <w:lang w:eastAsia="zh-CN"/>
        </w:rPr>
        <w:t>党员干部</w:t>
      </w:r>
      <w:r>
        <w:rPr>
          <w:rFonts w:hint="eastAsia" w:ascii="仿宋_GB2312" w:hAnsi="仿宋_GB2312" w:eastAsia="仿宋_GB2312" w:cs="仿宋_GB2312"/>
          <w:b w:val="0"/>
          <w:bCs w:val="0"/>
          <w:sz w:val="32"/>
          <w:szCs w:val="32"/>
        </w:rPr>
        <w:t>在常学常新、学思践悟中夯实法治建设工作思想根基</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教育引导全县各级干部切实提升运用法治思维和法治方式深化改革、推动发展、化解矛盾、维护稳定、应对风险的能力</w:t>
      </w:r>
      <w:r>
        <w:rPr>
          <w:rFonts w:hint="eastAsia" w:ascii="仿宋_GB2312" w:hAnsi="仿宋_GB2312" w:eastAsia="仿宋_GB2312" w:cs="仿宋_GB2312"/>
          <w:b w:val="0"/>
          <w:bCs w:val="0"/>
          <w:sz w:val="32"/>
          <w:szCs w:val="32"/>
          <w:lang w:eastAsia="zh-CN"/>
        </w:rPr>
        <w:t>。</w:t>
      </w:r>
    </w:p>
    <w:p w14:paraId="20CED06F">
      <w:pPr>
        <w:pStyle w:val="3"/>
        <w:keepNext w:val="0"/>
        <w:keepLines w:val="0"/>
        <w:pageBreakBefore w:val="0"/>
        <w:widowControl w:val="0"/>
        <w:numPr>
          <w:ilvl w:val="0"/>
          <w:numId w:val="0"/>
        </w:numPr>
        <w:kinsoku/>
        <w:wordWrap/>
        <w:overflowPunct w:val="0"/>
        <w:topLinePunct w:val="0"/>
        <w:autoSpaceDE/>
        <w:autoSpaceDN/>
        <w:bidi w:val="0"/>
        <w:adjustRightInd/>
        <w:snapToGrid/>
        <w:spacing w:before="0" w:after="0" w:line="580" w:lineRule="exact"/>
        <w:ind w:leftChars="0" w:firstLine="640" w:firstLineChars="200"/>
        <w:jc w:val="both"/>
        <w:textAlignment w:val="auto"/>
        <w:rPr>
          <w:rFonts w:hint="eastAsia" w:ascii="仿宋_GB2312" w:hAnsi="仿宋_GB2312" w:eastAsia="仿宋_GB2312" w:cs="仿宋_GB2312"/>
          <w:b w:val="0"/>
          <w:bCs w:val="0"/>
          <w:sz w:val="32"/>
          <w:szCs w:val="32"/>
        </w:rPr>
      </w:pPr>
      <w:r>
        <w:rPr>
          <w:rFonts w:hint="eastAsia" w:ascii="楷体_GB2312" w:hAnsi="楷体_GB2312" w:eastAsia="楷体_GB2312" w:cs="楷体_GB2312"/>
          <w:b w:val="0"/>
          <w:bCs w:val="0"/>
          <w:sz w:val="32"/>
          <w:szCs w:val="32"/>
        </w:rPr>
        <w:t>（二）</w:t>
      </w:r>
      <w:r>
        <w:rPr>
          <w:rFonts w:hint="eastAsia" w:ascii="楷体_GB2312" w:hAnsi="楷体_GB2312" w:eastAsia="楷体_GB2312" w:cs="楷体_GB2312"/>
          <w:b w:val="0"/>
          <w:bCs w:val="0"/>
          <w:sz w:val="32"/>
          <w:szCs w:val="32"/>
          <w:lang w:eastAsia="zh-CN"/>
        </w:rPr>
        <w:t>瞄准高位部署</w:t>
      </w: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eastAsia="zh-CN"/>
        </w:rPr>
        <w:t>全面推进落实</w:t>
      </w:r>
      <w:r>
        <w:rPr>
          <w:rFonts w:hint="eastAsia" w:ascii="楷体_GB2312" w:hAnsi="楷体_GB2312" w:eastAsia="楷体_GB2312" w:cs="楷体_GB2312"/>
          <w:b w:val="0"/>
          <w:bCs w:val="0"/>
          <w:sz w:val="32"/>
          <w:szCs w:val="32"/>
        </w:rPr>
        <w:t>。</w:t>
      </w:r>
      <w:r>
        <w:rPr>
          <w:rFonts w:hint="eastAsia" w:ascii="仿宋_GB2312" w:hAnsi="仿宋_GB2312" w:eastAsia="仿宋_GB2312" w:cs="仿宋_GB2312"/>
          <w:b w:val="0"/>
          <w:bCs w:val="0"/>
          <w:sz w:val="32"/>
          <w:szCs w:val="32"/>
        </w:rPr>
        <w:t>县委、县政府带头扛起推进法治建设政治责任，全面落实法治建设“一规划两纲要”部署要求，自觉</w:t>
      </w:r>
      <w:r>
        <w:rPr>
          <w:rFonts w:hint="eastAsia" w:ascii="仿宋_GB2312" w:hAnsi="仿宋_GB2312" w:eastAsia="仿宋_GB2312" w:cs="仿宋_GB2312"/>
          <w:b w:val="0"/>
          <w:bCs w:val="0"/>
          <w:sz w:val="32"/>
          <w:szCs w:val="32"/>
          <w:lang w:eastAsia="zh-CN"/>
        </w:rPr>
        <w:t>做到</w:t>
      </w:r>
      <w:r>
        <w:rPr>
          <w:rFonts w:hint="eastAsia" w:ascii="仿宋_GB2312" w:hAnsi="仿宋_GB2312" w:eastAsia="仿宋_GB2312" w:cs="仿宋_GB2312"/>
          <w:b w:val="0"/>
          <w:bCs w:val="0"/>
          <w:sz w:val="32"/>
          <w:szCs w:val="32"/>
        </w:rPr>
        <w:t>“四个亲自”，将</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打造社会协同治理</w:t>
      </w:r>
      <w:r>
        <w:rPr>
          <w:rFonts w:hint="eastAsia" w:ascii="仿宋_GB2312" w:hAnsi="仿宋_GB2312" w:eastAsia="仿宋_GB2312" w:cs="仿宋_GB2312"/>
          <w:b w:val="0"/>
          <w:bCs w:val="0"/>
          <w:sz w:val="32"/>
          <w:szCs w:val="32"/>
          <w:lang w:eastAsia="zh-CN"/>
        </w:rPr>
        <w:t>品牌”</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聚焦规范涉企行政执法小切口</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破题优化法治化营商环境大文章</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列为县委书记、县长法治建设重点项目。</w:t>
      </w:r>
      <w:r>
        <w:rPr>
          <w:rFonts w:hint="eastAsia" w:ascii="仿宋_GB2312" w:hAnsi="仿宋_GB2312" w:eastAsia="仿宋_GB2312" w:cs="仿宋_GB2312"/>
          <w:b w:val="0"/>
          <w:bCs w:val="0"/>
          <w:sz w:val="32"/>
          <w:szCs w:val="32"/>
          <w:lang w:eastAsia="zh-CN"/>
        </w:rPr>
        <w:t>县</w:t>
      </w:r>
      <w:r>
        <w:rPr>
          <w:rFonts w:hint="eastAsia" w:ascii="仿宋_GB2312" w:hAnsi="仿宋_GB2312" w:eastAsia="仿宋_GB2312" w:cs="仿宋_GB2312"/>
          <w:b w:val="0"/>
          <w:bCs w:val="0"/>
          <w:sz w:val="32"/>
          <w:szCs w:val="32"/>
        </w:rPr>
        <w:t>委全面依</w:t>
      </w:r>
      <w:r>
        <w:rPr>
          <w:rFonts w:hint="eastAsia" w:ascii="仿宋_GB2312" w:hAnsi="仿宋_GB2312" w:eastAsia="仿宋_GB2312" w:cs="仿宋_GB2312"/>
          <w:b w:val="0"/>
          <w:bCs w:val="0"/>
          <w:sz w:val="32"/>
          <w:szCs w:val="32"/>
          <w:u w:val="none"/>
        </w:rPr>
        <w:t>法</w:t>
      </w:r>
      <w:r>
        <w:rPr>
          <w:rFonts w:hint="eastAsia" w:ascii="仿宋_GB2312" w:hAnsi="仿宋_GB2312" w:eastAsia="仿宋_GB2312" w:cs="仿宋_GB2312"/>
          <w:b w:val="0"/>
          <w:bCs w:val="0"/>
          <w:sz w:val="32"/>
          <w:szCs w:val="32"/>
          <w:lang w:val="en-US" w:eastAsia="zh-CN"/>
        </w:rPr>
        <w:t>治</w:t>
      </w:r>
      <w:r>
        <w:rPr>
          <w:rFonts w:hint="eastAsia" w:ascii="仿宋_GB2312" w:hAnsi="仿宋_GB2312" w:eastAsia="仿宋_GB2312" w:cs="仿宋_GB2312"/>
          <w:b w:val="0"/>
          <w:bCs w:val="0"/>
          <w:sz w:val="32"/>
          <w:szCs w:val="32"/>
          <w:lang w:eastAsia="zh-CN"/>
        </w:rPr>
        <w:t>县</w:t>
      </w:r>
      <w:r>
        <w:rPr>
          <w:rFonts w:hint="eastAsia" w:ascii="仿宋_GB2312" w:hAnsi="仿宋_GB2312" w:eastAsia="仿宋_GB2312" w:cs="仿宋_GB2312"/>
          <w:b w:val="0"/>
          <w:bCs w:val="0"/>
          <w:sz w:val="32"/>
          <w:szCs w:val="32"/>
        </w:rPr>
        <w:t>委员会会议</w:t>
      </w:r>
      <w:r>
        <w:rPr>
          <w:rFonts w:hint="eastAsia" w:ascii="仿宋_GB2312" w:hAnsi="仿宋_GB2312" w:eastAsia="仿宋_GB2312" w:cs="仿宋_GB2312"/>
          <w:b w:val="0"/>
          <w:bCs w:val="0"/>
          <w:sz w:val="32"/>
          <w:szCs w:val="32"/>
          <w:lang w:eastAsia="zh-CN"/>
        </w:rPr>
        <w:t>、县政府常务会议定期听取法治政府建设情况汇报，县政府</w:t>
      </w:r>
      <w:r>
        <w:rPr>
          <w:rFonts w:hint="eastAsia" w:ascii="仿宋_GB2312" w:hAnsi="仿宋_GB2312" w:eastAsia="仿宋_GB2312" w:cs="仿宋_GB2312"/>
          <w:b w:val="0"/>
          <w:bCs w:val="0"/>
          <w:sz w:val="32"/>
          <w:szCs w:val="32"/>
        </w:rPr>
        <w:t>召开法治政府建设推进会，传达学习贯彻全省法治政府建设推进会精神，研究解决重大问题</w:t>
      </w:r>
      <w:r>
        <w:rPr>
          <w:rFonts w:hint="eastAsia" w:ascii="仿宋_GB2312" w:hAnsi="仿宋_GB2312" w:eastAsia="仿宋_GB2312" w:cs="仿宋_GB2312"/>
          <w:b w:val="0"/>
          <w:bCs w:val="0"/>
          <w:sz w:val="32"/>
          <w:szCs w:val="32"/>
          <w:lang w:eastAsia="zh-CN"/>
        </w:rPr>
        <w:t>，对</w:t>
      </w:r>
      <w:r>
        <w:rPr>
          <w:rFonts w:hint="eastAsia" w:ascii="仿宋_GB2312" w:hAnsi="仿宋_GB2312" w:eastAsia="仿宋_GB2312" w:cs="仿宋_GB2312"/>
          <w:b w:val="0"/>
          <w:bCs w:val="0"/>
          <w:sz w:val="32"/>
          <w:szCs w:val="32"/>
        </w:rPr>
        <w:t>年度重点任务进行细化安排、督促落实。</w:t>
      </w:r>
    </w:p>
    <w:p w14:paraId="011E3DE3">
      <w:pPr>
        <w:keepNext w:val="0"/>
        <w:keepLines w:val="0"/>
        <w:pageBreakBefore w:val="0"/>
        <w:widowControl w:val="0"/>
        <w:kinsoku/>
        <w:wordWrap/>
        <w:overflowPunct w:val="0"/>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rPr>
        <w:t>（三）健全工作机制，</w:t>
      </w:r>
      <w:r>
        <w:rPr>
          <w:rFonts w:hint="eastAsia" w:ascii="楷体_GB2312" w:hAnsi="楷体_GB2312" w:eastAsia="楷体_GB2312" w:cs="楷体_GB2312"/>
          <w:b w:val="0"/>
          <w:bCs w:val="0"/>
          <w:sz w:val="32"/>
          <w:szCs w:val="32"/>
          <w:lang w:eastAsia="zh-CN"/>
        </w:rPr>
        <w:t>提振责任驱动</w:t>
      </w:r>
      <w:r>
        <w:rPr>
          <w:rFonts w:hint="eastAsia" w:ascii="楷体_GB2312" w:hAnsi="楷体_GB2312" w:eastAsia="楷体_GB2312" w:cs="楷体_GB2312"/>
          <w:b w:val="0"/>
          <w:bCs w:val="0"/>
          <w:sz w:val="32"/>
          <w:szCs w:val="32"/>
        </w:rPr>
        <w:t>。</w:t>
      </w:r>
      <w:r>
        <w:rPr>
          <w:rFonts w:hint="eastAsia" w:ascii="仿宋_GB2312" w:hAnsi="仿宋_GB2312" w:eastAsia="仿宋_GB2312" w:cs="仿宋_GB2312"/>
          <w:b w:val="0"/>
          <w:bCs w:val="0"/>
          <w:sz w:val="32"/>
          <w:szCs w:val="32"/>
          <w:lang w:eastAsia="zh-CN"/>
        </w:rPr>
        <w:t>落实</w:t>
      </w:r>
      <w:r>
        <w:rPr>
          <w:rFonts w:hint="eastAsia" w:ascii="仿宋_GB2312" w:hAnsi="仿宋_GB2312" w:eastAsia="仿宋_GB2312" w:cs="仿宋_GB2312"/>
          <w:b w:val="0"/>
          <w:bCs w:val="0"/>
          <w:sz w:val="32"/>
          <w:szCs w:val="32"/>
        </w:rPr>
        <w:t>法治政府建设年度报告制度</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开展党政主要负责同志年终述法，</w:t>
      </w:r>
      <w:r>
        <w:rPr>
          <w:rFonts w:hint="eastAsia" w:ascii="仿宋_GB2312" w:hAnsi="仿宋_GB2312" w:eastAsia="仿宋_GB2312" w:cs="仿宋_GB2312"/>
          <w:b w:val="0"/>
          <w:bCs w:val="0"/>
          <w:sz w:val="32"/>
          <w:szCs w:val="32"/>
          <w:lang w:eastAsia="zh-CN"/>
        </w:rPr>
        <w:t>进一步压紧压实</w:t>
      </w:r>
      <w:r>
        <w:rPr>
          <w:rFonts w:hint="eastAsia" w:ascii="仿宋_GB2312" w:hAnsi="仿宋_GB2312" w:eastAsia="仿宋_GB2312" w:cs="仿宋_GB2312"/>
          <w:b w:val="0"/>
          <w:bCs w:val="0"/>
          <w:sz w:val="32"/>
          <w:szCs w:val="32"/>
        </w:rPr>
        <w:t>法治政府建设主体责任。</w:t>
      </w:r>
      <w:r>
        <w:rPr>
          <w:rFonts w:hint="eastAsia" w:ascii="仿宋_GB2312" w:hAnsi="仿宋_GB2312" w:eastAsia="仿宋_GB2312" w:cs="仿宋_GB2312"/>
          <w:sz w:val="32"/>
          <w:szCs w:val="32"/>
        </w:rPr>
        <w:t>将法治建设成效纳入全县年度目标责任考核体系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法治建设工作年度督察、专项考核和专题述法实现</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个乡（</w:t>
      </w:r>
      <w:r>
        <w:rPr>
          <w:rFonts w:hint="eastAsia" w:ascii="仿宋_GB2312" w:hAnsi="仿宋_GB2312" w:eastAsia="仿宋_GB2312" w:cs="仿宋_GB2312"/>
          <w:sz w:val="32"/>
          <w:szCs w:val="32"/>
          <w:lang w:eastAsia="zh-CN"/>
        </w:rPr>
        <w:t>镇</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highlight w:val="none"/>
          <w:lang w:val="en-US" w:eastAsia="zh-CN"/>
        </w:rPr>
        <w:t>71</w:t>
      </w:r>
      <w:r>
        <w:rPr>
          <w:rFonts w:hint="eastAsia" w:ascii="仿宋_GB2312" w:hAnsi="仿宋_GB2312" w:eastAsia="仿宋_GB2312" w:cs="仿宋_GB2312"/>
          <w:sz w:val="32"/>
          <w:szCs w:val="32"/>
          <w:highlight w:val="none"/>
        </w:rPr>
        <w:t>个</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直部门全覆盖，以考核、督察、述法三个“硬约束”推动党政主要负责人履行推进法治建设责任。</w:t>
      </w:r>
    </w:p>
    <w:p w14:paraId="771C6914">
      <w:pPr>
        <w:pStyle w:val="13"/>
        <w:keepNext w:val="0"/>
        <w:keepLines w:val="0"/>
        <w:pageBreakBefore w:val="0"/>
        <w:widowControl w:val="0"/>
        <w:kinsoku/>
        <w:wordWrap/>
        <w:overflowPunct w:val="0"/>
        <w:topLinePunct w:val="0"/>
        <w:autoSpaceDE/>
        <w:autoSpaceDN/>
        <w:bidi w:val="0"/>
        <w:adjustRightInd/>
        <w:snapToGrid/>
        <w:spacing w:line="580" w:lineRule="exact"/>
        <w:ind w:leftChars="0"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二</w:t>
      </w:r>
      <w:r>
        <w:rPr>
          <w:rFonts w:hint="eastAsia" w:ascii="黑体" w:hAnsi="黑体" w:eastAsia="黑体" w:cs="黑体"/>
          <w:b w:val="0"/>
          <w:bCs w:val="0"/>
          <w:sz w:val="32"/>
          <w:szCs w:val="32"/>
        </w:rPr>
        <w:t>、</w:t>
      </w:r>
      <w:r>
        <w:rPr>
          <w:rFonts w:hint="eastAsia" w:ascii="黑体" w:hAnsi="黑体" w:eastAsia="黑体" w:cs="黑体"/>
          <w:b w:val="0"/>
          <w:bCs w:val="0"/>
          <w:sz w:val="32"/>
          <w:szCs w:val="32"/>
          <w:lang w:eastAsia="zh-CN"/>
        </w:rPr>
        <w:t>围绕发展强服务，找准</w:t>
      </w:r>
      <w:r>
        <w:rPr>
          <w:rFonts w:hint="eastAsia" w:ascii="黑体" w:hAnsi="黑体" w:eastAsia="黑体" w:cs="黑体"/>
          <w:b w:val="0"/>
          <w:bCs w:val="0"/>
          <w:sz w:val="32"/>
          <w:szCs w:val="32"/>
        </w:rPr>
        <w:t>优化营商环境</w:t>
      </w:r>
      <w:r>
        <w:rPr>
          <w:rFonts w:hint="eastAsia" w:ascii="黑体" w:hAnsi="黑体" w:eastAsia="黑体" w:cs="黑体"/>
          <w:b w:val="0"/>
          <w:bCs w:val="0"/>
          <w:sz w:val="32"/>
          <w:szCs w:val="32"/>
          <w:lang w:eastAsia="zh-CN"/>
        </w:rPr>
        <w:t>“主基调”</w:t>
      </w:r>
    </w:p>
    <w:p w14:paraId="2B5C7840">
      <w:pPr>
        <w:pStyle w:val="5"/>
        <w:keepNext w:val="0"/>
        <w:keepLines w:val="0"/>
        <w:pageBreakBefore w:val="0"/>
        <w:widowControl w:val="0"/>
        <w:kinsoku/>
        <w:wordWrap/>
        <w:overflowPunct w:val="0"/>
        <w:topLinePunct w:val="0"/>
        <w:autoSpaceDE/>
        <w:autoSpaceDN/>
        <w:bidi w:val="0"/>
        <w:adjustRightInd/>
        <w:snapToGrid/>
        <w:spacing w:before="0" w:after="0" w:line="580" w:lineRule="exact"/>
        <w:ind w:leftChars="0"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我们始终秉持“法治是最好的营商环境”理念，着力完善营商环境工作体系，一体推动营商环境建设</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以法治力量护航高质量发展。</w:t>
      </w:r>
    </w:p>
    <w:p w14:paraId="10E34334">
      <w:pPr>
        <w:pStyle w:val="5"/>
        <w:keepNext w:val="0"/>
        <w:keepLines w:val="0"/>
        <w:pageBreakBefore w:val="0"/>
        <w:widowControl w:val="0"/>
        <w:kinsoku/>
        <w:wordWrap/>
        <w:overflowPunct w:val="0"/>
        <w:topLinePunct w:val="0"/>
        <w:autoSpaceDE/>
        <w:autoSpaceDN/>
        <w:bidi w:val="0"/>
        <w:adjustRightInd/>
        <w:snapToGrid/>
        <w:spacing w:before="0" w:after="0" w:line="580" w:lineRule="exact"/>
        <w:ind w:lef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color w:val="auto"/>
          <w:sz w:val="32"/>
          <w:szCs w:val="32"/>
          <w:lang w:val="en-US" w:eastAsia="zh-CN" w:bidi="hi-IN"/>
        </w:rPr>
        <w:t>一是持续提升政务服务质效。</w:t>
      </w:r>
      <w:r>
        <w:rPr>
          <w:rFonts w:hint="eastAsia" w:ascii="仿宋_GB2312" w:hAnsi="仿宋_GB2312" w:eastAsia="仿宋_GB2312" w:cs="仿宋_GB2312"/>
          <w:b w:val="0"/>
          <w:bCs w:val="0"/>
          <w:sz w:val="32"/>
          <w:szCs w:val="32"/>
        </w:rPr>
        <w:t>我们致力于降低准入门槛、减少办理事项、缩短办理时间，实行行政许可事项清单管理，优化行政审批服务事项</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 xml:space="preserve"> 深化“高效办成一件事”“综合窗口”“一枚印章管审批”改革，184项常办审批事项中166项办理时限达到全国最短水平。充分发挥12345政务服务便民热线作用，诉求按期办结率100%，转办回复率、群众满意率均位居全市前列。</w:t>
      </w:r>
    </w:p>
    <w:p w14:paraId="0E9F8426">
      <w:pPr>
        <w:pStyle w:val="3"/>
        <w:keepNext w:val="0"/>
        <w:keepLines w:val="0"/>
        <w:pageBreakBefore w:val="0"/>
        <w:widowControl w:val="0"/>
        <w:numPr>
          <w:ilvl w:val="0"/>
          <w:numId w:val="0"/>
        </w:numPr>
        <w:kinsoku/>
        <w:wordWrap/>
        <w:overflowPunct w:val="0"/>
        <w:topLinePunct w:val="0"/>
        <w:autoSpaceDE/>
        <w:autoSpaceDN/>
        <w:bidi w:val="0"/>
        <w:adjustRightInd/>
        <w:snapToGrid/>
        <w:spacing w:before="0" w:after="0" w:line="580" w:lineRule="exact"/>
        <w:ind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bidi="hi-IN"/>
        </w:rPr>
      </w:pPr>
      <w:r>
        <w:rPr>
          <w:rFonts w:hint="eastAsia" w:ascii="楷体_GB2312" w:hAnsi="楷体_GB2312" w:eastAsia="楷体_GB2312" w:cs="楷体_GB2312"/>
          <w:b w:val="0"/>
          <w:bCs w:val="0"/>
          <w:sz w:val="32"/>
          <w:szCs w:val="32"/>
          <w:lang w:eastAsia="zh-CN"/>
        </w:rPr>
        <w:t>二是</w:t>
      </w:r>
      <w:r>
        <w:rPr>
          <w:rFonts w:hint="eastAsia" w:ascii="楷体_GB2312" w:hAnsi="楷体_GB2312" w:eastAsia="楷体_GB2312" w:cs="楷体_GB2312"/>
          <w:b w:val="0"/>
          <w:bCs w:val="0"/>
          <w:sz w:val="32"/>
          <w:szCs w:val="32"/>
        </w:rPr>
        <w:t>规范涉企行政执法行为。</w:t>
      </w:r>
      <w:r>
        <w:rPr>
          <w:rFonts w:hint="eastAsia" w:ascii="仿宋_GB2312" w:hAnsi="仿宋_GB2312" w:eastAsia="仿宋_GB2312" w:cs="仿宋_GB2312"/>
          <w:b w:val="0"/>
          <w:bCs w:val="0"/>
          <w:color w:val="auto"/>
          <w:sz w:val="32"/>
          <w:szCs w:val="32"/>
          <w:lang w:val="en-US" w:eastAsia="zh-CN" w:bidi="hi-IN"/>
        </w:rPr>
        <w:t>深入开展规范涉企行政执法专项行动，构建“县委领导、政府主导、司法统筹、部门协同”工作格局。各执法主体科学制定并公示年度行政检查计划清单249项，全县行政检查频次同比下降超30%。组织开展涉企行政执法案卷集中评查，通报典型问题45个。通过自查自纠、复议纠错等途径，整改各类不规范问题125个，纠正乱罚款、不文明执法等问题4个，为企业挽回经济损失156万元。</w:t>
      </w:r>
    </w:p>
    <w:p w14:paraId="60AFCEEE">
      <w:pPr>
        <w:pStyle w:val="5"/>
        <w:keepNext w:val="0"/>
        <w:keepLines w:val="0"/>
        <w:pageBreakBefore w:val="0"/>
        <w:widowControl w:val="0"/>
        <w:kinsoku/>
        <w:wordWrap/>
        <w:overflowPunct w:val="0"/>
        <w:topLinePunct w:val="0"/>
        <w:autoSpaceDE/>
        <w:autoSpaceDN/>
        <w:bidi w:val="0"/>
        <w:adjustRightInd/>
        <w:snapToGrid/>
        <w:spacing w:before="0" w:after="0" w:line="580" w:lineRule="exact"/>
        <w:ind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bidi="hi-IN"/>
        </w:rPr>
      </w:pPr>
      <w:r>
        <w:rPr>
          <w:rFonts w:hint="eastAsia" w:ascii="楷体_GB2312" w:hAnsi="楷体_GB2312" w:eastAsia="楷体_GB2312" w:cs="楷体_GB2312"/>
          <w:b w:val="0"/>
          <w:bCs w:val="0"/>
          <w:color w:val="auto"/>
          <w:sz w:val="32"/>
          <w:szCs w:val="32"/>
          <w:lang w:val="en-US" w:eastAsia="zh-CN" w:bidi="hi-IN"/>
        </w:rPr>
        <w:t>三是全面深化助企服务效能。</w:t>
      </w:r>
      <w:r>
        <w:rPr>
          <w:rFonts w:hint="eastAsia" w:ascii="仿宋_GB2312" w:hAnsi="仿宋_GB2312" w:eastAsia="仿宋_GB2312" w:cs="仿宋_GB2312"/>
          <w:b w:val="0"/>
          <w:bCs w:val="0"/>
          <w:color w:val="auto"/>
          <w:sz w:val="32"/>
          <w:szCs w:val="32"/>
          <w:lang w:val="en-US" w:eastAsia="zh-CN" w:bidi="hi-IN"/>
        </w:rPr>
        <w:t>积极创新服务方式、完善服务内容，培育有利于企业生长的环境。全面推行新设民营企业“法律托管”服务，组建专业志愿服务团队，为企业提供从设立到运营的“全周期”法律支持。依法打击侵害企业权益的各类违法犯罪活动，破获侵害企业刑事案件3起，为企业挽回损失100余万元。依托“昆仑”“净土”专项行动，严打环食药和知识产权领域违法犯罪，破获刑事案件8起、行政案件1起，有力维护了市场经济秩序的稳定。</w:t>
      </w:r>
    </w:p>
    <w:p w14:paraId="0A37F8AD">
      <w:pPr>
        <w:pStyle w:val="5"/>
        <w:keepNext w:val="0"/>
        <w:keepLines w:val="0"/>
        <w:pageBreakBefore w:val="0"/>
        <w:widowControl w:val="0"/>
        <w:kinsoku/>
        <w:wordWrap/>
        <w:overflowPunct w:val="0"/>
        <w:topLinePunct w:val="0"/>
        <w:autoSpaceDE/>
        <w:autoSpaceDN/>
        <w:bidi w:val="0"/>
        <w:adjustRightInd/>
        <w:snapToGrid/>
        <w:spacing w:before="0" w:after="0" w:line="580" w:lineRule="exact"/>
        <w:ind w:leftChars="0"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三、靶向施策固根本</w:t>
      </w:r>
      <w:r>
        <w:rPr>
          <w:rFonts w:hint="eastAsia" w:ascii="黑体" w:hAnsi="黑体" w:eastAsia="黑体" w:cs="黑体"/>
          <w:b w:val="0"/>
          <w:bCs w:val="0"/>
          <w:sz w:val="32"/>
          <w:szCs w:val="32"/>
          <w:lang w:val="en-US" w:eastAsia="zh-CN"/>
        </w:rPr>
        <w:t>，构建重点法治领域“新格局”</w:t>
      </w:r>
    </w:p>
    <w:p w14:paraId="5870CCA2">
      <w:pPr>
        <w:pStyle w:val="3"/>
        <w:keepNext w:val="0"/>
        <w:keepLines w:val="0"/>
        <w:pageBreakBefore w:val="0"/>
        <w:widowControl w:val="0"/>
        <w:kinsoku/>
        <w:wordWrap/>
        <w:overflowPunct w:val="0"/>
        <w:topLinePunct w:val="0"/>
        <w:autoSpaceDE/>
        <w:autoSpaceDN/>
        <w:bidi w:val="0"/>
        <w:adjustRightInd/>
        <w:snapToGrid/>
        <w:spacing w:before="0" w:after="0" w:line="580" w:lineRule="exact"/>
        <w:ind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bidi="hi-IN"/>
        </w:rPr>
      </w:pPr>
      <w:r>
        <w:rPr>
          <w:rFonts w:hint="eastAsia" w:ascii="楷体_GB2312" w:hAnsi="楷体_GB2312" w:eastAsia="楷体_GB2312" w:cs="楷体_GB2312"/>
          <w:b w:val="0"/>
          <w:bCs w:val="0"/>
          <w:sz w:val="32"/>
          <w:szCs w:val="32"/>
          <w:lang w:eastAsia="zh-CN"/>
        </w:rPr>
        <w:t>（一）</w:t>
      </w:r>
      <w:r>
        <w:rPr>
          <w:rFonts w:hint="eastAsia" w:ascii="楷体_GB2312" w:hAnsi="楷体_GB2312" w:eastAsia="楷体_GB2312" w:cs="楷体_GB2312"/>
          <w:b w:val="0"/>
          <w:bCs w:val="0"/>
          <w:sz w:val="32"/>
          <w:szCs w:val="32"/>
        </w:rPr>
        <w:t>严格依法行政，行政权力运行</w:t>
      </w:r>
      <w:r>
        <w:rPr>
          <w:rFonts w:hint="eastAsia" w:ascii="楷体_GB2312" w:hAnsi="楷体_GB2312" w:eastAsia="楷体_GB2312" w:cs="楷体_GB2312"/>
          <w:b w:val="0"/>
          <w:bCs w:val="0"/>
          <w:sz w:val="32"/>
          <w:szCs w:val="32"/>
          <w:lang w:eastAsia="zh-CN"/>
        </w:rPr>
        <w:t>机制更加规范。</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b/>
          <w:bCs/>
          <w:sz w:val="32"/>
          <w:szCs w:val="32"/>
        </w:rPr>
        <w:t>健全依法决策机制。</w:t>
      </w:r>
      <w:r>
        <w:rPr>
          <w:rFonts w:hint="eastAsia" w:ascii="仿宋_GB2312" w:hAnsi="仿宋_GB2312" w:eastAsia="仿宋_GB2312" w:cs="仿宋_GB2312"/>
          <w:b w:val="0"/>
          <w:bCs w:val="0"/>
          <w:color w:val="auto"/>
          <w:sz w:val="32"/>
          <w:szCs w:val="32"/>
          <w:lang w:val="en-US" w:eastAsia="zh-CN" w:bidi="hi-IN"/>
        </w:rPr>
        <w:t>全面落实党政机关法律顾问制度，实现县委县政府、各乡镇、县直单位及人民团体等64家单位法律顾问全覆盖。2025年，法律顾问参与行政诉讼案件38件，出具各类法律意见书188份，为重大决策提供了有力法律支撑。</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b/>
          <w:bCs/>
          <w:sz w:val="32"/>
          <w:szCs w:val="32"/>
        </w:rPr>
        <w:t>严把合法性审查关口。</w:t>
      </w:r>
      <w:r>
        <w:rPr>
          <w:rFonts w:hint="eastAsia" w:ascii="仿宋_GB2312" w:hAnsi="仿宋_GB2312" w:eastAsia="仿宋_GB2312" w:cs="仿宋_GB2312"/>
          <w:b w:val="0"/>
          <w:bCs w:val="0"/>
          <w:color w:val="auto"/>
          <w:sz w:val="32"/>
          <w:szCs w:val="32"/>
          <w:lang w:val="en-US" w:eastAsia="zh-CN" w:bidi="hi-IN"/>
        </w:rPr>
        <w:t>坚持重大行政决策、行政规范性文件合法性审查前置程序，严格行政规范性文件合法性审查，强化行政规范性文件专项清理，确保法制统一和政令畅通。一年来，我县对55件政府重大决策事项进行了法律论证；废止、宣布失效与上位法及改革发展要求不符的文件23件；审查新制定文件6件。</w:t>
      </w:r>
      <w:r>
        <w:rPr>
          <w:rFonts w:hint="eastAsia" w:ascii="仿宋_GB2312" w:hAnsi="仿宋_GB2312" w:eastAsia="仿宋_GB2312" w:cs="仿宋_GB2312"/>
          <w:b/>
          <w:bCs/>
          <w:sz w:val="32"/>
          <w:szCs w:val="32"/>
          <w:lang w:eastAsia="zh-CN"/>
        </w:rPr>
        <w:t>三是</w:t>
      </w:r>
      <w:r>
        <w:rPr>
          <w:rFonts w:hint="eastAsia" w:ascii="仿宋_GB2312" w:hAnsi="仿宋_GB2312" w:eastAsia="仿宋_GB2312" w:cs="仿宋_GB2312"/>
          <w:b/>
          <w:bCs/>
          <w:sz w:val="32"/>
          <w:szCs w:val="32"/>
        </w:rPr>
        <w:t>强化全方位权力监督。</w:t>
      </w:r>
      <w:r>
        <w:rPr>
          <w:rFonts w:hint="eastAsia" w:ascii="仿宋_GB2312" w:hAnsi="仿宋_GB2312" w:eastAsia="仿宋_GB2312" w:cs="仿宋_GB2312"/>
          <w:b w:val="0"/>
          <w:bCs w:val="0"/>
          <w:sz w:val="32"/>
          <w:szCs w:val="32"/>
        </w:rPr>
        <w:t>自觉接受人大法律监督、政协民主监督和社会舆论监督，</w:t>
      </w:r>
      <w:r>
        <w:rPr>
          <w:rFonts w:hint="eastAsia" w:ascii="仿宋_GB2312" w:hAnsi="仿宋_GB2312" w:eastAsia="仿宋_GB2312" w:cs="仿宋_GB2312"/>
          <w:b w:val="0"/>
          <w:bCs w:val="0"/>
          <w:color w:val="auto"/>
          <w:sz w:val="32"/>
          <w:szCs w:val="32"/>
          <w:lang w:val="en-US" w:eastAsia="zh-CN" w:bidi="hi-IN"/>
        </w:rPr>
        <w:t>高质量办复人大代表建议47件、政协委员提案87件，办复率100%。充分发挥行政复议化解行政争议主渠道作用，年内收到行政复议申请102件，受理82件，办理行政应诉案件32件，有力促进了行政权力规范运行。</w:t>
      </w:r>
    </w:p>
    <w:p w14:paraId="70F556E2">
      <w:pPr>
        <w:pStyle w:val="3"/>
        <w:keepNext w:val="0"/>
        <w:keepLines w:val="0"/>
        <w:pageBreakBefore w:val="0"/>
        <w:widowControl w:val="0"/>
        <w:numPr>
          <w:ilvl w:val="0"/>
          <w:numId w:val="0"/>
        </w:numPr>
        <w:kinsoku/>
        <w:wordWrap/>
        <w:overflowPunct w:val="0"/>
        <w:topLinePunct w:val="0"/>
        <w:autoSpaceDE/>
        <w:autoSpaceDN/>
        <w:bidi w:val="0"/>
        <w:adjustRightInd/>
        <w:snapToGrid/>
        <w:spacing w:before="0" w:after="0" w:line="580" w:lineRule="exact"/>
        <w:ind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bidi="hi-IN"/>
        </w:rPr>
      </w:pPr>
      <w:r>
        <w:rPr>
          <w:rFonts w:hint="eastAsia" w:ascii="楷体_GB2312" w:hAnsi="楷体_GB2312" w:eastAsia="楷体_GB2312" w:cs="楷体_GB2312"/>
          <w:b w:val="0"/>
          <w:bCs w:val="0"/>
          <w:sz w:val="32"/>
          <w:szCs w:val="32"/>
          <w:lang w:eastAsia="zh-CN"/>
        </w:rPr>
        <w:t>（二）</w:t>
      </w:r>
      <w:r>
        <w:rPr>
          <w:rFonts w:hint="eastAsia" w:ascii="楷体_GB2312" w:hAnsi="楷体_GB2312" w:eastAsia="楷体_GB2312" w:cs="楷体_GB2312"/>
          <w:b w:val="0"/>
          <w:bCs w:val="0"/>
          <w:sz w:val="32"/>
          <w:szCs w:val="32"/>
        </w:rPr>
        <w:t>化解社会矛盾，基层依法治理能力稳步增强</w:t>
      </w:r>
      <w:r>
        <w:rPr>
          <w:rFonts w:hint="eastAsia" w:ascii="楷体_GB2312" w:hAnsi="楷体_GB2312" w:eastAsia="楷体_GB2312" w:cs="楷体_GB2312"/>
          <w:b w:val="0"/>
          <w:bCs w:val="0"/>
          <w:sz w:val="32"/>
          <w:szCs w:val="32"/>
          <w:lang w:eastAsia="zh-CN"/>
        </w:rPr>
        <w:t>。</w:t>
      </w:r>
      <w:r>
        <w:rPr>
          <w:rFonts w:hint="eastAsia" w:ascii="仿宋_GB2312" w:hAnsi="仿宋_GB2312" w:eastAsia="仿宋_GB2312" w:cs="仿宋_GB2312"/>
          <w:b w:val="0"/>
          <w:bCs w:val="0"/>
          <w:color w:val="auto"/>
          <w:sz w:val="32"/>
          <w:szCs w:val="32"/>
          <w:lang w:val="en-US" w:eastAsia="zh-CN" w:bidi="hi-IN"/>
        </w:rPr>
        <w:t>围绕当前社会治理工作在社会矛盾排查化解、基层综治中心实体化运行等方面存在的难点痛点堵点问题，努力在资源力量、体制机制、方式手段等方面进行探索创新，破解难题，补齐短板，全面提升我县社会治理法治化水平。</w:t>
      </w:r>
      <w:r>
        <w:rPr>
          <w:rFonts w:hint="eastAsia" w:ascii="仿宋_GB2312" w:hAnsi="仿宋_GB2312" w:eastAsia="仿宋_GB2312" w:cs="仿宋_GB2312"/>
          <w:b/>
          <w:bCs/>
          <w:color w:val="auto"/>
          <w:sz w:val="32"/>
          <w:szCs w:val="32"/>
          <w:lang w:val="en-US" w:eastAsia="zh-CN" w:bidi="hi-IN"/>
        </w:rPr>
        <w:t>一方面，全面升级综治中心窗口建设。</w:t>
      </w:r>
      <w:r>
        <w:rPr>
          <w:rFonts w:hint="eastAsia" w:ascii="仿宋_GB2312" w:hAnsi="仿宋_GB2312" w:eastAsia="仿宋_GB2312" w:cs="仿宋_GB2312"/>
          <w:b w:val="0"/>
          <w:bCs w:val="0"/>
          <w:color w:val="auto"/>
          <w:sz w:val="32"/>
          <w:szCs w:val="32"/>
          <w:lang w:val="en-US" w:eastAsia="zh-CN" w:bidi="hi-IN"/>
        </w:rPr>
        <w:t>按照“多中心合一、一中心多用”原则，升级改造县综治中心，集成司法行政、诉讼服务、信访接待、警情调解、法律监督等功能窗口，嵌入法律援助、公证、行政复议、劳动仲裁等服务模块，配套专业调解室、心理咨询室，打造“一站式”矛盾纠纷调处平台。推动法院、检察、公安、司法、信访、人社等部门力量常驻，妇联、住建、市场监管等单位轮驻，依托公共法律服务体系提供全天候服务，实现了综治中心统筹协调、职能部门具体办理、社会力量参与协同的综治格局。</w:t>
      </w:r>
      <w:r>
        <w:rPr>
          <w:rFonts w:hint="eastAsia" w:ascii="仿宋_GB2312" w:hAnsi="仿宋_GB2312" w:eastAsia="仿宋_GB2312" w:cs="仿宋_GB2312"/>
          <w:b/>
          <w:bCs/>
          <w:color w:val="auto"/>
          <w:sz w:val="32"/>
          <w:szCs w:val="32"/>
          <w:lang w:val="en-US" w:eastAsia="zh-CN" w:bidi="hi-IN"/>
        </w:rPr>
        <w:t>另一方面，健全完善社会治理综合体系。</w:t>
      </w:r>
      <w:r>
        <w:rPr>
          <w:rFonts w:hint="eastAsia" w:ascii="仿宋_GB2312" w:hAnsi="仿宋_GB2312" w:eastAsia="仿宋_GB2312" w:cs="仿宋_GB2312"/>
          <w:b w:val="0"/>
          <w:bCs w:val="0"/>
          <w:color w:val="auto"/>
          <w:sz w:val="32"/>
          <w:szCs w:val="32"/>
          <w:lang w:val="en-US" w:eastAsia="zh-CN" w:bidi="hi-IN"/>
        </w:rPr>
        <w:t>建立健全矛盾纠纷排查、风险防控、岗位管理等制度体系，持续推动资源和力量整合，逐步健全多元化纠纷解决机制，最大限度将矛盾风险化解在萌芽、解决在基层。坚持和发展新时代“枫桥经验”，深入开展“化解矛盾风险、维护社会稳定”专项治理，公共安全治理模式向事前预防转型。常态化推进扫黑除恶，严厉打击黄赌毒、电信网络诈骗等违法犯罪活动，群众安全感更加充实。</w:t>
      </w:r>
    </w:p>
    <w:p w14:paraId="7A9D5187">
      <w:pPr>
        <w:keepNext w:val="0"/>
        <w:keepLines w:val="0"/>
        <w:pageBreakBefore w:val="0"/>
        <w:widowControl w:val="0"/>
        <w:numPr>
          <w:ilvl w:val="0"/>
          <w:numId w:val="0"/>
        </w:numPr>
        <w:kinsoku/>
        <w:wordWrap/>
        <w:overflowPunct w:val="0"/>
        <w:topLinePunct w:val="0"/>
        <w:autoSpaceDE/>
        <w:autoSpaceDN/>
        <w:bidi w:val="0"/>
        <w:adjustRightInd/>
        <w:snapToGrid/>
        <w:spacing w:line="580" w:lineRule="exact"/>
        <w:ind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bidi="hi-IN"/>
        </w:rPr>
      </w:pPr>
      <w:r>
        <w:rPr>
          <w:rFonts w:hint="eastAsia" w:ascii="楷体_GB2312" w:hAnsi="楷体_GB2312" w:eastAsia="楷体_GB2312" w:cs="楷体_GB2312"/>
          <w:b w:val="0"/>
          <w:bCs w:val="0"/>
          <w:color w:val="auto"/>
          <w:sz w:val="32"/>
          <w:szCs w:val="32"/>
          <w:lang w:val="en-US" w:eastAsia="zh-CN" w:bidi="hi-IN"/>
        </w:rPr>
        <w:t>（三）深化法律服务，人民群众获得感持续增强。</w:t>
      </w:r>
      <w:r>
        <w:rPr>
          <w:rFonts w:hint="eastAsia" w:ascii="仿宋_GB2312" w:hAnsi="仿宋_GB2312" w:eastAsia="仿宋_GB2312" w:cs="仿宋_GB2312"/>
          <w:b/>
          <w:bCs/>
          <w:color w:val="auto"/>
          <w:sz w:val="32"/>
          <w:szCs w:val="32"/>
          <w:lang w:val="en-US" w:eastAsia="zh-CN" w:bidi="hi-IN"/>
        </w:rPr>
        <w:t>一方面，</w:t>
      </w:r>
      <w:r>
        <w:rPr>
          <w:rFonts w:hint="eastAsia" w:ascii="仿宋_GB2312" w:hAnsi="仿宋_GB2312" w:eastAsia="仿宋_GB2312" w:cs="仿宋_GB2312"/>
          <w:b w:val="0"/>
          <w:bCs w:val="0"/>
          <w:color w:val="auto"/>
          <w:sz w:val="32"/>
          <w:szCs w:val="32"/>
          <w:lang w:val="en-US" w:eastAsia="zh-CN" w:bidi="hi-IN"/>
        </w:rPr>
        <w:t>紧扣“八五”普法收官契机，推动普法工作提质增效。创新普法宣传形式载体，精心制作《镖局风云》《校园纠纷中的权益维护》《小红帽》等系列普法短视频，开展普法直播，提升普法吸引力。落实“谁执法谁普法”责任制，组织各单位开展主题宣传活动300余场。聚集青少年法治教育，积极开展“法护春苗”专题行动，组织相关单位召开座谈会进行专题研讨，并印发实施方案，压实主体责任，明确部门职责。组织法治副校长常态化开展“送法进校园”活动，制作《法护春苗》系列短视频，不断提升青少年法治意识和自护能力。</w:t>
      </w:r>
      <w:r>
        <w:rPr>
          <w:rFonts w:hint="eastAsia" w:ascii="仿宋_GB2312" w:hAnsi="仿宋_GB2312" w:eastAsia="仿宋_GB2312" w:cs="仿宋_GB2312"/>
          <w:b/>
          <w:bCs/>
          <w:color w:val="auto"/>
          <w:sz w:val="32"/>
          <w:szCs w:val="32"/>
          <w:lang w:val="en-US" w:eastAsia="zh-CN" w:bidi="hi-IN"/>
        </w:rPr>
        <w:t>另一方面，</w:t>
      </w:r>
      <w:r>
        <w:rPr>
          <w:rFonts w:hint="eastAsia" w:ascii="仿宋_GB2312" w:hAnsi="仿宋_GB2312" w:eastAsia="仿宋_GB2312" w:cs="仿宋_GB2312"/>
          <w:b w:val="0"/>
          <w:bCs w:val="0"/>
          <w:color w:val="auto"/>
          <w:sz w:val="32"/>
          <w:szCs w:val="32"/>
          <w:lang w:val="en-US" w:eastAsia="zh-CN" w:bidi="hi-IN"/>
        </w:rPr>
        <w:t>围绕便民利民，持续推动公共法律服务提质扩容。持续开展“免费法律咨询和特殊群体法律援助惠民工程”,推动实施法律援助“县域通办”，实现县域半小时公共法律服务站点全覆盖。全年，共解答免费法律咨询2185人次，完成市定全年任务量的115%，满意率达100%，办理各类法律援助案件128件、法律帮助221件。</w:t>
      </w:r>
    </w:p>
    <w:p w14:paraId="7C0DCC60">
      <w:pPr>
        <w:pStyle w:val="5"/>
        <w:keepNext w:val="0"/>
        <w:keepLines w:val="0"/>
        <w:pageBreakBefore w:val="0"/>
        <w:widowControl w:val="0"/>
        <w:kinsoku/>
        <w:wordWrap/>
        <w:overflowPunct w:val="0"/>
        <w:topLinePunct w:val="0"/>
        <w:autoSpaceDE/>
        <w:autoSpaceDN/>
        <w:bidi w:val="0"/>
        <w:adjustRightInd/>
        <w:snapToGrid/>
        <w:spacing w:before="0" w:after="0" w:line="580" w:lineRule="exact"/>
        <w:ind w:leftChars="0" w:firstLine="640" w:firstLineChars="200"/>
        <w:jc w:val="both"/>
        <w:textAlignment w:val="auto"/>
        <w:rPr>
          <w:rFonts w:hint="default" w:ascii="仿宋_GB2312" w:hAnsi="仿宋_GB2312" w:eastAsia="仿宋_GB2312" w:cs="仿宋_GB2312"/>
          <w:color w:val="auto"/>
          <w:sz w:val="32"/>
          <w:szCs w:val="32"/>
          <w:lang w:val="en-US" w:eastAsia="zh-CN" w:bidi="hi-IN"/>
        </w:rPr>
      </w:pPr>
      <w:r>
        <w:rPr>
          <w:rFonts w:hint="eastAsia" w:ascii="黑体" w:hAnsi="黑体" w:eastAsia="黑体" w:cs="黑体"/>
          <w:color w:val="auto"/>
          <w:sz w:val="32"/>
          <w:szCs w:val="32"/>
          <w:lang w:val="en-US" w:eastAsia="zh-CN" w:bidi="hi-IN"/>
        </w:rPr>
        <w:t>四、存在问题及下一步工作打算</w:t>
      </w:r>
    </w:p>
    <w:p w14:paraId="5715954E">
      <w:pPr>
        <w:pStyle w:val="13"/>
        <w:keepNext w:val="0"/>
        <w:keepLines w:val="0"/>
        <w:pageBreakBefore w:val="0"/>
        <w:widowControl w:val="0"/>
        <w:kinsoku/>
        <w:wordWrap/>
        <w:overflowPunct w:val="0"/>
        <w:topLinePunct w:val="0"/>
        <w:autoSpaceDE/>
        <w:autoSpaceDN/>
        <w:bidi w:val="0"/>
        <w:adjustRightInd/>
        <w:snapToGrid/>
        <w:spacing w:line="580" w:lineRule="exact"/>
        <w:ind w:leftChars="0" w:firstLine="640" w:firstLineChars="200"/>
        <w:jc w:val="both"/>
        <w:textAlignment w:val="auto"/>
        <w:rPr>
          <w:rFonts w:hint="default" w:ascii="仿宋_GB2312" w:hAnsi="仿宋_GB2312" w:eastAsia="仿宋_GB2312" w:cs="仿宋_GB2312"/>
          <w:b w:val="0"/>
          <w:bCs w:val="0"/>
          <w:color w:val="auto"/>
          <w:sz w:val="32"/>
          <w:szCs w:val="32"/>
          <w:lang w:val="en-US" w:eastAsia="zh-CN" w:bidi="hi-IN"/>
        </w:rPr>
      </w:pPr>
      <w:r>
        <w:rPr>
          <w:rFonts w:hint="default" w:ascii="仿宋_GB2312" w:hAnsi="仿宋_GB2312" w:eastAsia="仿宋_GB2312" w:cs="仿宋_GB2312"/>
          <w:b w:val="0"/>
          <w:bCs w:val="0"/>
          <w:color w:val="auto"/>
          <w:sz w:val="32"/>
          <w:szCs w:val="32"/>
          <w:lang w:val="en-US" w:eastAsia="zh-CN" w:bidi="hi-IN"/>
        </w:rPr>
        <w:t>过去一年，我县法治政府建设虽取得阶段性进展，</w:t>
      </w:r>
      <w:r>
        <w:rPr>
          <w:rFonts w:hint="eastAsia" w:ascii="仿宋_GB2312" w:hAnsi="仿宋_GB2312" w:eastAsia="仿宋_GB2312" w:cs="仿宋_GB2312"/>
          <w:b w:val="0"/>
          <w:bCs w:val="0"/>
          <w:color w:val="auto"/>
          <w:sz w:val="32"/>
          <w:szCs w:val="32"/>
          <w:lang w:val="en-US" w:eastAsia="zh-CN" w:bidi="hi-IN"/>
        </w:rPr>
        <w:t>但</w:t>
      </w:r>
      <w:r>
        <w:rPr>
          <w:rFonts w:hint="default" w:ascii="仿宋_GB2312" w:hAnsi="仿宋_GB2312" w:eastAsia="仿宋_GB2312" w:cs="仿宋_GB2312"/>
          <w:b w:val="0"/>
          <w:bCs w:val="0"/>
          <w:color w:val="auto"/>
          <w:sz w:val="32"/>
          <w:szCs w:val="32"/>
          <w:lang w:val="en-US" w:eastAsia="zh-CN" w:bidi="hi-IN"/>
        </w:rPr>
        <w:t>仍存在</w:t>
      </w:r>
      <w:r>
        <w:rPr>
          <w:rFonts w:hint="eastAsia" w:ascii="仿宋_GB2312" w:hAnsi="仿宋_GB2312" w:eastAsia="仿宋_GB2312" w:cs="仿宋_GB2312"/>
          <w:b w:val="0"/>
          <w:bCs w:val="0"/>
          <w:color w:val="auto"/>
          <w:sz w:val="32"/>
          <w:szCs w:val="32"/>
          <w:lang w:val="en-US" w:eastAsia="zh-CN" w:bidi="hi-IN"/>
        </w:rPr>
        <w:t>一些问题，比如</w:t>
      </w:r>
      <w:r>
        <w:rPr>
          <w:rFonts w:hint="default" w:ascii="仿宋_GB2312" w:hAnsi="仿宋_GB2312" w:eastAsia="仿宋_GB2312" w:cs="仿宋_GB2312"/>
          <w:b w:val="0"/>
          <w:bCs w:val="0"/>
          <w:color w:val="auto"/>
          <w:sz w:val="32"/>
          <w:szCs w:val="32"/>
          <w:lang w:val="en-US" w:eastAsia="zh-CN" w:bidi="hi-IN"/>
        </w:rPr>
        <w:t>部分干部法治思维有待深化、基层执法规范化水平需持续提升、普法宣传精准性实效性有待加强等。</w:t>
      </w:r>
    </w:p>
    <w:p w14:paraId="2A863477">
      <w:pPr>
        <w:pStyle w:val="13"/>
        <w:keepNext w:val="0"/>
        <w:keepLines w:val="0"/>
        <w:pageBreakBefore w:val="0"/>
        <w:widowControl w:val="0"/>
        <w:kinsoku/>
        <w:wordWrap/>
        <w:overflowPunct w:val="0"/>
        <w:topLinePunct w:val="0"/>
        <w:autoSpaceDE/>
        <w:autoSpaceDN/>
        <w:bidi w:val="0"/>
        <w:adjustRightInd/>
        <w:snapToGrid/>
        <w:spacing w:line="580" w:lineRule="exact"/>
        <w:ind w:leftChars="0" w:firstLine="640" w:firstLineChars="200"/>
        <w:jc w:val="both"/>
        <w:textAlignment w:val="auto"/>
        <w:rPr>
          <w:rFonts w:hint="default" w:ascii="仿宋_GB2312" w:hAnsi="仿宋_GB2312" w:eastAsia="仿宋_GB2312" w:cs="仿宋_GB2312"/>
          <w:b w:val="0"/>
          <w:bCs w:val="0"/>
          <w:color w:val="auto"/>
          <w:sz w:val="32"/>
          <w:szCs w:val="32"/>
          <w:lang w:val="en-US" w:eastAsia="zh-CN" w:bidi="hi-IN"/>
        </w:rPr>
      </w:pPr>
      <w:r>
        <w:rPr>
          <w:rFonts w:hint="default" w:ascii="仿宋_GB2312" w:hAnsi="仿宋_GB2312" w:eastAsia="仿宋_GB2312" w:cs="仿宋_GB2312"/>
          <w:b w:val="0"/>
          <w:bCs w:val="0"/>
          <w:color w:val="auto"/>
          <w:sz w:val="32"/>
          <w:szCs w:val="32"/>
          <w:lang w:val="en-US" w:eastAsia="zh-CN" w:bidi="hi-IN"/>
        </w:rPr>
        <w:t>下一步，曲沃县将坚持问题导向、目标导向、结果导向，重点在以下方面持续发力：</w:t>
      </w:r>
    </w:p>
    <w:p w14:paraId="496514E1">
      <w:pPr>
        <w:pStyle w:val="13"/>
        <w:keepNext w:val="0"/>
        <w:keepLines w:val="0"/>
        <w:pageBreakBefore w:val="0"/>
        <w:widowControl w:val="0"/>
        <w:kinsoku/>
        <w:wordWrap/>
        <w:overflowPunct w:val="0"/>
        <w:topLinePunct w:val="0"/>
        <w:autoSpaceDE/>
        <w:autoSpaceDN/>
        <w:bidi w:val="0"/>
        <w:adjustRightInd/>
        <w:snapToGrid/>
        <w:spacing w:line="580" w:lineRule="exact"/>
        <w:ind w:leftChars="0" w:firstLine="640" w:firstLineChars="200"/>
        <w:jc w:val="both"/>
        <w:textAlignment w:val="auto"/>
        <w:rPr>
          <w:rFonts w:hint="default" w:ascii="仿宋_GB2312" w:hAnsi="仿宋_GB2312" w:eastAsia="仿宋_GB2312" w:cs="仿宋_GB2312"/>
          <w:b w:val="0"/>
          <w:bCs w:val="0"/>
          <w:color w:val="auto"/>
          <w:sz w:val="32"/>
          <w:szCs w:val="32"/>
          <w:lang w:val="en-US" w:eastAsia="zh-CN" w:bidi="hi-IN"/>
        </w:rPr>
      </w:pPr>
      <w:r>
        <w:rPr>
          <w:rFonts w:hint="eastAsia" w:ascii="楷体_GB2312" w:hAnsi="楷体_GB2312" w:eastAsia="楷体_GB2312" w:cs="楷体_GB2312"/>
          <w:b w:val="0"/>
          <w:bCs w:val="0"/>
          <w:color w:val="auto"/>
          <w:sz w:val="32"/>
          <w:szCs w:val="32"/>
          <w:lang w:val="en-US" w:eastAsia="zh-CN" w:bidi="hi-IN"/>
        </w:rPr>
        <w:t>一是持续深化习近平法治思想学习贯彻。</w:t>
      </w:r>
      <w:r>
        <w:rPr>
          <w:rFonts w:hint="default" w:ascii="仿宋_GB2312" w:hAnsi="仿宋_GB2312" w:eastAsia="仿宋_GB2312" w:cs="仿宋_GB2312"/>
          <w:b w:val="0"/>
          <w:bCs w:val="0"/>
          <w:color w:val="auto"/>
          <w:sz w:val="32"/>
          <w:szCs w:val="32"/>
          <w:lang w:val="en-US" w:eastAsia="zh-CN" w:bidi="hi-IN"/>
        </w:rPr>
        <w:t>将学习贯彻习近平总书记对全面依法治国工作</w:t>
      </w:r>
      <w:r>
        <w:rPr>
          <w:rFonts w:hint="eastAsia" w:ascii="仿宋_GB2312" w:hAnsi="仿宋_GB2312" w:eastAsia="仿宋_GB2312" w:cs="仿宋_GB2312"/>
          <w:b w:val="0"/>
          <w:bCs w:val="0"/>
          <w:color w:val="auto"/>
          <w:sz w:val="32"/>
          <w:szCs w:val="32"/>
          <w:lang w:val="en-US" w:eastAsia="zh-CN" w:bidi="hi-IN"/>
        </w:rPr>
        <w:t>作出</w:t>
      </w:r>
      <w:r>
        <w:rPr>
          <w:rFonts w:hint="default" w:ascii="仿宋_GB2312" w:hAnsi="仿宋_GB2312" w:eastAsia="仿宋_GB2312" w:cs="仿宋_GB2312"/>
          <w:b w:val="0"/>
          <w:bCs w:val="0"/>
          <w:color w:val="auto"/>
          <w:sz w:val="32"/>
          <w:szCs w:val="32"/>
          <w:lang w:val="en-US" w:eastAsia="zh-CN" w:bidi="hi-IN"/>
        </w:rPr>
        <w:t>的重要指示精神和中央全面依法治国工作会议精神作为</w:t>
      </w:r>
      <w:r>
        <w:rPr>
          <w:rFonts w:hint="eastAsia" w:ascii="仿宋_GB2312" w:hAnsi="仿宋_GB2312" w:eastAsia="仿宋_GB2312" w:cs="仿宋_GB2312"/>
          <w:b w:val="0"/>
          <w:bCs w:val="0"/>
          <w:color w:val="auto"/>
          <w:sz w:val="32"/>
          <w:szCs w:val="32"/>
          <w:lang w:val="en-US" w:eastAsia="zh-CN" w:bidi="hi-IN"/>
        </w:rPr>
        <w:t>重要</w:t>
      </w:r>
      <w:r>
        <w:rPr>
          <w:rFonts w:hint="default" w:ascii="仿宋_GB2312" w:hAnsi="仿宋_GB2312" w:eastAsia="仿宋_GB2312" w:cs="仿宋_GB2312"/>
          <w:b w:val="0"/>
          <w:bCs w:val="0"/>
          <w:color w:val="auto"/>
          <w:sz w:val="32"/>
          <w:szCs w:val="32"/>
          <w:lang w:val="en-US" w:eastAsia="zh-CN" w:bidi="hi-IN"/>
        </w:rPr>
        <w:t>任务，推动学习由“知”向“行”转化，切实把学习成效转化为推动法治曲沃建设的生动实践。</w:t>
      </w:r>
    </w:p>
    <w:p w14:paraId="19D9AA0D">
      <w:pPr>
        <w:pStyle w:val="13"/>
        <w:keepNext w:val="0"/>
        <w:keepLines w:val="0"/>
        <w:pageBreakBefore w:val="0"/>
        <w:widowControl w:val="0"/>
        <w:kinsoku/>
        <w:wordWrap/>
        <w:overflowPunct w:val="0"/>
        <w:topLinePunct w:val="0"/>
        <w:autoSpaceDE/>
        <w:autoSpaceDN/>
        <w:bidi w:val="0"/>
        <w:adjustRightInd/>
        <w:snapToGrid/>
        <w:spacing w:line="580" w:lineRule="exact"/>
        <w:ind w:leftChars="0" w:firstLine="640" w:firstLineChars="200"/>
        <w:jc w:val="both"/>
        <w:textAlignment w:val="auto"/>
        <w:rPr>
          <w:rFonts w:hint="default" w:ascii="仿宋_GB2312" w:hAnsi="仿宋_GB2312" w:eastAsia="仿宋_GB2312" w:cs="仿宋_GB2312"/>
          <w:b w:val="0"/>
          <w:bCs w:val="0"/>
          <w:color w:val="auto"/>
          <w:sz w:val="32"/>
          <w:szCs w:val="32"/>
          <w:lang w:val="en-US" w:eastAsia="zh-CN" w:bidi="hi-IN"/>
        </w:rPr>
      </w:pPr>
      <w:r>
        <w:rPr>
          <w:rFonts w:hint="eastAsia" w:ascii="楷体_GB2312" w:hAnsi="楷体_GB2312" w:eastAsia="楷体_GB2312" w:cs="楷体_GB2312"/>
          <w:b w:val="0"/>
          <w:bCs w:val="0"/>
          <w:color w:val="auto"/>
          <w:sz w:val="32"/>
          <w:szCs w:val="32"/>
          <w:lang w:val="en-US" w:eastAsia="zh-CN" w:bidi="hi-IN"/>
        </w:rPr>
        <w:t>二是</w:t>
      </w:r>
      <w:r>
        <w:rPr>
          <w:rFonts w:hint="default" w:ascii="楷体_GB2312" w:hAnsi="楷体_GB2312" w:eastAsia="楷体_GB2312" w:cs="楷体_GB2312"/>
          <w:b w:val="0"/>
          <w:bCs w:val="0"/>
          <w:color w:val="auto"/>
          <w:sz w:val="32"/>
          <w:szCs w:val="32"/>
          <w:lang w:val="en-US" w:eastAsia="zh-CN" w:bidi="hi-IN"/>
        </w:rPr>
        <w:t>科学谋划新阶段法治建设蓝图。</w:t>
      </w:r>
      <w:r>
        <w:rPr>
          <w:rFonts w:hint="default" w:ascii="仿宋_GB2312" w:hAnsi="仿宋_GB2312" w:eastAsia="仿宋_GB2312" w:cs="仿宋_GB2312"/>
          <w:b w:val="0"/>
          <w:bCs w:val="0"/>
          <w:color w:val="auto"/>
          <w:sz w:val="32"/>
          <w:szCs w:val="32"/>
          <w:lang w:val="en-US" w:eastAsia="zh-CN" w:bidi="hi-IN"/>
        </w:rPr>
        <w:t>紧跟国家、省、市部署，启动我县</w:t>
      </w:r>
      <w:r>
        <w:rPr>
          <w:rFonts w:hint="eastAsia" w:ascii="仿宋_GB2312" w:hAnsi="仿宋_GB2312" w:eastAsia="仿宋_GB2312" w:cs="仿宋_GB2312"/>
          <w:b w:val="0"/>
          <w:bCs w:val="0"/>
          <w:color w:val="auto"/>
          <w:sz w:val="32"/>
          <w:szCs w:val="32"/>
          <w:lang w:val="en-US" w:eastAsia="zh-CN" w:bidi="hi-IN"/>
        </w:rPr>
        <w:t>贯彻落实</w:t>
      </w:r>
      <w:r>
        <w:rPr>
          <w:rFonts w:hint="default" w:ascii="仿宋_GB2312" w:hAnsi="仿宋_GB2312" w:eastAsia="仿宋_GB2312" w:cs="仿宋_GB2312"/>
          <w:b w:val="0"/>
          <w:bCs w:val="0"/>
          <w:color w:val="auto"/>
          <w:sz w:val="32"/>
          <w:szCs w:val="32"/>
          <w:lang w:val="en-US" w:eastAsia="zh-CN" w:bidi="hi-IN"/>
        </w:rPr>
        <w:t>“一规划两纲要”</w:t>
      </w:r>
      <w:r>
        <w:rPr>
          <w:rFonts w:hint="eastAsia" w:ascii="仿宋_GB2312" w:hAnsi="仿宋_GB2312" w:eastAsia="仿宋_GB2312" w:cs="仿宋_GB2312"/>
          <w:b w:val="0"/>
          <w:bCs w:val="0"/>
          <w:color w:val="auto"/>
          <w:sz w:val="32"/>
          <w:szCs w:val="32"/>
          <w:lang w:val="en-US" w:eastAsia="zh-CN" w:bidi="hi-IN"/>
        </w:rPr>
        <w:t>实施方案</w:t>
      </w:r>
      <w:r>
        <w:rPr>
          <w:rFonts w:hint="default" w:ascii="仿宋_GB2312" w:hAnsi="仿宋_GB2312" w:eastAsia="仿宋_GB2312" w:cs="仿宋_GB2312"/>
          <w:b w:val="0"/>
          <w:bCs w:val="0"/>
          <w:color w:val="auto"/>
          <w:sz w:val="32"/>
          <w:szCs w:val="32"/>
          <w:lang w:val="en-US" w:eastAsia="zh-CN" w:bidi="hi-IN"/>
        </w:rPr>
        <w:t>的调研起草工作，确保与国家顶层设计紧密衔接，绘就好未来五年法治建设施工图。</w:t>
      </w:r>
    </w:p>
    <w:p w14:paraId="6C665064">
      <w:pPr>
        <w:pStyle w:val="13"/>
        <w:keepNext w:val="0"/>
        <w:keepLines w:val="0"/>
        <w:pageBreakBefore w:val="0"/>
        <w:widowControl w:val="0"/>
        <w:kinsoku/>
        <w:wordWrap/>
        <w:overflowPunct w:val="0"/>
        <w:topLinePunct w:val="0"/>
        <w:autoSpaceDE/>
        <w:autoSpaceDN/>
        <w:bidi w:val="0"/>
        <w:adjustRightInd/>
        <w:snapToGrid/>
        <w:spacing w:line="580" w:lineRule="exact"/>
        <w:ind w:leftChars="0" w:firstLine="640" w:firstLineChars="200"/>
        <w:jc w:val="both"/>
        <w:textAlignment w:val="auto"/>
        <w:rPr>
          <w:rFonts w:hint="default" w:ascii="仿宋_GB2312" w:hAnsi="仿宋_GB2312" w:eastAsia="仿宋_GB2312" w:cs="仿宋_GB2312"/>
          <w:b w:val="0"/>
          <w:bCs w:val="0"/>
          <w:color w:val="auto"/>
          <w:sz w:val="32"/>
          <w:szCs w:val="32"/>
          <w:lang w:val="en-US" w:eastAsia="zh-CN" w:bidi="hi-IN"/>
        </w:rPr>
      </w:pPr>
      <w:r>
        <w:rPr>
          <w:rFonts w:hint="eastAsia" w:ascii="楷体_GB2312" w:hAnsi="楷体_GB2312" w:eastAsia="楷体_GB2312" w:cs="楷体_GB2312"/>
          <w:b w:val="0"/>
          <w:bCs w:val="0"/>
          <w:color w:val="auto"/>
          <w:sz w:val="32"/>
          <w:szCs w:val="32"/>
          <w:lang w:val="en-US" w:eastAsia="zh-CN" w:bidi="hi-IN"/>
        </w:rPr>
        <w:t>三是</w:t>
      </w:r>
      <w:r>
        <w:rPr>
          <w:rFonts w:hint="default" w:ascii="楷体_GB2312" w:hAnsi="楷体_GB2312" w:eastAsia="楷体_GB2312" w:cs="楷体_GB2312"/>
          <w:b w:val="0"/>
          <w:bCs w:val="0"/>
          <w:color w:val="auto"/>
          <w:sz w:val="32"/>
          <w:szCs w:val="32"/>
          <w:lang w:val="en-US" w:eastAsia="zh-CN" w:bidi="hi-IN"/>
        </w:rPr>
        <w:t>高起点启动“九五”普法工作。</w:t>
      </w:r>
      <w:r>
        <w:rPr>
          <w:rFonts w:hint="default" w:ascii="仿宋_GB2312" w:hAnsi="仿宋_GB2312" w:eastAsia="仿宋_GB2312" w:cs="仿宋_GB2312"/>
          <w:b w:val="0"/>
          <w:bCs w:val="0"/>
          <w:color w:val="auto"/>
          <w:sz w:val="32"/>
          <w:szCs w:val="32"/>
          <w:lang w:val="en-US" w:eastAsia="zh-CN" w:bidi="hi-IN"/>
        </w:rPr>
        <w:t>在全面总结“八五”普法成效基础上，提前调研谋划“九五”普法规划。聚焦领导干部、青少年、企业经营管理人员等重点对象，创新运用数字技术赋能普法，打造具有曲沃特色的普法品牌，推动全社会尊法学法守法用法。</w:t>
      </w:r>
    </w:p>
    <w:p w14:paraId="0AA0A4CA">
      <w:pPr>
        <w:pStyle w:val="13"/>
        <w:keepNext w:val="0"/>
        <w:keepLines w:val="0"/>
        <w:pageBreakBefore w:val="0"/>
        <w:widowControl w:val="0"/>
        <w:kinsoku/>
        <w:wordWrap/>
        <w:overflowPunct w:val="0"/>
        <w:topLinePunct w:val="0"/>
        <w:autoSpaceDE/>
        <w:autoSpaceDN/>
        <w:bidi w:val="0"/>
        <w:adjustRightInd/>
        <w:snapToGrid/>
        <w:spacing w:line="580" w:lineRule="exact"/>
        <w:ind w:leftChars="0" w:firstLine="640" w:firstLineChars="200"/>
        <w:jc w:val="both"/>
        <w:textAlignment w:val="auto"/>
        <w:rPr>
          <w:rFonts w:hint="default" w:ascii="仿宋_GB2312" w:hAnsi="仿宋_GB2312" w:eastAsia="仿宋_GB2312" w:cs="仿宋_GB2312"/>
          <w:b w:val="0"/>
          <w:bCs w:val="0"/>
          <w:color w:val="auto"/>
          <w:sz w:val="32"/>
          <w:szCs w:val="32"/>
          <w:lang w:val="en-US" w:eastAsia="zh-CN" w:bidi="hi-IN"/>
        </w:rPr>
      </w:pPr>
      <w:r>
        <w:rPr>
          <w:rFonts w:hint="eastAsia" w:ascii="楷体_GB2312" w:hAnsi="楷体_GB2312" w:eastAsia="楷体_GB2312" w:cs="楷体_GB2312"/>
          <w:b w:val="0"/>
          <w:bCs w:val="0"/>
          <w:color w:val="auto"/>
          <w:sz w:val="32"/>
          <w:szCs w:val="32"/>
          <w:lang w:val="en-US" w:eastAsia="zh-CN" w:bidi="hi-IN"/>
        </w:rPr>
        <w:t>四是</w:t>
      </w:r>
      <w:r>
        <w:rPr>
          <w:rFonts w:hint="default" w:ascii="楷体_GB2312" w:hAnsi="楷体_GB2312" w:eastAsia="楷体_GB2312" w:cs="楷体_GB2312"/>
          <w:b w:val="0"/>
          <w:bCs w:val="0"/>
          <w:color w:val="auto"/>
          <w:sz w:val="32"/>
          <w:szCs w:val="32"/>
          <w:lang w:val="en-US" w:eastAsia="zh-CN" w:bidi="hi-IN"/>
        </w:rPr>
        <w:t>纵深推进依法行政。</w:t>
      </w:r>
      <w:r>
        <w:rPr>
          <w:rFonts w:hint="default" w:ascii="仿宋_GB2312" w:hAnsi="仿宋_GB2312" w:eastAsia="仿宋_GB2312" w:cs="仿宋_GB2312"/>
          <w:b w:val="0"/>
          <w:bCs w:val="0"/>
          <w:color w:val="auto"/>
          <w:sz w:val="32"/>
          <w:szCs w:val="32"/>
          <w:lang w:val="en-US" w:eastAsia="zh-CN" w:bidi="hi-IN"/>
        </w:rPr>
        <w:t>健全完善重大行政决策程序制度，强化合法性审查刚性约束。深化行政执法体制改革，全面推广柔性执法、说理式执法，持续规范涉企执法行为，打造稳定公平透明、可预期的法治化营商环境。</w:t>
      </w:r>
    </w:p>
    <w:p w14:paraId="763CE5A8">
      <w:pPr>
        <w:pStyle w:val="13"/>
        <w:keepNext w:val="0"/>
        <w:keepLines w:val="0"/>
        <w:pageBreakBefore w:val="0"/>
        <w:widowControl w:val="0"/>
        <w:kinsoku/>
        <w:wordWrap/>
        <w:overflowPunct w:val="0"/>
        <w:topLinePunct w:val="0"/>
        <w:autoSpaceDE/>
        <w:autoSpaceDN/>
        <w:bidi w:val="0"/>
        <w:adjustRightInd/>
        <w:snapToGrid/>
        <w:spacing w:line="580" w:lineRule="exact"/>
        <w:ind w:leftChars="0" w:firstLine="640" w:firstLineChars="200"/>
        <w:jc w:val="both"/>
        <w:textAlignment w:val="auto"/>
        <w:rPr>
          <w:rFonts w:hint="default" w:ascii="仿宋_GB2312" w:hAnsi="仿宋_GB2312" w:eastAsia="仿宋_GB2312" w:cs="仿宋_GB2312"/>
          <w:b w:val="0"/>
          <w:bCs w:val="0"/>
          <w:color w:val="auto"/>
          <w:sz w:val="32"/>
          <w:szCs w:val="32"/>
          <w:lang w:val="en-US" w:eastAsia="zh-CN" w:bidi="hi-IN"/>
        </w:rPr>
      </w:pPr>
      <w:r>
        <w:rPr>
          <w:rFonts w:hint="eastAsia" w:ascii="楷体_GB2312" w:hAnsi="楷体_GB2312" w:eastAsia="楷体_GB2312" w:cs="楷体_GB2312"/>
          <w:b w:val="0"/>
          <w:bCs w:val="0"/>
          <w:color w:val="auto"/>
          <w:sz w:val="32"/>
          <w:szCs w:val="32"/>
          <w:lang w:val="en-US" w:eastAsia="zh-CN" w:bidi="hi-IN"/>
        </w:rPr>
        <w:t>五是</w:t>
      </w:r>
      <w:r>
        <w:rPr>
          <w:rFonts w:hint="default" w:ascii="楷体_GB2312" w:hAnsi="楷体_GB2312" w:eastAsia="楷体_GB2312" w:cs="楷体_GB2312"/>
          <w:b w:val="0"/>
          <w:bCs w:val="0"/>
          <w:color w:val="auto"/>
          <w:sz w:val="32"/>
          <w:szCs w:val="32"/>
          <w:lang w:val="en-US" w:eastAsia="zh-CN" w:bidi="hi-IN"/>
        </w:rPr>
        <w:t>夯实基层法治根基。</w:t>
      </w:r>
      <w:r>
        <w:rPr>
          <w:rFonts w:hint="default" w:ascii="仿宋_GB2312" w:hAnsi="仿宋_GB2312" w:eastAsia="仿宋_GB2312" w:cs="仿宋_GB2312"/>
          <w:b w:val="0"/>
          <w:bCs w:val="0"/>
          <w:color w:val="auto"/>
          <w:sz w:val="32"/>
          <w:szCs w:val="32"/>
          <w:lang w:val="en-US" w:eastAsia="zh-CN" w:bidi="hi-IN"/>
        </w:rPr>
        <w:t>坚持和发展新时代“枫桥经验”，强化县、乡、村三级矛盾纠纷调处体系建设</w:t>
      </w:r>
      <w:r>
        <w:rPr>
          <w:rFonts w:hint="eastAsia" w:ascii="仿宋_GB2312" w:hAnsi="仿宋_GB2312" w:eastAsia="仿宋_GB2312" w:cs="仿宋_GB2312"/>
          <w:b w:val="0"/>
          <w:bCs w:val="0"/>
          <w:color w:val="auto"/>
          <w:sz w:val="32"/>
          <w:szCs w:val="32"/>
          <w:lang w:val="en-US" w:eastAsia="zh-CN" w:bidi="hi-IN"/>
        </w:rPr>
        <w:t>，</w:t>
      </w:r>
      <w:r>
        <w:rPr>
          <w:rFonts w:hint="default" w:ascii="仿宋_GB2312" w:hAnsi="仿宋_GB2312" w:eastAsia="仿宋_GB2312" w:cs="仿宋_GB2312"/>
          <w:b w:val="0"/>
          <w:bCs w:val="0"/>
          <w:color w:val="auto"/>
          <w:sz w:val="32"/>
          <w:szCs w:val="32"/>
          <w:lang w:val="en-US" w:eastAsia="zh-CN" w:bidi="hi-IN"/>
        </w:rPr>
        <w:t>优化公共法律服务网络，让法治成果更多更公平惠及全体人民。</w:t>
      </w:r>
    </w:p>
    <w:p w14:paraId="3467DE7C">
      <w:pPr>
        <w:pStyle w:val="13"/>
        <w:keepNext w:val="0"/>
        <w:keepLines w:val="0"/>
        <w:pageBreakBefore w:val="0"/>
        <w:widowControl w:val="0"/>
        <w:kinsoku/>
        <w:wordWrap/>
        <w:overflowPunct w:val="0"/>
        <w:topLinePunct w:val="0"/>
        <w:autoSpaceDE/>
        <w:autoSpaceDN/>
        <w:bidi w:val="0"/>
        <w:adjustRightInd/>
        <w:snapToGrid/>
        <w:spacing w:line="580" w:lineRule="exact"/>
        <w:ind w:leftChars="0" w:firstLine="640" w:firstLineChars="200"/>
        <w:jc w:val="both"/>
        <w:textAlignment w:val="auto"/>
        <w:rPr>
          <w:rFonts w:hint="default" w:ascii="仿宋_GB2312" w:hAnsi="仿宋_GB2312" w:eastAsia="仿宋_GB2312" w:cs="仿宋_GB2312"/>
          <w:b w:val="0"/>
          <w:bCs w:val="0"/>
          <w:color w:val="auto"/>
          <w:sz w:val="32"/>
          <w:szCs w:val="32"/>
          <w:lang w:val="en-US" w:eastAsia="zh-CN" w:bidi="hi-IN"/>
        </w:rPr>
      </w:pPr>
      <w:r>
        <w:rPr>
          <w:rFonts w:hint="eastAsia" w:ascii="仿宋_GB2312" w:hAnsi="仿宋_GB2312" w:eastAsia="仿宋_GB2312" w:cs="仿宋_GB2312"/>
          <w:b w:val="0"/>
          <w:bCs w:val="0"/>
          <w:color w:val="auto"/>
          <w:sz w:val="32"/>
          <w:szCs w:val="32"/>
          <w:lang w:val="en-US" w:eastAsia="zh-CN" w:bidi="hi-IN"/>
        </w:rPr>
        <w:t>征程万里风正劲，重任千钧再出发。2026年，</w:t>
      </w:r>
      <w:r>
        <w:rPr>
          <w:rFonts w:hint="default" w:ascii="仿宋_GB2312" w:hAnsi="仿宋_GB2312" w:eastAsia="仿宋_GB2312" w:cs="仿宋_GB2312"/>
          <w:b w:val="0"/>
          <w:bCs w:val="0"/>
          <w:color w:val="auto"/>
          <w:sz w:val="32"/>
          <w:szCs w:val="32"/>
          <w:lang w:val="en-US" w:eastAsia="zh-CN" w:bidi="hi-IN"/>
        </w:rPr>
        <w:t>我县将踔厉奋发、笃行不怠，不断开创政府建设新局面，为奋力谱写中国式现代化曲沃篇章提供坚强法治保障！</w:t>
      </w:r>
    </w:p>
    <w:p w14:paraId="12414E55">
      <w:pPr>
        <w:pStyle w:val="13"/>
        <w:keepNext w:val="0"/>
        <w:keepLines w:val="0"/>
        <w:pageBreakBefore w:val="0"/>
        <w:widowControl w:val="0"/>
        <w:kinsoku/>
        <w:wordWrap/>
        <w:overflowPunct w:val="0"/>
        <w:topLinePunct w:val="0"/>
        <w:autoSpaceDE/>
        <w:autoSpaceDN/>
        <w:bidi w:val="0"/>
        <w:adjustRightInd/>
        <w:snapToGrid/>
        <w:spacing w:line="580" w:lineRule="exact"/>
        <w:ind w:leftChars="0" w:firstLine="640" w:firstLineChars="200"/>
        <w:textAlignment w:val="auto"/>
        <w:rPr>
          <w:rFonts w:hint="default" w:ascii="仿宋_GB2312" w:hAnsi="仿宋_GB2312" w:eastAsia="仿宋_GB2312" w:cs="仿宋_GB2312"/>
          <w:b w:val="0"/>
          <w:bCs w:val="0"/>
          <w:color w:val="auto"/>
          <w:sz w:val="32"/>
          <w:szCs w:val="32"/>
          <w:lang w:val="en-US" w:eastAsia="zh-CN" w:bidi="hi-IN"/>
        </w:rPr>
      </w:pPr>
    </w:p>
    <w:p w14:paraId="3BB20AAB">
      <w:pPr>
        <w:pStyle w:val="13"/>
        <w:keepNext w:val="0"/>
        <w:keepLines w:val="0"/>
        <w:pageBreakBefore w:val="0"/>
        <w:widowControl w:val="0"/>
        <w:kinsoku/>
        <w:wordWrap/>
        <w:overflowPunct w:val="0"/>
        <w:topLinePunct w:val="0"/>
        <w:autoSpaceDE/>
        <w:autoSpaceDN/>
        <w:bidi w:val="0"/>
        <w:adjustRightInd/>
        <w:snapToGrid/>
        <w:spacing w:line="580" w:lineRule="exact"/>
        <w:ind w:leftChars="0" w:firstLine="640" w:firstLineChars="200"/>
        <w:textAlignment w:val="auto"/>
        <w:rPr>
          <w:rFonts w:hint="default" w:ascii="仿宋_GB2312" w:hAnsi="仿宋_GB2312" w:eastAsia="仿宋_GB2312" w:cs="仿宋_GB2312"/>
          <w:b w:val="0"/>
          <w:bCs w:val="0"/>
          <w:color w:val="auto"/>
          <w:sz w:val="32"/>
          <w:szCs w:val="32"/>
          <w:lang w:val="en-US" w:eastAsia="zh-CN" w:bidi="hi-IN"/>
        </w:rPr>
      </w:pPr>
    </w:p>
    <w:p w14:paraId="6A830DA0">
      <w:pPr>
        <w:pStyle w:val="13"/>
        <w:keepNext w:val="0"/>
        <w:keepLines w:val="0"/>
        <w:pageBreakBefore w:val="0"/>
        <w:widowControl w:val="0"/>
        <w:kinsoku/>
        <w:wordWrap/>
        <w:overflowPunct w:val="0"/>
        <w:topLinePunct w:val="0"/>
        <w:autoSpaceDE/>
        <w:autoSpaceDN/>
        <w:bidi w:val="0"/>
        <w:adjustRightInd/>
        <w:snapToGrid/>
        <w:spacing w:line="580" w:lineRule="exact"/>
        <w:textAlignment w:val="auto"/>
        <w:rPr>
          <w:rFonts w:hint="default" w:ascii="仿宋_GB2312" w:hAnsi="仿宋_GB2312" w:eastAsia="仿宋_GB2312" w:cs="仿宋_GB2312"/>
          <w:b w:val="0"/>
          <w:bCs w:val="0"/>
          <w:color w:val="auto"/>
          <w:sz w:val="32"/>
          <w:szCs w:val="32"/>
          <w:lang w:val="en-US" w:eastAsia="zh-CN" w:bidi="hi-IN"/>
        </w:rPr>
      </w:pPr>
    </w:p>
    <w:p w14:paraId="79C8A305">
      <w:pPr>
        <w:pStyle w:val="13"/>
        <w:keepNext w:val="0"/>
        <w:keepLines w:val="0"/>
        <w:pageBreakBefore w:val="0"/>
        <w:widowControl w:val="0"/>
        <w:kinsoku/>
        <w:wordWrap/>
        <w:overflowPunct w:val="0"/>
        <w:topLinePunct w:val="0"/>
        <w:autoSpaceDE/>
        <w:autoSpaceDN/>
        <w:bidi w:val="0"/>
        <w:adjustRightInd/>
        <w:snapToGrid/>
        <w:spacing w:line="580" w:lineRule="exact"/>
        <w:ind w:left="0" w:leftChars="0" w:right="1323" w:rightChars="630" w:firstLine="4917" w:firstLineChars="1366"/>
        <w:jc w:val="distribute"/>
        <w:textAlignment w:val="auto"/>
        <w:rPr>
          <w:rFonts w:hint="default" w:ascii="仿宋_GB2312" w:hAnsi="仿宋_GB2312" w:eastAsia="仿宋_GB2312" w:cs="仿宋_GB2312"/>
          <w:b w:val="0"/>
          <w:bCs w:val="0"/>
          <w:color w:val="auto"/>
          <w:sz w:val="32"/>
          <w:szCs w:val="32"/>
          <w:lang w:val="en-US" w:eastAsia="zh-CN" w:bidi="hi-IN"/>
        </w:rPr>
      </w:pPr>
      <w:r>
        <w:rPr>
          <w:rFonts w:hint="eastAsia" w:ascii="仿宋_GB2312" w:hAnsi="仿宋_GB2312" w:eastAsia="仿宋_GB2312" w:cs="仿宋_GB2312"/>
          <w:b w:val="0"/>
          <w:bCs w:val="0"/>
          <w:color w:val="auto"/>
          <w:spacing w:val="20"/>
          <w:sz w:val="32"/>
          <w:szCs w:val="32"/>
          <w:lang w:val="en-US" w:eastAsia="zh-CN" w:bidi="hi-IN"/>
        </w:rPr>
        <w:t>中共曲沃县委</w:t>
      </w:r>
    </w:p>
    <w:p w14:paraId="40B17694">
      <w:pPr>
        <w:pStyle w:val="13"/>
        <w:keepNext w:val="0"/>
        <w:keepLines w:val="0"/>
        <w:pageBreakBefore w:val="0"/>
        <w:widowControl w:val="0"/>
        <w:kinsoku/>
        <w:wordWrap/>
        <w:overflowPunct w:val="0"/>
        <w:topLinePunct w:val="0"/>
        <w:autoSpaceDE/>
        <w:autoSpaceDN/>
        <w:bidi w:val="0"/>
        <w:adjustRightInd/>
        <w:snapToGrid/>
        <w:spacing w:line="580" w:lineRule="exact"/>
        <w:ind w:leftChars="0" w:right="1323" w:rightChars="630" w:firstLine="640" w:firstLineChars="200"/>
        <w:jc w:val="right"/>
        <w:textAlignment w:val="auto"/>
        <w:rPr>
          <w:rFonts w:hint="default" w:ascii="仿宋_GB2312" w:hAnsi="仿宋_GB2312" w:eastAsia="仿宋_GB2312" w:cs="仿宋_GB2312"/>
          <w:b w:val="0"/>
          <w:bCs w:val="0"/>
          <w:color w:val="auto"/>
          <w:sz w:val="32"/>
          <w:szCs w:val="32"/>
          <w:lang w:val="en-US" w:eastAsia="zh-CN" w:bidi="hi-IN"/>
        </w:rPr>
      </w:pPr>
      <w:r>
        <w:rPr>
          <w:rFonts w:hint="eastAsia" w:ascii="仿宋_GB2312" w:hAnsi="仿宋_GB2312" w:eastAsia="仿宋_GB2312" w:cs="仿宋_GB2312"/>
          <w:b w:val="0"/>
          <w:bCs w:val="0"/>
          <w:color w:val="auto"/>
          <w:sz w:val="32"/>
          <w:szCs w:val="32"/>
          <w:lang w:val="en-US" w:eastAsia="zh-CN" w:bidi="hi-IN"/>
        </w:rPr>
        <w:t>曲沃县人民政府</w:t>
      </w:r>
    </w:p>
    <w:p w14:paraId="3849F4AE">
      <w:pPr>
        <w:pStyle w:val="13"/>
        <w:keepNext w:val="0"/>
        <w:keepLines w:val="0"/>
        <w:pageBreakBefore w:val="0"/>
        <w:widowControl w:val="0"/>
        <w:kinsoku/>
        <w:wordWrap/>
        <w:overflowPunct w:val="0"/>
        <w:topLinePunct w:val="0"/>
        <w:autoSpaceDE/>
        <w:autoSpaceDN/>
        <w:bidi w:val="0"/>
        <w:adjustRightInd/>
        <w:snapToGrid/>
        <w:spacing w:line="580" w:lineRule="exact"/>
        <w:ind w:leftChars="0" w:right="1163" w:rightChars="554" w:firstLine="640" w:firstLineChars="200"/>
        <w:jc w:val="right"/>
        <w:textAlignment w:val="auto"/>
        <w:rPr>
          <w:rFonts w:hint="eastAsia" w:ascii="仿宋_GB2312" w:hAnsi="仿宋_GB2312" w:eastAsia="仿宋_GB2312" w:cs="仿宋_GB2312"/>
          <w:b w:val="0"/>
          <w:bCs w:val="0"/>
          <w:color w:val="auto"/>
          <w:sz w:val="32"/>
          <w:szCs w:val="32"/>
          <w:lang w:val="en-US" w:eastAsia="zh-CN" w:bidi="hi-IN"/>
        </w:rPr>
      </w:pPr>
      <w:r>
        <w:rPr>
          <w:rFonts w:hint="eastAsia" w:ascii="仿宋_GB2312" w:hAnsi="仿宋_GB2312" w:eastAsia="仿宋_GB2312" w:cs="仿宋_GB2312"/>
          <w:b w:val="0"/>
          <w:bCs w:val="0"/>
          <w:color w:val="auto"/>
          <w:sz w:val="32"/>
          <w:szCs w:val="32"/>
          <w:lang w:val="en-US" w:eastAsia="zh-CN" w:bidi="hi-IN"/>
        </w:rPr>
        <w:t>2026年1月12日</w:t>
      </w:r>
    </w:p>
    <w:p w14:paraId="5A6C41E1">
      <w:pPr>
        <w:pStyle w:val="13"/>
        <w:keepNext w:val="0"/>
        <w:keepLines w:val="0"/>
        <w:pageBreakBefore w:val="0"/>
        <w:widowControl w:val="0"/>
        <w:kinsoku/>
        <w:wordWrap/>
        <w:overflowPunct w:val="0"/>
        <w:topLinePunct w:val="0"/>
        <w:autoSpaceDE/>
        <w:autoSpaceDN/>
        <w:bidi w:val="0"/>
        <w:adjustRightInd/>
        <w:snapToGrid/>
        <w:spacing w:line="580" w:lineRule="exact"/>
        <w:ind w:leftChars="0" w:right="1384" w:rightChars="659" w:firstLine="640" w:firstLineChars="200"/>
        <w:jc w:val="right"/>
        <w:textAlignment w:val="auto"/>
        <w:rPr>
          <w:rFonts w:hint="eastAsia" w:ascii="仿宋_GB2312" w:hAnsi="仿宋_GB2312" w:eastAsia="仿宋_GB2312" w:cs="仿宋_GB2312"/>
          <w:b w:val="0"/>
          <w:bCs w:val="0"/>
          <w:color w:val="auto"/>
          <w:sz w:val="32"/>
          <w:szCs w:val="32"/>
          <w:lang w:val="en-US" w:eastAsia="zh-CN" w:bidi="hi-IN"/>
        </w:rPr>
      </w:pPr>
    </w:p>
    <w:p w14:paraId="43DB9FA2">
      <w:pPr>
        <w:pStyle w:val="9"/>
        <w:keepNext w:val="0"/>
        <w:keepLines w:val="0"/>
        <w:pageBreakBefore w:val="0"/>
        <w:widowControl w:val="0"/>
        <w:kinsoku/>
        <w:wordWrap/>
        <w:overflowPunct w:val="0"/>
        <w:topLinePunct w:val="0"/>
        <w:autoSpaceDE/>
        <w:autoSpaceDN/>
        <w:bidi w:val="0"/>
        <w:adjustRightInd/>
        <w:snapToGrid/>
        <w:spacing w:line="500" w:lineRule="exact"/>
        <w:ind w:left="0" w:leftChars="0" w:firstLine="0" w:firstLineChars="0"/>
        <w:jc w:val="both"/>
        <w:textAlignment w:val="auto"/>
        <w:rPr>
          <w:rFonts w:hint="default" w:ascii="仿宋_GB2312" w:hAnsi="仿宋_GB2312" w:eastAsia="仿宋_GB2312" w:cs="仿宋_GB2312"/>
          <w:lang w:val="en-US" w:eastAsia="zh-CN"/>
        </w:rPr>
      </w:pPr>
      <w:bookmarkStart w:id="0" w:name="_GoBack"/>
      <w:bookmarkEnd w:id="0"/>
    </w:p>
    <w:sectPr>
      <w:footerReference r:id="rId3" w:type="default"/>
      <w:pgSz w:w="11906" w:h="16838"/>
      <w:pgMar w:top="1871" w:right="1701" w:bottom="1701" w:left="170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iberation Serif">
    <w:altName w:val="Traditional Arabic"/>
    <w:panose1 w:val="02020603050405020304"/>
    <w:charset w:val="00"/>
    <w:family w:val="roman"/>
    <w:pitch w:val="default"/>
    <w:sig w:usb0="00000000" w:usb1="00000000" w:usb2="00000000" w:usb3="00000000" w:csb0="6000009F" w:csb1="DFD70000"/>
  </w:font>
  <w:font w:name="Traditional Arabic">
    <w:panose1 w:val="02020603050405020304"/>
    <w:charset w:val="00"/>
    <w:family w:val="auto"/>
    <w:pitch w:val="default"/>
    <w:sig w:usb0="00006003" w:usb1="80000000" w:usb2="00000008" w:usb3="00000000" w:csb0="00000041" w:csb1="20080000"/>
  </w:font>
  <w:font w:name="Noto Serif CJK SC">
    <w:altName w:val="宋体"/>
    <w:panose1 w:val="02020400000000000000"/>
    <w:charset w:val="86"/>
    <w:family w:val="auto"/>
    <w:pitch w:val="default"/>
    <w:sig w:usb0="00000000" w:usb1="00000000" w:usb2="00000016" w:usb3="00000000" w:csb0="602E0107" w:csb1="00000000"/>
  </w:font>
  <w:font w:name="Noto Sans Devanagari">
    <w:altName w:val="Segoe Print"/>
    <w:panose1 w:val="020B0502040504020204"/>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Liberation Sans">
    <w:altName w:val="Vijaya"/>
    <w:panose1 w:val="020B0604020202020204"/>
    <w:charset w:val="00"/>
    <w:family w:val="swiss"/>
    <w:pitch w:val="default"/>
    <w:sig w:usb0="00000000" w:usb1="00000000" w:usb2="00000000" w:usb3="00000000" w:csb0="6000009F" w:csb1="DFD70000"/>
  </w:font>
  <w:font w:name="Vijaya">
    <w:panose1 w:val="020B0604020202020204"/>
    <w:charset w:val="00"/>
    <w:family w:val="auto"/>
    <w:pitch w:val="default"/>
    <w:sig w:usb0="00100003"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8DCC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0810FB">
                          <w:pPr>
                            <w:pStyle w:val="7"/>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E0810FB">
                    <w:pPr>
                      <w:pStyle w:val="7"/>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953797"/>
    <w:rsid w:val="03F4527E"/>
    <w:rsid w:val="07A33243"/>
    <w:rsid w:val="07F42396"/>
    <w:rsid w:val="0D5B4F03"/>
    <w:rsid w:val="0F784FB5"/>
    <w:rsid w:val="12394ECF"/>
    <w:rsid w:val="14904B4F"/>
    <w:rsid w:val="1685393D"/>
    <w:rsid w:val="180E295A"/>
    <w:rsid w:val="1C953797"/>
    <w:rsid w:val="1FB262C1"/>
    <w:rsid w:val="250C3AF3"/>
    <w:rsid w:val="26325720"/>
    <w:rsid w:val="28CA71BF"/>
    <w:rsid w:val="28FB2A87"/>
    <w:rsid w:val="2A7A0A50"/>
    <w:rsid w:val="2CA4527C"/>
    <w:rsid w:val="332A6742"/>
    <w:rsid w:val="347C1E16"/>
    <w:rsid w:val="377F69F1"/>
    <w:rsid w:val="384C1591"/>
    <w:rsid w:val="3BEE1FD7"/>
    <w:rsid w:val="434150E2"/>
    <w:rsid w:val="4BDD578E"/>
    <w:rsid w:val="4E6DBF32"/>
    <w:rsid w:val="4E7E368F"/>
    <w:rsid w:val="4EA8070C"/>
    <w:rsid w:val="4F3D0E54"/>
    <w:rsid w:val="4F992E6A"/>
    <w:rsid w:val="50D054B5"/>
    <w:rsid w:val="5A56611D"/>
    <w:rsid w:val="5DC015CE"/>
    <w:rsid w:val="636C04DF"/>
    <w:rsid w:val="6B3C600C"/>
    <w:rsid w:val="6C170751"/>
    <w:rsid w:val="6FEF0F42"/>
    <w:rsid w:val="74FDCEF0"/>
    <w:rsid w:val="77F9F645"/>
    <w:rsid w:val="7A143F7F"/>
    <w:rsid w:val="7AAC0AB8"/>
    <w:rsid w:val="7DFF45A9"/>
    <w:rsid w:val="7EA271D1"/>
    <w:rsid w:val="7FAF7508"/>
    <w:rsid w:val="7FD70362"/>
    <w:rsid w:val="8FDF1059"/>
    <w:rsid w:val="A63D1058"/>
    <w:rsid w:val="B5736157"/>
    <w:rsid w:val="D68F32D7"/>
    <w:rsid w:val="DD7F5FCC"/>
    <w:rsid w:val="E77F16E1"/>
    <w:rsid w:val="F3FD8FC8"/>
    <w:rsid w:val="F4F301F9"/>
    <w:rsid w:val="F674B050"/>
    <w:rsid w:val="F7FFD44E"/>
    <w:rsid w:val="FEAF33D8"/>
    <w:rsid w:val="FF6FF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pPr>
    <w:rPr>
      <w:rFonts w:ascii="Liberation Serif" w:hAnsi="Liberation Serif" w:eastAsia="Noto Serif CJK SC" w:cs="Noto Sans Devanagari"/>
      <w:color w:val="auto"/>
      <w:sz w:val="21"/>
      <w:szCs w:val="21"/>
      <w:lang w:val="en-US" w:eastAsia="zh-CN" w:bidi="hi-IN"/>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Times New Roman"/>
      <w:b/>
      <w:kern w:val="44"/>
      <w:sz w:val="48"/>
      <w:szCs w:val="48"/>
    </w:rPr>
  </w:style>
  <w:style w:type="paragraph" w:styleId="3">
    <w:name w:val="heading 2"/>
    <w:basedOn w:val="4"/>
    <w:next w:val="5"/>
    <w:qFormat/>
    <w:uiPriority w:val="0"/>
    <w:pPr>
      <w:spacing w:before="200" w:after="120"/>
      <w:outlineLvl w:val="1"/>
    </w:pPr>
    <w:rPr>
      <w:rFonts w:ascii="Liberation Serif" w:hAnsi="Liberation Serif" w:eastAsia="Noto Serif CJK SC" w:cs="Noto Sans Devanagari"/>
      <w:b/>
      <w:bCs/>
      <w:sz w:val="36"/>
      <w:szCs w:val="36"/>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4">
    <w:name w:val="Heading"/>
    <w:basedOn w:val="1"/>
    <w:next w:val="5"/>
    <w:qFormat/>
    <w:uiPriority w:val="0"/>
    <w:pPr>
      <w:keepNext/>
      <w:spacing w:before="240" w:after="283"/>
    </w:pPr>
    <w:rPr>
      <w:rFonts w:ascii="Liberation Sans" w:hAnsi="Liberation Sans"/>
      <w:sz w:val="28"/>
      <w:szCs w:val="28"/>
    </w:rPr>
  </w:style>
  <w:style w:type="paragraph" w:styleId="5">
    <w:name w:val="Body Text"/>
    <w:basedOn w:val="1"/>
    <w:qFormat/>
    <w:uiPriority w:val="0"/>
    <w:pPr>
      <w:spacing w:before="90" w:after="210"/>
    </w:pPr>
  </w:style>
  <w:style w:type="paragraph" w:styleId="6">
    <w:name w:val="Body Text 3"/>
    <w:basedOn w:val="1"/>
    <w:qFormat/>
    <w:uiPriority w:val="0"/>
    <w:pPr>
      <w:spacing w:after="120"/>
    </w:pPr>
    <w:rPr>
      <w:rFonts w:ascii="Calibri" w:hAnsi="Calibri" w:eastAsia="宋体" w:cs="Calibri"/>
      <w:sz w:val="16"/>
      <w:szCs w:val="16"/>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2"/>
    <w:basedOn w:val="1"/>
    <w:qFormat/>
    <w:uiPriority w:val="0"/>
    <w:pPr>
      <w:ind w:firstLine="420" w:firstLineChars="200"/>
    </w:pPr>
    <w:rPr>
      <w:rFonts w:ascii="Times New Roman" w:hAnsi="Times New Roman" w:eastAsia="宋体" w:cs="Times New Roman"/>
    </w:rPr>
  </w:style>
  <w:style w:type="character" w:styleId="12">
    <w:name w:val="Strong"/>
    <w:basedOn w:val="11"/>
    <w:qFormat/>
    <w:uiPriority w:val="0"/>
    <w:rPr>
      <w:b/>
    </w:rPr>
  </w:style>
  <w:style w:type="paragraph" w:customStyle="1" w:styleId="13">
    <w:name w:val="Body Text1"/>
    <w:basedOn w:val="1"/>
    <w:qFormat/>
    <w:uiPriority w:val="0"/>
    <w:rPr>
      <w:rFonts w:ascii="Times New Roman" w:hAnsi="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3502</Words>
  <Characters>3579</Characters>
  <Lines>0</Lines>
  <Paragraphs>0</Paragraphs>
  <TotalTime>13</TotalTime>
  <ScaleCrop>false</ScaleCrop>
  <LinksUpToDate>false</LinksUpToDate>
  <CharactersWithSpaces>3580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2026-01-09T19:13:00Z</dcterms:created>
  <dc:creator>恋 、ň</dc:creator>
  <cp:lastModifiedBy>恋 、ň</cp:lastModifiedBy>
  <cp:lastPrinted>2026-02-10T01:49:28Z</cp:lastPrinted>
  <dcterms:modified xsi:type="dcterms:W3CDTF">2026-02-10T01:49:31Z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3C53E84E14C944E881989F687653FD87_13</vt:lpwstr>
  </property>
  <property fmtid="{D5CDD505-2E9C-101B-9397-08002B2CF9AE}" pid="4" name="KSOTemplateDocerSaveRecord">
    <vt:lpwstr>eyJoZGlkIjoiMTMyZWYwZjNjODBkMzQ3MmQ2OGM5NTljNmJjYTcxY2QiLCJ1c2VySWQiOiI3MjgxMDIyODIifQ==</vt:lpwstr>
  </property>
</Properties>
</file>