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69"/>
        </w:tabs>
        <w:spacing w:line="460" w:lineRule="exact"/>
        <w:ind w:firstLine="0" w:firstLineChars="0"/>
        <w:rPr>
          <w:rFonts w:hint="eastAsia" w:ascii="黑体" w:hAnsi="仿宋_GB2312" w:eastAsia="黑体" w:cs="仿宋_GB2312"/>
          <w:bCs/>
          <w:color w:val="161318"/>
          <w:szCs w:val="32"/>
        </w:rPr>
      </w:pPr>
      <w:r>
        <w:rPr>
          <w:rFonts w:hint="eastAsia" w:ascii="黑体" w:hAnsi="仿宋_GB2312" w:eastAsia="黑体" w:cs="仿宋_GB2312"/>
          <w:bCs/>
          <w:color w:val="161318"/>
          <w:szCs w:val="32"/>
        </w:rPr>
        <w:t>附件8</w:t>
      </w:r>
    </w:p>
    <w:p>
      <w:pPr>
        <w:tabs>
          <w:tab w:val="left" w:pos="869"/>
        </w:tabs>
        <w:spacing w:line="460" w:lineRule="exact"/>
        <w:ind w:firstLine="723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161318"/>
          <w:sz w:val="44"/>
          <w:szCs w:val="44"/>
        </w:rPr>
      </w:pPr>
    </w:p>
    <w:p>
      <w:pPr>
        <w:tabs>
          <w:tab w:val="left" w:pos="869"/>
        </w:tabs>
        <w:spacing w:line="460" w:lineRule="exact"/>
        <w:ind w:left="0" w:leftChars="0" w:firstLine="0" w:firstLineChars="0"/>
        <w:jc w:val="center"/>
        <w:rPr>
          <w:rFonts w:ascii="宋体" w:hAnsi="宋体" w:eastAsia="宋体" w:cs="宋体"/>
          <w:b/>
          <w:bCs/>
          <w:color w:val="161318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161318"/>
          <w:sz w:val="44"/>
          <w:szCs w:val="44"/>
        </w:rPr>
        <w:t>表格填写说明</w:t>
      </w:r>
    </w:p>
    <w:p>
      <w:pPr>
        <w:numPr>
          <w:ilvl w:val="0"/>
          <w:numId w:val="0"/>
        </w:numPr>
        <w:tabs>
          <w:tab w:val="left" w:pos="3435"/>
        </w:tabs>
        <w:spacing w:line="400" w:lineRule="exact"/>
        <w:jc w:val="left"/>
        <w:rPr>
          <w:rFonts w:hint="eastAsia" w:ascii="仿宋_GB2312" w:hAnsi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关于《“大棚房问题“回头看”违规问题分乡（镇）明细表》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“项目主体名称”是指项目名称,如“xxx乡（镇）xx园项目”等,如项目是农户个人实施,则此处填写“xx省xx县xx乡(镇)村xx(农户姓名)”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“建设地点”详细填写到村组。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“用地总面积”是指该项目总占地面积。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“违规建设面积”是指超过标准的建设面积、硬化面积以及其他非农用途面积。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“问题类型”参见《“大棚房”问题专项清理整治行动“回头看”方案》第二部分“回头看”排查整治范围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关于《“大棚房问题“回头看”违规问题分乡（镇）汇总表》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此表是按照问题类型,汇总统计各乡（镇）“大棚房”问题数量和面积。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核查项目主体总数”是指核查发现的存在违法违规问题的项目主体总数,按一二三类问题分别统计。同一项目主体涉及多类问题的要分别统计。如xx省xx县xx园涉及一、二、三类问题,按问题类型和数量在“问题类型一、二、三”中分别统计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小计”“遗留未整改到位问题”“已整改到位改扩建反弹问题”“新建违规问题”中,“个数”是指“大棚房”问题个数,如一个棚违规,计一个问题。“面积”为该问题涉及的违法违规面积。“小计”个数和面积分别是“遗留未整改到位问题”“已整改到位改扩建反弹问题”“新建违规问题”的个数和面积之和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遗留未整改问题”是指“大棚房”问题专项清理整治行动中遗留未整改完成的问题;“已整改到位改扩建反弹问题”是指“大棚房”问题专项清理整治行动中已整改完成之后又反弹的问题，“新建违规问题”是指“大棚房”问题专项清理整治行动“回头看”中新发现的问题。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36E3C"/>
    <w:rsid w:val="5C4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left="0" w:leftChars="0" w:firstLine="420"/>
    </w:pPr>
    <w:rPr>
      <w:rFonts w:ascii="仿宋_GB2312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qFormat/>
    <w:uiPriority w:val="99"/>
    <w:rPr>
      <w:rFonts w:ascii="仿宋" w:hAnsi="仿宋" w:eastAsia="仿宋" w:cs="仿宋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2021-07-13T03:03:00Z</dcterms:created>
  <dc:creator>WPS_1480477368</dc:creator>
  <cp:lastModifiedBy>WPS_1480477368</cp:lastModifiedBy>
  <dcterms:modified xsi:type="dcterms:W3CDTF">2021-07-13T03:03:37Z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7384E32DDEAE4265B67203476930708C</vt:lpwstr>
  </property>
  <property fmtid="{D5CDD505-2E9C-101B-9397-08002B2CF9AE}" pid="4" name="KSOSaveFontToCloudKey">
    <vt:lpwstr>254101425_stopsync</vt:lpwstr>
  </property>
</Properties>
</file>