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</w:t>
      </w:r>
      <w:r>
        <w:rPr>
          <w:rFonts w:hint="eastAsia" w:ascii="黑体" w:hAnsi="黑体" w:eastAsia="黑体" w:cs="黑体"/>
          <w:lang w:eastAsia="zh-CN"/>
        </w:rPr>
        <w:t>件</w:t>
      </w:r>
      <w:r>
        <w:rPr>
          <w:rFonts w:hint="eastAsia" w:ascii="黑体" w:hAnsi="黑体" w:eastAsia="黑体" w:cs="黑体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24071"/>
      <w:bookmarkStart w:id="1" w:name="_Toc8932"/>
      <w:bookmarkStart w:id="2" w:name="_Toc14993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曲沃县特种设备事故预警级别及预警措施</w:t>
      </w:r>
      <w:bookmarkEnd w:id="0"/>
      <w:bookmarkEnd w:id="1"/>
      <w:bookmarkEnd w:id="2"/>
    </w:p>
    <w:p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900"/>
        <w:gridCol w:w="4830"/>
        <w:gridCol w:w="5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noWrap w:val="0"/>
            <w:vAlign w:val="top"/>
          </w:tcPr>
          <w:p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预警级别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标识</w:t>
            </w:r>
          </w:p>
        </w:tc>
        <w:tc>
          <w:tcPr>
            <w:tcW w:w="4830" w:type="dxa"/>
            <w:noWrap w:val="0"/>
            <w:vAlign w:val="top"/>
          </w:tcPr>
          <w:p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启动条件</w:t>
            </w:r>
          </w:p>
        </w:tc>
        <w:tc>
          <w:tcPr>
            <w:tcW w:w="5866" w:type="dxa"/>
            <w:noWrap w:val="0"/>
            <w:vAlign w:val="top"/>
          </w:tcPr>
          <w:p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预警措施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一级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红色</w:t>
            </w:r>
          </w:p>
        </w:tc>
        <w:tc>
          <w:tcPr>
            <w:tcW w:w="483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学校、幼儿园以及医院、车站、客运码头、商场、体育场馆、展览馆、公园等公众聚集场所及易造成群死群伤、可能造成严重社会影响的单位，发现特别重大特种设备事故隐患</w:t>
            </w:r>
          </w:p>
        </w:tc>
        <w:tc>
          <w:tcPr>
            <w:tcW w:w="5866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及时收集、报告相关信息，加强监测、预报和预警工作；2.组织有关部门或专家进行风险评估；3.按照规定向社会发布预警信息；4.预警单位要加强监测、监控；5.相关岗位人员做好应急出动准备，严阵以待，保持信息畅通；6.积极消除事故隐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二级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橙色</w:t>
            </w:r>
          </w:p>
        </w:tc>
        <w:tc>
          <w:tcPr>
            <w:tcW w:w="483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学校、幼儿园以及医院、车站、客运码头、商场、体育场馆、展览馆、公园等公众聚集场所，易造成群死群伤、可能造成严重社会影响的单位，发现重大特种设备安全事故隐患</w:t>
            </w:r>
          </w:p>
        </w:tc>
        <w:tc>
          <w:tcPr>
            <w:tcW w:w="5866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1.及时收集、报告相关信息，加强监测、预报和预警工作；2.组织有关部门或专家进行风险评估；3.按照规定向社会发布预警信息；4.预警单位要加强监测、监控；5.相关岗位人员保持信息畅通；6.积极消除事故隐患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三级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黄色</w:t>
            </w:r>
          </w:p>
        </w:tc>
        <w:tc>
          <w:tcPr>
            <w:tcW w:w="483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学校、幼儿园以及医院、车站、客运码头、商场、体育场馆、展览馆、公园等公众聚集场所，易造成群死群伤、可能造成严重社会影响的单位，发现较大特种设备安全事故隐患</w:t>
            </w:r>
          </w:p>
        </w:tc>
        <w:tc>
          <w:tcPr>
            <w:tcW w:w="5866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1.预警单位要加强值班值守；2.加大检查力度、密度，对重要地区或重点部位严防死守；3.相关岗位人员做好应急出动准备；4.保持信息畅通；5.积极消除事故隐患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蓝色</w:t>
            </w:r>
          </w:p>
        </w:tc>
        <w:tc>
          <w:tcPr>
            <w:tcW w:w="483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学校、幼儿园以及医院、车站、客运码头、商场、体育场馆、展览馆、公园等公众聚集场所，易造成群死群伤、可能造成严重社会影响的单位，发现一般特种设备安全事故隐患</w:t>
            </w:r>
          </w:p>
        </w:tc>
        <w:tc>
          <w:tcPr>
            <w:tcW w:w="5866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1.预警单位要加强值班值守；2.加大检查力度、密度；3.加强跟踪监测；4.积极消除事故隐患</w:t>
            </w:r>
          </w:p>
        </w:tc>
      </w:tr>
    </w:tbl>
    <w:p>
      <w:bookmarkStart w:id="3" w:name="_GoBack"/>
      <w:bookmarkEnd w:id="3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BF8B6"/>
    <w:rsid w:val="3D6BF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73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2021-11-26T16:08:00Z</dcterms:created>
  <dc:creator>baixin</dc:creator>
  <cp:lastModifiedBy>baixin</cp:lastModifiedBy>
  <dcterms:modified xsi:type="dcterms:W3CDTF">2021-11-26T16:09:20Z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