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12" w:firstLineChars="100"/>
        <w:outlineLvl w:val="0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</w:rPr>
        <w:t>附</w:t>
      </w:r>
      <w:r>
        <w:rPr>
          <w:rFonts w:hint="eastAsia" w:ascii="黑体" w:hAnsi="黑体" w:eastAsia="黑体" w:cs="黑体"/>
          <w:lang w:eastAsia="zh-CN"/>
        </w:rPr>
        <w:t>件</w:t>
      </w:r>
      <w:r>
        <w:rPr>
          <w:rFonts w:hint="eastAsia" w:ascii="黑体" w:hAnsi="黑体" w:eastAsia="黑体" w:cs="黑体"/>
          <w:lang w:val="en-US" w:eastAsia="zh-CN"/>
        </w:rPr>
        <w:t>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92" w:afterLines="50" w:line="63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曲沃县特种设备事故响应条件及应急处置措施</w:t>
      </w:r>
    </w:p>
    <w:tbl>
      <w:tblPr>
        <w:tblStyle w:val="3"/>
        <w:tblW w:w="119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6"/>
        <w:gridCol w:w="2950"/>
        <w:gridCol w:w="77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226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FZXBSJW--GB1-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FZXBSJW--GB1-0"/>
                <w:kern w:val="0"/>
                <w:sz w:val="24"/>
                <w:szCs w:val="24"/>
              </w:rPr>
              <w:t>响应等级</w:t>
            </w:r>
          </w:p>
        </w:tc>
        <w:tc>
          <w:tcPr>
            <w:tcW w:w="2950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FZXBSJW--GB1-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FZXBSJW--GB1-0"/>
                <w:kern w:val="0"/>
                <w:sz w:val="24"/>
                <w:szCs w:val="24"/>
              </w:rPr>
              <w:t>启动条件</w:t>
            </w:r>
          </w:p>
        </w:tc>
        <w:tc>
          <w:tcPr>
            <w:tcW w:w="7779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黑体" w:hAnsi="黑体" w:eastAsia="黑体" w:cs="FZXBSJW--GB1-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FZXBSJW--GB1-0"/>
                <w:kern w:val="0"/>
                <w:sz w:val="24"/>
                <w:szCs w:val="24"/>
              </w:rPr>
              <w:t>应急处置措施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  <w:jc w:val="center"/>
        </w:trPr>
        <w:tc>
          <w:tcPr>
            <w:tcW w:w="1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  <w:t>一级</w:t>
            </w:r>
          </w:p>
        </w:tc>
        <w:tc>
          <w:tcPr>
            <w:tcW w:w="29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  <w:t>发生特别重大、重大特种设备事故，或县指挥部认为需要启动一级响应的情形</w:t>
            </w:r>
          </w:p>
        </w:tc>
        <w:tc>
          <w:tcPr>
            <w:tcW w:w="77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textAlignment w:val="auto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  <w:t>配合国家工作组、省级指挥部落实相应工作。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  <w:jc w:val="center"/>
        </w:trPr>
        <w:tc>
          <w:tcPr>
            <w:tcW w:w="1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  <w:t>二级</w:t>
            </w:r>
          </w:p>
        </w:tc>
        <w:tc>
          <w:tcPr>
            <w:tcW w:w="29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  <w:t>发生较大特种设备事故，或县指挥部认为需要启动二级响应的情形</w:t>
            </w:r>
          </w:p>
        </w:tc>
        <w:tc>
          <w:tcPr>
            <w:tcW w:w="77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textAlignment w:val="auto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  <w:t>1.认真贯彻落实市委市政府有关指示批示精神，积极配合市政府工作组，落实相应工作；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textAlignment w:val="auto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  <w:t>2.指挥长带领相关成员单位和有关专家到达现场，成立现场指挥部及其工作组，依照分工开展事故会商，分析研判事故形势，研究制定事故处置方案和保障方案并组织实施，可根据事故发展态势及时调整处置方案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textAlignment w:val="auto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  <w:t>3.进一步做好交通、通信、医疗、消防、电力等应急保障工作；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textAlignment w:val="auto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  <w:t>4.加强对重要目标和重大危险源的排查和安全处置工作，防范次生灾害；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textAlignment w:val="auto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  <w:t>5.加强气象条件服务，视情况调整相应的应急救援工作；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textAlignment w:val="auto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  <w:t>6.统一信息发布，正确引导舆论报道。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  <w:jc w:val="center"/>
        </w:trPr>
        <w:tc>
          <w:tcPr>
            <w:tcW w:w="1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  <w:t>三级</w:t>
            </w:r>
          </w:p>
        </w:tc>
        <w:tc>
          <w:tcPr>
            <w:tcW w:w="29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  <w:t>发生一般特种设备事故，或县指挥部认为需要启动三级响应的情形</w:t>
            </w:r>
          </w:p>
        </w:tc>
        <w:tc>
          <w:tcPr>
            <w:tcW w:w="77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textAlignment w:val="auto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  <w:t>以县级响应为主，县指挥部根据县级指挥部的请求派出相关人员、技术专家，给予支持帮助，同时开展以下工作：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textAlignment w:val="auto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  <w:t>1.密切关注事态的发展；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textAlignment w:val="auto"/>
              <w:rPr>
                <w:rFonts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  <w:t>2.加强事故处置信息的收集、分析，提出应对建议；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textAlignment w:val="auto"/>
              <w:rPr>
                <w:rFonts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  <w:t>3.做好扩大应急的准备。</w:t>
            </w:r>
          </w:p>
        </w:tc>
      </w:tr>
    </w:tbl>
    <w:p>
      <w:pPr>
        <w:rPr>
          <w:rFonts w:ascii="楷体_GB2312" w:hAnsi="宋体" w:eastAsia="楷体_GB2312"/>
        </w:rPr>
      </w:pPr>
    </w:p>
    <w:p>
      <w:bookmarkStart w:id="0" w:name="_GoBack"/>
      <w:bookmarkEnd w:id="0"/>
    </w:p>
    <w:sectPr>
      <w:pgSz w:w="16838" w:h="11906" w:orient="landscape"/>
      <w:pgMar w:top="1587" w:right="2098" w:bottom="1474" w:left="1984" w:header="851" w:footer="992" w:gutter="0"/>
      <w:pgNumType w:fmt="numberInDash"/>
      <w:cols w:space="720" w:num="1"/>
      <w:docGrid w:type="linesAndChars" w:linePitch="579" w:charSpace="-183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10601030101010101"/>
    <w:charset w:val="00"/>
    <w:family w:val="script"/>
    <w:pitch w:val="default"/>
    <w:sig w:usb0="00000000" w:usb1="00000000" w:usb2="00000000" w:usb3="00000000" w:csb0="00040000" w:csb1="00000000"/>
  </w:font>
  <w:font w:name="FZXBSJW--GB1-0">
    <w:altName w:val="CESI仿宋-GB13000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楷体_GB2312">
    <w:altName w:val="方正楷体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CE65925"/>
    <w:rsid w:val="ECE65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黑体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2021-11-26T16:08:00Z</dcterms:created>
  <dc:creator>baixin</dc:creator>
  <cp:lastModifiedBy>baixin</cp:lastModifiedBy>
  <dcterms:modified xsi:type="dcterms:W3CDTF">2021-11-26T16:09:32Z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