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line="560" w:lineRule="exac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附件4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 w:bidi="ar-SA"/>
        </w:rPr>
        <w:t>曲沃县危险化学品事故应急响应条件</w:t>
      </w:r>
    </w:p>
    <w:tbl>
      <w:tblPr>
        <w:tblStyle w:val="4"/>
        <w:tblW w:w="13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1"/>
        <w:gridCol w:w="3575"/>
        <w:gridCol w:w="3002"/>
        <w:gridCol w:w="29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3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  <w:t>一级响应</w:t>
            </w:r>
          </w:p>
        </w:tc>
        <w:tc>
          <w:tcPr>
            <w:tcW w:w="3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  <w:t>二级响应</w:t>
            </w:r>
          </w:p>
        </w:tc>
        <w:tc>
          <w:tcPr>
            <w:tcW w:w="30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  <w:t>三级响应</w:t>
            </w:r>
          </w:p>
        </w:tc>
        <w:tc>
          <w:tcPr>
            <w:tcW w:w="29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</w:rPr>
              <w:t>四级响应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7" w:hRule="atLeast"/>
          <w:jc w:val="center"/>
        </w:trPr>
        <w:tc>
          <w:tcPr>
            <w:tcW w:w="37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启动条件：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发生特别重大事故；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造成30人以上涉险、被困、失联的事故；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需要紧急转移安置10000人以上的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危险化学品事故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县指挥部认为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需要启动一级响应的情形。</w:t>
            </w:r>
          </w:p>
        </w:tc>
        <w:tc>
          <w:tcPr>
            <w:tcW w:w="35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启动条件：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发生重大事故；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造成10人以上涉险、被困、失联的事故；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需要紧急转移安置5000人以上10000人以下的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危险化学品事故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县指挥部认为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需要启动二级响应的其他情形。</w:t>
            </w:r>
          </w:p>
        </w:tc>
        <w:tc>
          <w:tcPr>
            <w:tcW w:w="30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启动条件：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1.发生较大事故；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2.造成3人以上10人以下涉险、被困、失联的事故；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3.需要紧急转移安置500人以上5000人以下的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危险化学品事故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4.超出县级人民政府应急处置能力的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事故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县指挥部认为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需要启动三级级响应的其他情形。</w:t>
            </w:r>
          </w:p>
        </w:tc>
        <w:tc>
          <w:tcPr>
            <w:tcW w:w="2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启动条件：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1.发生一般事故；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2.造成3人以下涉险、被困、失联的事故；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3.需要紧急转移安置500人以下的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危险化学品事故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县指挥部认为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需要启动四级响应的其他情形。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329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</w:rPr>
              <w:t>说明：上述数量表述中，“以上”含本数，“以下”不含本数。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C425A5"/>
    <w:multiLevelType w:val="singleLevel"/>
    <w:tmpl w:val="85C425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BC81C9"/>
    <w:multiLevelType w:val="singleLevel"/>
    <w:tmpl w:val="63BC81C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7B6E1D"/>
    <w:rsid w:val="FD7B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2022-01-18T15:47:00Z</dcterms:created>
  <dc:creator>baixin</dc:creator>
  <cp:lastModifiedBy>baixin</cp:lastModifiedBy>
  <dcterms:modified xsi:type="dcterms:W3CDTF">2022-01-18T15:48:42Z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