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63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keepNext w:val="0"/>
        <w:keepLines w:val="0"/>
        <w:pageBreakBefore w:val="0"/>
        <w:widowControl w:val="0"/>
        <w:kinsoku/>
        <w:wordWrap/>
        <w:overflowPunct w:val="0"/>
        <w:topLinePunct w:val="0"/>
        <w:autoSpaceDE/>
        <w:autoSpaceDN/>
        <w:bidi w:val="0"/>
        <w:adjustRightInd/>
        <w:snapToGrid/>
        <w:spacing w:line="630" w:lineRule="exact"/>
        <w:jc w:val="center"/>
        <w:textAlignment w:val="auto"/>
        <w:rPr>
          <w:rFonts w:hint="eastAsia" w:ascii="仿宋_GB2312" w:hAnsi="仿宋_GB2312" w:eastAsia="方正小标宋_GBK" w:cs="方正小标宋_GBK"/>
          <w:sz w:val="44"/>
          <w:szCs w:val="44"/>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630" w:lineRule="exact"/>
        <w:jc w:val="center"/>
        <w:textAlignment w:val="auto"/>
        <w:rPr>
          <w:rFonts w:hint="eastAsia" w:ascii="仿宋_GB2312" w:hAnsi="仿宋_GB2312" w:eastAsia="方正小标宋_GBK" w:cs="方正小标宋_GBK"/>
          <w:sz w:val="44"/>
          <w:szCs w:val="44"/>
          <w:highlight w:val="none"/>
          <w:lang w:val="en-US" w:eastAsia="zh-CN"/>
        </w:rPr>
      </w:pPr>
      <w:bookmarkStart w:id="0" w:name="_GoBack"/>
      <w:r>
        <w:rPr>
          <w:rFonts w:hint="eastAsia" w:ascii="仿宋_GB2312" w:hAnsi="仿宋_GB2312" w:eastAsia="方正小标宋_GBK" w:cs="方正小标宋_GBK"/>
          <w:sz w:val="44"/>
          <w:szCs w:val="44"/>
          <w:highlight w:val="none"/>
          <w:lang w:val="en-US" w:eastAsia="zh-CN"/>
        </w:rPr>
        <w:t>相关法律依据</w:t>
      </w:r>
    </w:p>
    <w:bookmarkEnd w:id="0"/>
    <w:p>
      <w:pPr>
        <w:keepNext w:val="0"/>
        <w:keepLines w:val="0"/>
        <w:pageBreakBefore w:val="0"/>
        <w:widowControl w:val="0"/>
        <w:kinsoku/>
        <w:wordWrap/>
        <w:overflowPunct w:val="0"/>
        <w:topLinePunct w:val="0"/>
        <w:autoSpaceDE/>
        <w:autoSpaceDN/>
        <w:bidi w:val="0"/>
        <w:adjustRightInd/>
        <w:snapToGrid/>
        <w:spacing w:line="630" w:lineRule="exact"/>
        <w:jc w:val="both"/>
        <w:textAlignment w:val="auto"/>
        <w:rPr>
          <w:rFonts w:hint="eastAsia" w:ascii="仿宋_GB2312" w:hAnsi="仿宋_GB2312" w:eastAsia="方正小标宋_GBK" w:cs="方正小标宋_GBK"/>
          <w:sz w:val="44"/>
          <w:szCs w:val="44"/>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黑体" w:cs="黑体"/>
          <w:sz w:val="32"/>
          <w:szCs w:val="32"/>
          <w:highlight w:val="none"/>
          <w:lang w:val="en-US" w:eastAsia="zh-CN"/>
        </w:rPr>
      </w:pPr>
      <w:r>
        <w:rPr>
          <w:rFonts w:hint="eastAsia" w:ascii="仿宋_GB2312" w:hAnsi="仿宋_GB2312" w:eastAsia="黑体" w:cs="黑体"/>
          <w:sz w:val="32"/>
          <w:szCs w:val="32"/>
          <w:highlight w:val="none"/>
          <w:lang w:val="en-US" w:eastAsia="zh-CN"/>
        </w:rPr>
        <w:t>一、国家法律依据</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1.《中华人民共和国消防法》第十六条：</w:t>
      </w:r>
      <w:r>
        <w:rPr>
          <w:rFonts w:hint="eastAsia" w:ascii="仿宋_GB2312" w:hAnsi="仿宋_GB2312" w:eastAsia="仿宋_GB2312" w:cs="仿宋_GB2312"/>
          <w:b w:val="0"/>
          <w:bCs w:val="0"/>
          <w:sz w:val="32"/>
          <w:szCs w:val="32"/>
          <w:highlight w:val="none"/>
          <w:lang w:val="en-US" w:eastAsia="zh-CN"/>
        </w:rPr>
        <w:t>机关、团体、企业、事业等单位应当履行下列消防安全职责：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（一）落实消防安全责任制，制定本单位的消防安全制度、消防安全操作规程，制定灭火和应急疏散预案；</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（二）按照国家标准、行业标准配置消防设施、器材，设置消防安全标志，并定期组织检验、维修，确保完好有效；</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（三）对建筑消防设施每年至少进行一次全面检测，确保完好有效，检测记录应当完整准确，存档备查；</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（四）保障疏散通道、安全出口、消防车通道畅通，保证防火防烟分区、防火间距符合消防技术标准；</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（五）组织防火检查，及时消除火灾隐患；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（六）组织进行有针对性的消防演练；</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（七）法律、法规规定的其他消防安全职责。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单位的主要负责人是本单位的消防安全责任人。</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2.《中华人民共和国消防法》第六十条：</w:t>
      </w:r>
      <w:r>
        <w:rPr>
          <w:rFonts w:hint="eastAsia" w:ascii="仿宋_GB2312" w:hAnsi="仿宋_GB2312" w:eastAsia="仿宋_GB2312" w:cs="仿宋_GB2312"/>
          <w:b w:val="0"/>
          <w:bCs w:val="0"/>
          <w:sz w:val="32"/>
          <w:szCs w:val="32"/>
          <w:highlight w:val="none"/>
          <w:lang w:val="en-US" w:eastAsia="zh-CN"/>
        </w:rPr>
        <w:t>单位违反本法规定，有下列行为之一的，责令改正，处五千元以上五万元以下罚款：</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（一）消防设施、器材或者消防安全标志的配置、设置不符合国家标准、行业标准，或者未保持完好有效的；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（二）损坏、挪用或者擅自拆除、停用消防设施、器材的；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（三）占用、堵塞、封闭疏散通道、安全出口或者有其他妨碍安全疏散行为的；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（四）埋压、圈占、遮挡消火栓或者占用防火间距的；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（五）占用、堵塞、封闭消防车通道，妨碍消防车通行的；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（六）人员密集场所在门窗上设置影响逃生和灭火救援的障碍物的；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（七）对火灾隐患经消防救援机构通知后不及时采取措施消除的。</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个人有前款第二项、第三项、第四项、第五项行为之一的，处警告或者五百元以下罚款。</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有本条第一款第三项、第四项、第五项、第六项行为，经责令改正拒不改正的，强制执行，所需费用由违法行为人承担。</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3.国务院办公厅《消防安全责任制实施办法》（国办发〔2017〕87号）第八条（四）：</w:t>
      </w:r>
      <w:r>
        <w:rPr>
          <w:rFonts w:hint="eastAsia" w:ascii="仿宋_GB2312" w:hAnsi="仿宋_GB2312" w:eastAsia="仿宋_GB2312" w:cs="仿宋_GB2312"/>
          <w:b w:val="0"/>
          <w:bCs w:val="0"/>
          <w:sz w:val="32"/>
          <w:szCs w:val="32"/>
          <w:highlight w:val="none"/>
          <w:lang w:val="en-US" w:eastAsia="zh-CN"/>
        </w:rPr>
        <w:t>将消防公共服务事项纳入政府民生工程或为民办实事工程；在社会福利机构、幼儿园、托儿所、居民家庭、小旅馆、群租房以及住宿与生产、储存、经营合用的场所推广安装简易喷淋装置、独立式感烟火灾探测报警器。</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b/>
          <w:bCs/>
          <w:sz w:val="32"/>
          <w:szCs w:val="32"/>
          <w:highlight w:val="none"/>
          <w:lang w:eastAsia="zh-CN"/>
        </w:rPr>
        <w:t>国务院办公厅《关于加强基层消防工作的意见》（国办发〔</w:t>
      </w:r>
      <w:r>
        <w:rPr>
          <w:rFonts w:hint="eastAsia" w:ascii="仿宋_GB2312" w:hAnsi="仿宋_GB2312" w:eastAsia="仿宋_GB2312" w:cs="仿宋_GB2312"/>
          <w:b/>
          <w:bCs/>
          <w:sz w:val="32"/>
          <w:szCs w:val="32"/>
          <w:highlight w:val="none"/>
          <w:lang w:val="en-US" w:eastAsia="zh-CN"/>
        </w:rPr>
        <w:t>2026〕6号）五（十三）：</w:t>
      </w:r>
      <w:r>
        <w:rPr>
          <w:rFonts w:hint="eastAsia" w:ascii="仿宋_GB2312" w:hAnsi="仿宋_GB2312" w:eastAsia="仿宋_GB2312" w:cs="仿宋_GB2312"/>
          <w:b w:val="0"/>
          <w:bCs w:val="0"/>
          <w:sz w:val="32"/>
          <w:szCs w:val="32"/>
          <w:highlight w:val="none"/>
          <w:lang w:val="en-US" w:eastAsia="zh-CN"/>
        </w:rPr>
        <w:t>提升本质安全水平。</w:t>
      </w:r>
      <w:r>
        <w:rPr>
          <w:rFonts w:hint="eastAsia" w:ascii="仿宋_GB2312" w:hAnsi="仿宋_GB2312" w:eastAsia="仿宋_GB2312" w:cs="仿宋_GB2312"/>
          <w:sz w:val="32"/>
          <w:szCs w:val="32"/>
          <w:highlight w:val="none"/>
          <w:lang w:val="en-US" w:eastAsia="zh-CN"/>
        </w:rPr>
        <w:t>各地要针对沿街门店、养老机构、医院、学校、商超餐馆、培训机构等人员密集场所，严格落实畅通生命通道、建筑防火、使用装饰装修材料、动火作业等消防安全要求。加快推广新型智能化消防产品，推动老旧小区、出租房、经营性自建房等安装联网型独立式报警器、简易喷淋装置等，纳入民生实事项目。支持各地通过政府购买服务等方式，提升连片人员密集场所、村（社区）区域性共享消防控制保障水平。结合城镇老旧小区整治改造、城中村改造、城市基础设施建设改造等，强化火灾高风险区域、场所综合治理，完善消防基础设施，消除重大火灾隐患。</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5.公安部、民政部、住房城乡建设部、中国保险监督管理委员会、全国老龄工作委员会办公室、中国残疾人联合会等六部委团体联合印发《关于积极推动发挥独立式感烟火灾探测报警器火灾防控作用的指导意见》（公消</w:t>
      </w:r>
      <w:r>
        <w:rPr>
          <w:rFonts w:hint="eastAsia" w:ascii="仿宋_GB2312" w:hAnsi="仿宋_GB2312" w:eastAsia="仿宋" w:cs="仿宋"/>
          <w:b/>
          <w:bCs/>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2015</w:t>
      </w:r>
      <w:r>
        <w:rPr>
          <w:rFonts w:hint="eastAsia" w:ascii="仿宋_GB2312" w:hAnsi="仿宋_GB2312" w:eastAsia="仿宋" w:cs="仿宋"/>
          <w:b/>
          <w:bCs/>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289号）明确</w:t>
      </w:r>
      <w:r>
        <w:rPr>
          <w:rFonts w:hint="eastAsia" w:ascii="仿宋_GB2312" w:hAnsi="仿宋_GB2312" w:eastAsia="仿宋_GB2312" w:cs="仿宋_GB2312"/>
          <w:sz w:val="32"/>
          <w:szCs w:val="32"/>
          <w:highlight w:val="none"/>
          <w:lang w:val="en-US" w:eastAsia="zh-CN"/>
        </w:rPr>
        <w:t>：除已规定要求设置火灾自动报警设施的建筑外，养老院、福利院、残疾人服务机构、特困人员供养服务机构、幼儿园等老年人、残疾人和儿童建筑，居家养老、“空巢老人”、分散养老特困人员等人群住宅，社区综合服务设施等社区居民活动场所，位于棚户区、城乡结合部、传统文化村落和三级及以下耐火等级的老旧居民住宅，宿舍、出租屋、农家乐、小旅馆、地下居住空间等亡人火灾多发的场所宜推广安装独立感烟报警器；鼓励在其他居民住宅内安装使用独立感烟报警器。</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黑体" w:cs="黑体"/>
          <w:sz w:val="32"/>
          <w:szCs w:val="32"/>
          <w:highlight w:val="none"/>
          <w:lang w:val="en-US" w:eastAsia="zh-CN"/>
        </w:rPr>
      </w:pPr>
      <w:r>
        <w:rPr>
          <w:rFonts w:hint="eastAsia" w:ascii="仿宋_GB2312" w:hAnsi="仿宋_GB2312" w:eastAsia="黑体" w:cs="黑体"/>
          <w:sz w:val="32"/>
          <w:szCs w:val="32"/>
          <w:highlight w:val="none"/>
          <w:lang w:val="en-US" w:eastAsia="zh-CN"/>
        </w:rPr>
        <w:t>二、山西省级依据</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1.《山西省消防条例》第二十一条：</w:t>
      </w:r>
      <w:r>
        <w:rPr>
          <w:rFonts w:hint="eastAsia" w:ascii="仿宋_GB2312" w:hAnsi="仿宋_GB2312" w:eastAsia="仿宋_GB2312" w:cs="仿宋_GB2312"/>
          <w:b w:val="0"/>
          <w:bCs w:val="0"/>
          <w:sz w:val="32"/>
          <w:szCs w:val="32"/>
          <w:highlight w:val="none"/>
          <w:lang w:val="en-US" w:eastAsia="zh-CN"/>
        </w:rPr>
        <w:t>机关、团体、企业、事业等单位应当履行下列消防安全职责：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（一）建立消防安全责任制，确定所属部门、岗位的消防安全责任人及其职责，定期开展防火检查，及时消除火灾隐患；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（二）制定灭火和应急疏散预案，并组织有针对性的消防演练；</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（三）发生火灾及时报警，并组织疏散受困人员，扑救初起火灾，保护火灾现场，协助调查火灾原因；</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（四）设有建筑消防设施的，应当保证设施的正常运行，按照国家和省有关消防技术标准定期进行维护保养；</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（五）设有消防控制室的，应当执行消防控制室有关管理规定；</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（六）符合消防安全重点单位界定标准的，应当向单位所在地县（市、区）人民政府消防救援机构申报备案；</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（七）按照国家和省有关消防技术标准和管理规定每年对电气线路进行检测；</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（八）法律、法规规定的其他消防安全职责。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鼓励单位聘请注册消防工程师从事消防安全管理工作。</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具有固定生产经营场所且有一定规模的个体工商户，应当履行本条第一款规定的单位消防安全职责，依法承担单位法律责任。承担单位消防安全职责的个体工商户的界定标准，按照国家和省有关规定执行。</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2.《山西省消防条例》第三十一条：</w:t>
      </w:r>
      <w:r>
        <w:rPr>
          <w:rFonts w:hint="eastAsia" w:ascii="仿宋_GB2312" w:hAnsi="仿宋_GB2312" w:eastAsia="仿宋_GB2312" w:cs="仿宋_GB2312"/>
          <w:b w:val="0"/>
          <w:bCs w:val="0"/>
          <w:sz w:val="32"/>
          <w:szCs w:val="32"/>
          <w:highlight w:val="none"/>
          <w:lang w:val="en-US" w:eastAsia="zh-CN"/>
        </w:rPr>
        <w:t>新兴行业、新兴领域的消防安全监督管理职责不明确的，由县级以上人民政府按照业务相近的原则确定监督管理部门。</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小型的餐饮、购物、住宿、公共娱乐、休闲健身、医疗、教学、生产加工、手工作坊、易燃易爆危险品销售储存等场所，纳入消防监督检查范围。纳入消防监督检查范围的小型场所的界定标准，按照国家和省有关规定执行。</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2.《山西省经营性自建房安全管理实施细则（试行）》第十二条：</w:t>
      </w:r>
      <w:r>
        <w:rPr>
          <w:rFonts w:hint="eastAsia" w:ascii="仿宋_GB2312" w:hAnsi="仿宋_GB2312" w:eastAsia="仿宋_GB2312" w:cs="仿宋_GB2312"/>
          <w:b w:val="0"/>
          <w:bCs w:val="0"/>
          <w:sz w:val="32"/>
          <w:szCs w:val="32"/>
          <w:highlight w:val="none"/>
          <w:lang w:val="en-US" w:eastAsia="zh-CN"/>
        </w:rPr>
        <w:t>经营性自建房必须落实消防设施器材配置、保养等规定，依法开展消防安全检查。</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黑体" w:cs="黑体"/>
          <w:sz w:val="32"/>
          <w:szCs w:val="32"/>
          <w:highlight w:val="none"/>
          <w:lang w:val="en-US" w:eastAsia="zh-CN"/>
        </w:rPr>
      </w:pPr>
      <w:r>
        <w:rPr>
          <w:rFonts w:hint="eastAsia" w:ascii="仿宋_GB2312" w:hAnsi="仿宋_GB2312" w:eastAsia="黑体" w:cs="黑体"/>
          <w:sz w:val="32"/>
          <w:szCs w:val="32"/>
          <w:highlight w:val="none"/>
          <w:lang w:val="en-US" w:eastAsia="zh-CN"/>
        </w:rPr>
        <w:t>三、国家技术规范</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1.《住宿与生产储存经营合用场所消防安全技术要求》（XF703-2007）第4.3条：</w:t>
      </w:r>
      <w:r>
        <w:rPr>
          <w:rFonts w:hint="eastAsia" w:ascii="仿宋_GB2312" w:hAnsi="仿宋_GB2312" w:eastAsia="仿宋_GB2312" w:cs="仿宋_GB2312"/>
          <w:b w:val="0"/>
          <w:bCs w:val="0"/>
          <w:sz w:val="32"/>
          <w:szCs w:val="32"/>
          <w:highlight w:val="none"/>
          <w:lang w:val="en-US" w:eastAsia="zh-CN"/>
        </w:rPr>
        <w:t>a)住宿与非住宿部分应设置火灾自动报警系统或独立式感烟火灾探测报警器；b)住宿与非住宿部分之间应进行防火分隔；当无法分隔时，合用场所应设置自动喷水灭火系统或自动喷水局部应用系统；c)住宿与非住宿部分应设置独立的疏散设施；当确有困难时，应设置独立的辅助疏散设施。</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2.《独立式感烟火灾探测报警器》（GB20517-2025）第5.2外观要求：</w:t>
      </w:r>
      <w:r>
        <w:rPr>
          <w:rFonts w:hint="eastAsia" w:ascii="仿宋_GB2312" w:hAnsi="仿宋_GB2312" w:eastAsia="仿宋_GB2312" w:cs="仿宋_GB2312"/>
          <w:b w:val="0"/>
          <w:bCs w:val="0"/>
          <w:sz w:val="32"/>
          <w:szCs w:val="32"/>
          <w:highlight w:val="none"/>
          <w:lang w:val="en-US" w:eastAsia="zh-CN"/>
        </w:rPr>
        <w:t>报警器表面应无腐蚀、涂覆层脱落和起泡现象,无明显划伤、裂痕、毛刺等机械损伤,紧固部位无松动，报警器表面应有产品标志,应有质量检验合格标志。报警器应具备产品出厂时的完整包装,包装中应包含中文使用说明书。</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jc w:val="both"/>
        <w:textAlignment w:val="auto"/>
        <w:rPr>
          <w:rFonts w:hint="eastAsia" w:ascii="仿宋_GB2312" w:hAnsi="仿宋_GB2312" w:eastAsia="仿宋_GB2312" w:cs="仿宋_GB2312"/>
          <w:b/>
          <w:bCs/>
          <w:spacing w:val="-11"/>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pacing w:val="-11"/>
          <w:sz w:val="32"/>
          <w:szCs w:val="32"/>
          <w:highlight w:val="none"/>
          <w:lang w:val="en-US" w:eastAsia="zh-CN"/>
        </w:rPr>
        <w:t>《独立式感烟火灾探测报警器》（GB20517-2025）第8条：</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8.1总则</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8.1.1产品标志应在报警器安装维护过程中清晰可见。</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8.1.2产品标志不应贴在螺丝或其他易被拆卸的部件上。</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8.2产品标志</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8.2.1每只报警器均应清晰地标注下列信息:</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a)产品名称和型号;</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b)产品执行的标准编号;</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c)生产者名称,生产企业名称、地址;</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d)制造日期和产品编号;</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e)产品主要技术参数(额定工作电压;使用电池型号、电压,数量;平均工作电流)。</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8.2.2产品标志信息中如使用不常用符号或缩写时,应在报警器说明书中说明。</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8.3质量检验标志</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每只报警器均应有质量检验合格标志。</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eastAsia" w:ascii="仿宋_GB2312" w:hAnsi="仿宋_GB2312" w:eastAsia="黑体" w:cs="黑体"/>
          <w:sz w:val="32"/>
          <w:szCs w:val="32"/>
          <w:highlight w:val="none"/>
          <w:lang w:val="en-US" w:eastAsia="zh-CN"/>
        </w:rPr>
      </w:pPr>
      <w:r>
        <w:rPr>
          <w:rFonts w:hint="eastAsia" w:ascii="仿宋_GB2312" w:hAnsi="仿宋_GB2312" w:eastAsia="黑体" w:cs="黑体"/>
          <w:sz w:val="32"/>
          <w:szCs w:val="32"/>
          <w:highlight w:val="none"/>
          <w:lang w:val="en-US" w:eastAsia="zh-CN"/>
        </w:rPr>
        <w:t>四、职责分工依据</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曲沃县安全生产委员会《关于印发&lt;曲沃县管行业必须管安全、管业务必须管安全、管生产经营必须管安全实施细则（实行）&gt;的通知》（曲安发〔2025〕6号）：第三章各部门（单位）安全生产职责</w:t>
      </w:r>
    </w:p>
    <w:p>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DDDF17"/>
    <w:rsid w:val="6FDDD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Calibri" w:hAnsi="Calibri" w:eastAsia="宋体" w:cs="Times New Roman"/>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2026-04-24T17:32:00Z</dcterms:created>
  <dc:creator>baixin</dc:creator>
  <cp:lastModifiedBy>baixin</cp:lastModifiedBy>
  <dcterms:modified xsi:type="dcterms:W3CDTF">2026-04-24T17:33:58Z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7CEB3C27B65E848D9938EB690C87C490</vt:lpwstr>
  </property>
</Properties>
</file>