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left="0"/>
        <w:jc w:val="center"/>
        <w:textAlignment w:val="auto"/>
        <w:rPr>
          <w:rFonts w:hint="eastAsia" w:ascii="方正小标宋简体" w:hAnsi="方正小标宋简体" w:eastAsia="方正小标宋简体" w:cs="方正小标宋简体"/>
          <w:b w:val="0"/>
          <w:bCs w:val="0"/>
          <w:i w:val="0"/>
          <w:caps w:val="0"/>
          <w:color w:val="auto"/>
          <w:spacing w:val="0"/>
          <w:kern w:val="0"/>
          <w:sz w:val="44"/>
          <w:szCs w:val="44"/>
          <w:u w:val="none"/>
          <w:lang w:val="en-US" w:eastAsia="zh-CN"/>
        </w:rPr>
      </w:pPr>
      <w:r>
        <w:rPr>
          <w:rFonts w:hint="eastAsia" w:ascii="方正小标宋简体" w:hAnsi="方正小标宋简体" w:eastAsia="方正小标宋简体" w:cs="方正小标宋简体"/>
          <w:b w:val="0"/>
          <w:bCs w:val="0"/>
          <w:i w:val="0"/>
          <w:caps w:val="0"/>
          <w:color w:val="auto"/>
          <w:spacing w:val="0"/>
          <w:kern w:val="0"/>
          <w:sz w:val="44"/>
          <w:szCs w:val="44"/>
          <w:u w:val="none"/>
          <w:lang w:val="en-US" w:eastAsia="zh-CN"/>
        </w:rPr>
        <w:t>曲沃县城市供水特许经营项目</w:t>
      </w:r>
    </w:p>
    <w:p>
      <w:pPr>
        <w:pStyle w:val="1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left="0"/>
        <w:jc w:val="center"/>
        <w:textAlignment w:val="auto"/>
        <w:rPr>
          <w:rFonts w:hint="eastAsia" w:ascii="方正小标宋简体" w:hAnsi="方正小标宋简体" w:eastAsia="方正小标宋简体" w:cs="方正小标宋简体"/>
          <w:b w:val="0"/>
          <w:bCs w:val="0"/>
          <w:i w:val="0"/>
          <w:caps w:val="0"/>
          <w:color w:val="auto"/>
          <w:spacing w:val="0"/>
          <w:kern w:val="0"/>
          <w:sz w:val="44"/>
          <w:szCs w:val="44"/>
          <w:u w:val="none"/>
          <w:lang w:val="en-US" w:eastAsia="zh-CN"/>
        </w:rPr>
      </w:pPr>
      <w:r>
        <w:rPr>
          <w:rFonts w:hint="eastAsia" w:ascii="方正小标宋简体" w:hAnsi="方正小标宋简体" w:eastAsia="方正小标宋简体" w:cs="方正小标宋简体"/>
          <w:b w:val="0"/>
          <w:bCs w:val="0"/>
          <w:i w:val="0"/>
          <w:caps w:val="0"/>
          <w:color w:val="auto"/>
          <w:spacing w:val="0"/>
          <w:kern w:val="0"/>
          <w:sz w:val="44"/>
          <w:szCs w:val="44"/>
          <w:u w:val="none"/>
          <w:lang w:val="en-US" w:eastAsia="zh-CN"/>
        </w:rPr>
        <w:t>市场测试方案</w:t>
      </w:r>
    </w:p>
    <w:p>
      <w:pPr>
        <w:pStyle w:val="1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left="0" w:leftChars="0" w:firstLine="0" w:firstLineChars="0"/>
        <w:jc w:val="both"/>
        <w:textAlignment w:val="auto"/>
        <w:rPr>
          <w:rFonts w:hint="eastAsia" w:ascii="仿宋" w:hAnsi="仿宋" w:eastAsia="仿宋" w:cs="仿宋"/>
          <w:b/>
          <w:bCs/>
          <w:sz w:val="36"/>
          <w:szCs w:val="36"/>
          <w:highlight w:val="none"/>
          <w:lang w:val="en-US" w:eastAsia="zh-CN"/>
        </w:rPr>
      </w:pPr>
    </w:p>
    <w:p>
      <w:pPr>
        <w:pageBreakBefore w:val="0"/>
        <w:kinsoku/>
        <w:wordWrap/>
        <w:overflowPunct/>
        <w:topLinePunct w:val="0"/>
        <w:autoSpaceDE/>
        <w:autoSpaceDN/>
        <w:bidi w:val="0"/>
        <w:adjustRightInd/>
        <w:snapToGrid/>
        <w:spacing w:line="600" w:lineRule="exact"/>
        <w:ind w:left="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经曲沃县人民政府批准，曲沃县城市供水特许经营项目（以下简称“本项目”）拟采用特许经营模式实施，并授权曲沃县住房和城乡建设管理局为本项目的实施机构。为保证本项目获得潜在社会资本的充分响应及顺利落地实施，特公开进行市场测试。</w:t>
      </w:r>
    </w:p>
    <w:p>
      <w:pPr>
        <w:pStyle w:val="7"/>
        <w:pageBreakBefore w:val="0"/>
        <w:kinsoku/>
        <w:wordWrap/>
        <w:overflowPunct/>
        <w:topLinePunct w:val="0"/>
        <w:autoSpaceDE/>
        <w:autoSpaceDN/>
        <w:bidi w:val="0"/>
        <w:adjustRightInd/>
        <w:snapToGrid/>
        <w:spacing w:before="0" w:beforeLines="0" w:after="0" w:afterLines="0" w:line="600" w:lineRule="exact"/>
        <w:ind w:left="0"/>
        <w:textAlignment w:val="auto"/>
        <w:rPr>
          <w:rFonts w:hint="eastAsia" w:ascii="黑体" w:hAnsi="黑体" w:eastAsia="黑体" w:cs="黑体"/>
          <w:b w:val="0"/>
          <w:bCs/>
          <w:color w:val="auto"/>
          <w:highlight w:val="none"/>
        </w:rPr>
      </w:pPr>
      <w:r>
        <w:rPr>
          <w:rFonts w:hint="eastAsia" w:ascii="黑体" w:hAnsi="黑体" w:eastAsia="黑体" w:cs="黑体"/>
          <w:b w:val="0"/>
          <w:bCs/>
          <w:color w:val="auto"/>
          <w:highlight w:val="none"/>
        </w:rPr>
        <w:t>一、基本情况</w:t>
      </w:r>
    </w:p>
    <w:p>
      <w:pPr>
        <w:pStyle w:val="8"/>
        <w:pageBreakBefore w:val="0"/>
        <w:kinsoku/>
        <w:wordWrap/>
        <w:overflowPunct/>
        <w:topLinePunct w:val="0"/>
        <w:autoSpaceDE/>
        <w:autoSpaceDN/>
        <w:bidi w:val="0"/>
        <w:adjustRightInd/>
        <w:snapToGrid/>
        <w:spacing w:before="0" w:beforeLines="0" w:after="0" w:afterLines="0" w:line="600" w:lineRule="exact"/>
        <w:ind w:left="0"/>
        <w:textAlignment w:val="auto"/>
        <w:rPr>
          <w:rFonts w:hint="eastAsia" w:ascii="楷体_GB2312" w:hAnsi="楷体_GB2312" w:eastAsia="楷体_GB2312" w:cs="楷体_GB2312"/>
          <w:b w:val="0"/>
          <w:bCs/>
          <w:color w:val="auto"/>
          <w:highlight w:val="none"/>
          <w:lang w:val="en-US" w:eastAsia="zh-CN"/>
        </w:rPr>
      </w:pPr>
      <w:r>
        <w:rPr>
          <w:rFonts w:hint="eastAsia" w:ascii="楷体_GB2312" w:hAnsi="楷体_GB2312" w:eastAsia="楷体_GB2312" w:cs="楷体_GB2312"/>
          <w:b w:val="0"/>
          <w:bCs/>
          <w:color w:val="auto"/>
          <w:highlight w:val="none"/>
          <w:lang w:val="en-US" w:eastAsia="zh-CN"/>
        </w:rPr>
        <w:t>（一）项目概况</w:t>
      </w:r>
    </w:p>
    <w:p>
      <w:pPr>
        <w:pageBreakBefore w:val="0"/>
        <w:kinsoku/>
        <w:wordWrap/>
        <w:overflowPunct/>
        <w:topLinePunct w:val="0"/>
        <w:autoSpaceDE/>
        <w:autoSpaceDN/>
        <w:bidi w:val="0"/>
        <w:adjustRightInd/>
        <w:snapToGrid/>
        <w:spacing w:line="600" w:lineRule="exact"/>
        <w:ind w:left="0"/>
        <w:textAlignment w:val="auto"/>
        <w:rPr>
          <w:rFonts w:hint="eastAsia"/>
          <w:color w:val="auto"/>
          <w:lang w:val="en-US" w:eastAsia="zh-CN"/>
        </w:rPr>
      </w:pPr>
      <w:r>
        <w:rPr>
          <w:rFonts w:hint="eastAsia" w:ascii="仿宋_GB2312" w:hAnsi="仿宋_GB2312" w:eastAsia="仿宋_GB2312" w:cs="仿宋_GB2312"/>
          <w:color w:val="auto"/>
          <w:sz w:val="32"/>
          <w:szCs w:val="32"/>
          <w:highlight w:val="none"/>
          <w:lang w:val="en-US" w:eastAsia="zh-CN"/>
        </w:rPr>
        <w:t>曲沃县人民政府为拓宽城市基础设施和公用事业建设融资渠道，拟采用特许经营模式，引入有建设、投资、运营和管理能力的社会资本实施本项目，具体为BOT（对曲沃县城东水厂及管网项目进行建设-运营-移交）+ROT（对曲沃县原供水体系相关的资产及设施进行改建-运营-移交）模式。</w:t>
      </w:r>
    </w:p>
    <w:p>
      <w:pPr>
        <w:pageBreakBefore w:val="0"/>
        <w:kinsoku/>
        <w:wordWrap/>
        <w:overflowPunct/>
        <w:topLinePunct w:val="0"/>
        <w:autoSpaceDE/>
        <w:autoSpaceDN/>
        <w:bidi w:val="0"/>
        <w:adjustRightInd/>
        <w:snapToGrid/>
        <w:spacing w:line="600" w:lineRule="exact"/>
        <w:ind w:left="0"/>
        <w:textAlignment w:val="auto"/>
        <w:rPr>
          <w:rFonts w:hint="eastAsia" w:ascii="仿宋_GB2312" w:hAnsi="仿宋_GB2312" w:eastAsia="仿宋_GB2312" w:cs="仿宋_GB2312"/>
          <w:color w:val="auto"/>
          <w:sz w:val="32"/>
          <w:szCs w:val="32"/>
          <w:highlight w:val="none"/>
          <w:lang w:val="en-US" w:eastAsia="zh-CN"/>
        </w:rPr>
      </w:pPr>
      <w:bookmarkStart w:id="0" w:name="_Hlk22288801"/>
      <w:r>
        <w:rPr>
          <w:rFonts w:hint="eastAsia" w:ascii="仿宋_GB2312" w:hAnsi="仿宋_GB2312" w:eastAsia="仿宋_GB2312" w:cs="仿宋_GB2312"/>
          <w:color w:val="auto"/>
          <w:sz w:val="32"/>
          <w:szCs w:val="32"/>
          <w:highlight w:val="none"/>
          <w:lang w:val="en-US" w:eastAsia="zh-CN"/>
        </w:rPr>
        <w:t>曲沃县城市供水项目新建水厂位于乐昌镇马庄村南，110kv变电站北侧，占地23708.66㎡（合35.56亩）。</w:t>
      </w:r>
      <w:r>
        <w:rPr>
          <w:rFonts w:hint="eastAsia" w:ascii="仿宋_GB2312" w:hAnsi="仿宋_GB2312" w:eastAsia="仿宋_GB2312" w:cs="仿宋_GB2312"/>
          <w:color w:val="auto"/>
          <w:kern w:val="2"/>
          <w:sz w:val="32"/>
          <w:szCs w:val="32"/>
          <w:highlight w:val="none"/>
          <w:lang w:val="en-US" w:eastAsia="zh-CN" w:bidi="ar-SA"/>
        </w:rPr>
        <w:t>新建工程内容主要包括：</w:t>
      </w:r>
      <w:r>
        <w:rPr>
          <w:rFonts w:hint="eastAsia" w:ascii="仿宋_GB2312" w:hAnsi="仿宋_GB2312" w:eastAsia="仿宋_GB2312" w:cs="仿宋_GB2312"/>
          <w:color w:val="auto"/>
          <w:sz w:val="32"/>
          <w:szCs w:val="32"/>
          <w:highlight w:val="none"/>
          <w:lang w:val="en-US" w:eastAsia="zh-CN"/>
        </w:rPr>
        <w:t>建设1座供水能力2万m³/d的净水厂，输配水管线18.5公里。净水厂主要包括：沉淀池、滤池，清水池，吸水井、送水泵房及变配电室，排泥水及回用水池、加氯加药间，综合阀门操作间，门卫房，综合楼，机修间及仓库，以及工艺设备、电气设备、仪表设备、自控设备、通风空调设备、化验设备、机修设备、运输设备等；输配水管线包括：沸泉地表水至水厂DN500输水管线13.5公里、浍河管线至水厂DN300输水管线2.0公里、下郇水源管线至水厂DN300输水管线2.0公里，配水管线为新建水厂与现状配水管网主干管DN600连接管1.0公里。</w:t>
      </w:r>
    </w:p>
    <w:bookmarkEnd w:id="0"/>
    <w:p>
      <w:pPr>
        <w:pageBreakBefore w:val="0"/>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曲沃县原供水体系相关的资产及设施包括曲沃县自来水公司资产、原曲沃县浩淼供水有限公司资产和曲沃县政府投资建设的城市供水管道等固定资产三部分。项目合作期内，项目公司享有对上述资产的经营使用权。</w:t>
      </w:r>
    </w:p>
    <w:p>
      <w:pPr>
        <w:pageBreakBefore w:val="0"/>
        <w:kinsoku/>
        <w:wordWrap/>
        <w:overflowPunct/>
        <w:topLinePunct w:val="0"/>
        <w:autoSpaceDE/>
        <w:autoSpaceDN/>
        <w:bidi w:val="0"/>
        <w:adjustRightInd/>
        <w:snapToGrid/>
        <w:spacing w:line="600" w:lineRule="exact"/>
        <w:ind w:left="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本项目总投资约10762.46万元，其中建设投资8800.83万元、建设期利息427.48万元、铺底流动资金34.15万元、曲沃县自来水公司内部职工安置费用1500万元，项目投资接受县政府委托的第三方机构审计，并以此作为最终的总投资金额。</w:t>
      </w:r>
    </w:p>
    <w:p>
      <w:pPr>
        <w:pStyle w:val="8"/>
        <w:pageBreakBefore w:val="0"/>
        <w:kinsoku/>
        <w:wordWrap/>
        <w:overflowPunct/>
        <w:topLinePunct w:val="0"/>
        <w:autoSpaceDE/>
        <w:autoSpaceDN/>
        <w:bidi w:val="0"/>
        <w:adjustRightInd/>
        <w:snapToGrid/>
        <w:spacing w:before="0" w:beforeLines="0" w:after="0" w:afterLines="0" w:line="600" w:lineRule="exact"/>
        <w:ind w:left="0"/>
        <w:textAlignment w:val="auto"/>
        <w:rPr>
          <w:rFonts w:hint="eastAsia" w:ascii="楷体_GB2312" w:hAnsi="楷体_GB2312" w:eastAsia="楷体_GB2312" w:cs="楷体_GB2312"/>
          <w:b w:val="0"/>
          <w:bCs/>
          <w:color w:val="auto"/>
          <w:highlight w:val="none"/>
          <w:lang w:val="en-US" w:eastAsia="zh-CN"/>
        </w:rPr>
      </w:pPr>
      <w:r>
        <w:rPr>
          <w:rFonts w:hint="eastAsia" w:ascii="楷体_GB2312" w:hAnsi="楷体_GB2312" w:eastAsia="楷体_GB2312" w:cs="楷体_GB2312"/>
          <w:b w:val="0"/>
          <w:bCs/>
          <w:color w:val="auto"/>
          <w:highlight w:val="none"/>
          <w:lang w:val="en-US" w:eastAsia="zh-CN"/>
        </w:rPr>
        <w:t>（二）项目实施机构</w:t>
      </w:r>
    </w:p>
    <w:p>
      <w:pPr>
        <w:pageBreakBefore w:val="0"/>
        <w:kinsoku/>
        <w:wordWrap/>
        <w:overflowPunct/>
        <w:topLinePunct w:val="0"/>
        <w:autoSpaceDE/>
        <w:autoSpaceDN/>
        <w:bidi w:val="0"/>
        <w:adjustRightInd/>
        <w:snapToGrid/>
        <w:spacing w:line="600" w:lineRule="exact"/>
        <w:ind w:left="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本项目实施机构为曲沃县住房和城乡建设管理局。</w:t>
      </w:r>
    </w:p>
    <w:p>
      <w:pPr>
        <w:pStyle w:val="8"/>
        <w:pageBreakBefore w:val="0"/>
        <w:kinsoku/>
        <w:wordWrap/>
        <w:overflowPunct/>
        <w:topLinePunct w:val="0"/>
        <w:autoSpaceDE/>
        <w:autoSpaceDN/>
        <w:bidi w:val="0"/>
        <w:adjustRightInd/>
        <w:snapToGrid/>
        <w:spacing w:before="0" w:beforeLines="0" w:after="0" w:afterLines="0" w:line="600" w:lineRule="exact"/>
        <w:ind w:left="0"/>
        <w:textAlignment w:val="auto"/>
        <w:rPr>
          <w:rFonts w:hint="eastAsia" w:ascii="楷体_GB2312" w:hAnsi="楷体_GB2312" w:eastAsia="楷体_GB2312" w:cs="楷体_GB2312"/>
          <w:b w:val="0"/>
          <w:bCs/>
          <w:color w:val="auto"/>
          <w:highlight w:val="none"/>
          <w:lang w:val="en-US" w:eastAsia="zh-CN"/>
        </w:rPr>
      </w:pPr>
      <w:r>
        <w:rPr>
          <w:rFonts w:hint="eastAsia" w:ascii="楷体_GB2312" w:hAnsi="楷体_GB2312" w:eastAsia="楷体_GB2312" w:cs="楷体_GB2312"/>
          <w:b w:val="0"/>
          <w:bCs/>
          <w:color w:val="auto"/>
          <w:highlight w:val="none"/>
          <w:lang w:val="en-US" w:eastAsia="zh-CN"/>
        </w:rPr>
        <w:t>（三）运作模式</w:t>
      </w:r>
    </w:p>
    <w:p>
      <w:pPr>
        <w:pageBreakBefore w:val="0"/>
        <w:kinsoku/>
        <w:wordWrap/>
        <w:overflowPunct/>
        <w:topLinePunct w:val="0"/>
        <w:autoSpaceDE/>
        <w:autoSpaceDN/>
        <w:bidi w:val="0"/>
        <w:adjustRightInd/>
        <w:snapToGrid/>
        <w:spacing w:line="600" w:lineRule="exact"/>
        <w:ind w:left="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项目采用“BOT+ROT”模式，项目实施机构通过公开招标程序确定社会资本，双方签订特许经营合同。</w:t>
      </w:r>
    </w:p>
    <w:p>
      <w:pPr>
        <w:pageBreakBefore w:val="0"/>
        <w:kinsoku/>
        <w:wordWrap/>
        <w:overflowPunct/>
        <w:topLinePunct w:val="0"/>
        <w:autoSpaceDE/>
        <w:autoSpaceDN/>
        <w:bidi w:val="0"/>
        <w:adjustRightInd/>
        <w:snapToGrid/>
        <w:spacing w:line="600" w:lineRule="exact"/>
        <w:ind w:left="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由实施机构曲沃县住房和城乡建设管理局依照法定程序选定优秀的社会资本，由社会资本出资组建项目公司。项目公司负责完成本项目的投融资、建设、运营维护和移交等工作。合作期满后，将项目资产无偿、完好、无债务、无担保地移交给曲沃县住房和城乡建设管理局或曲沃县人民政府指定机构。</w:t>
      </w:r>
    </w:p>
    <w:p>
      <w:pPr>
        <w:pStyle w:val="8"/>
        <w:pageBreakBefore w:val="0"/>
        <w:kinsoku/>
        <w:wordWrap/>
        <w:overflowPunct/>
        <w:topLinePunct w:val="0"/>
        <w:autoSpaceDE/>
        <w:autoSpaceDN/>
        <w:bidi w:val="0"/>
        <w:adjustRightInd/>
        <w:snapToGrid/>
        <w:spacing w:before="0" w:beforeLines="0" w:after="0" w:afterLines="0" w:line="600" w:lineRule="exact"/>
        <w:ind w:left="0"/>
        <w:textAlignment w:val="auto"/>
        <w:rPr>
          <w:rFonts w:hint="eastAsia" w:ascii="楷体_GB2312" w:hAnsi="楷体_GB2312" w:eastAsia="楷体_GB2312" w:cs="楷体_GB2312"/>
          <w:b w:val="0"/>
          <w:bCs/>
          <w:color w:val="auto"/>
          <w:highlight w:val="none"/>
          <w:lang w:val="en-US" w:eastAsia="zh-CN"/>
        </w:rPr>
      </w:pPr>
      <w:r>
        <w:rPr>
          <w:rFonts w:hint="eastAsia" w:ascii="楷体_GB2312" w:hAnsi="楷体_GB2312" w:eastAsia="楷体_GB2312" w:cs="楷体_GB2312"/>
          <w:b w:val="0"/>
          <w:bCs/>
          <w:color w:val="auto"/>
          <w:highlight w:val="none"/>
          <w:lang w:val="en-US" w:eastAsia="zh-CN"/>
        </w:rPr>
        <w:t>（四）合作期限</w:t>
      </w:r>
    </w:p>
    <w:p>
      <w:pPr>
        <w:pageBreakBefore w:val="0"/>
        <w:kinsoku/>
        <w:wordWrap/>
        <w:overflowPunct/>
        <w:topLinePunct w:val="0"/>
        <w:autoSpaceDE/>
        <w:autoSpaceDN/>
        <w:bidi w:val="0"/>
        <w:adjustRightInd/>
        <w:snapToGrid/>
        <w:spacing w:line="600" w:lineRule="exact"/>
        <w:ind w:left="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项目合作期限暂定30年（建设期2年，运营期28年）。</w:t>
      </w:r>
    </w:p>
    <w:p>
      <w:pPr>
        <w:pStyle w:val="8"/>
        <w:pageBreakBefore w:val="0"/>
        <w:kinsoku/>
        <w:wordWrap/>
        <w:overflowPunct/>
        <w:topLinePunct w:val="0"/>
        <w:autoSpaceDE/>
        <w:autoSpaceDN/>
        <w:bidi w:val="0"/>
        <w:adjustRightInd/>
        <w:snapToGrid/>
        <w:spacing w:before="0" w:beforeLines="0" w:after="0" w:afterLines="0" w:line="600" w:lineRule="exact"/>
        <w:ind w:left="0"/>
        <w:textAlignment w:val="auto"/>
        <w:rPr>
          <w:rFonts w:hint="eastAsia" w:ascii="楷体_GB2312" w:hAnsi="楷体_GB2312" w:eastAsia="楷体_GB2312" w:cs="楷体_GB2312"/>
          <w:b w:val="0"/>
          <w:bCs/>
          <w:color w:val="auto"/>
          <w:highlight w:val="none"/>
          <w:lang w:val="en-US" w:eastAsia="zh-CN"/>
        </w:rPr>
      </w:pPr>
      <w:r>
        <w:rPr>
          <w:rFonts w:hint="eastAsia" w:ascii="楷体_GB2312" w:hAnsi="楷体_GB2312" w:eastAsia="楷体_GB2312" w:cs="楷体_GB2312"/>
          <w:b w:val="0"/>
          <w:bCs/>
          <w:color w:val="auto"/>
          <w:highlight w:val="none"/>
          <w:lang w:val="en-US" w:eastAsia="zh-CN"/>
        </w:rPr>
        <w:t>（五）项目资产</w:t>
      </w:r>
    </w:p>
    <w:p>
      <w:pPr>
        <w:pStyle w:val="2"/>
        <w:pageBreakBefore w:val="0"/>
        <w:kinsoku/>
        <w:wordWrap/>
        <w:overflowPunct/>
        <w:topLinePunct w:val="0"/>
        <w:autoSpaceDE/>
        <w:autoSpaceDN/>
        <w:bidi w:val="0"/>
        <w:adjustRightInd/>
        <w:snapToGrid/>
        <w:spacing w:line="600" w:lineRule="exact"/>
        <w:ind w:left="0" w:firstLine="560"/>
        <w:jc w:val="both"/>
        <w:textAlignment w:val="auto"/>
        <w:rPr>
          <w:rFonts w:hint="eastAsia" w:ascii="黑体" w:hAnsi="黑体" w:eastAsia="黑体" w:cs="黑体"/>
          <w:b w:val="0"/>
          <w:bCs/>
          <w:color w:val="auto"/>
          <w:highlight w:val="none"/>
          <w:lang w:eastAsia="zh-CN"/>
        </w:rPr>
      </w:pPr>
      <w:bookmarkStart w:id="1" w:name="_Hlk22159982"/>
      <w:r>
        <w:rPr>
          <w:rFonts w:hint="eastAsia" w:ascii="仿宋_GB2312" w:hAnsi="仿宋_GB2312" w:eastAsia="仿宋_GB2312" w:cs="仿宋_GB2312"/>
          <w:color w:val="auto"/>
          <w:kern w:val="2"/>
          <w:sz w:val="32"/>
          <w:szCs w:val="32"/>
          <w:highlight w:val="none"/>
          <w:lang w:val="en-US" w:eastAsia="zh-CN" w:bidi="ar-SA"/>
        </w:rPr>
        <w:t>本项目资产包括两部分：新建工程涉及资产和原供水体系存量资产，在特许经营期内本项目资产更新重置的资金由项目公司承担，不在项目总投资范围内；建设期内新建工程部分投资建设形成的项目资产在特许经营期结束后无偿移交给政府，项目公司在特许经营期内享有本项目项下的产权和经营权，项目公司在未经政府同意情况下不得擅自转让、出售、抵押该部分资产；项目公司在特许经营期内对原供水体系涉及</w:t>
      </w:r>
      <w:bookmarkStart w:id="4" w:name="_GoBack"/>
      <w:bookmarkEnd w:id="4"/>
      <w:r>
        <w:rPr>
          <w:rFonts w:hint="eastAsia" w:ascii="仿宋_GB2312" w:hAnsi="仿宋_GB2312" w:eastAsia="仿宋_GB2312" w:cs="仿宋_GB2312"/>
          <w:color w:val="auto"/>
          <w:kern w:val="2"/>
          <w:sz w:val="32"/>
          <w:szCs w:val="32"/>
          <w:highlight w:val="none"/>
          <w:lang w:val="en-US" w:eastAsia="zh-CN" w:bidi="ar-SA"/>
        </w:rPr>
        <w:t>的相关资产设施进行运营维护，享有经营使用的权利；上述资产的最终权属具体以政府和项目公司签订的《特许经营协议》中约定为准。</w:t>
      </w:r>
      <w:bookmarkEnd w:id="1"/>
    </w:p>
    <w:p>
      <w:pPr>
        <w:pStyle w:val="8"/>
        <w:pageBreakBefore w:val="0"/>
        <w:kinsoku/>
        <w:wordWrap/>
        <w:overflowPunct/>
        <w:topLinePunct w:val="0"/>
        <w:autoSpaceDE/>
        <w:autoSpaceDN/>
        <w:bidi w:val="0"/>
        <w:adjustRightInd/>
        <w:snapToGrid/>
        <w:spacing w:before="0" w:beforeLines="0" w:after="0" w:afterLines="0" w:line="600" w:lineRule="exact"/>
        <w:ind w:left="0"/>
        <w:textAlignment w:val="auto"/>
        <w:rPr>
          <w:rFonts w:hint="eastAsia" w:ascii="楷体_GB2312" w:hAnsi="楷体_GB2312" w:eastAsia="楷体_GB2312" w:cs="楷体_GB2312"/>
          <w:b w:val="0"/>
          <w:bCs/>
          <w:color w:val="auto"/>
          <w:highlight w:val="none"/>
          <w:lang w:val="en-US" w:eastAsia="zh-CN"/>
        </w:rPr>
      </w:pPr>
      <w:r>
        <w:rPr>
          <w:rFonts w:hint="eastAsia" w:ascii="楷体_GB2312" w:hAnsi="楷体_GB2312" w:eastAsia="楷体_GB2312" w:cs="楷体_GB2312"/>
          <w:b w:val="0"/>
          <w:bCs/>
          <w:color w:val="auto"/>
          <w:highlight w:val="none"/>
          <w:lang w:val="en-US" w:eastAsia="zh-CN"/>
        </w:rPr>
        <w:t>（六）采购方式</w:t>
      </w:r>
    </w:p>
    <w:p>
      <w:pPr>
        <w:pageBreakBefore w:val="0"/>
        <w:kinsoku/>
        <w:wordWrap/>
        <w:overflowPunct/>
        <w:topLinePunct w:val="0"/>
        <w:autoSpaceDE/>
        <w:autoSpaceDN/>
        <w:bidi w:val="0"/>
        <w:adjustRightInd/>
        <w:snapToGrid/>
        <w:spacing w:line="600" w:lineRule="exact"/>
        <w:ind w:left="0"/>
        <w:textAlignment w:val="auto"/>
        <w:rPr>
          <w:rFonts w:hint="eastAsia" w:ascii="仿宋" w:hAnsi="仿宋" w:eastAsia="仿宋" w:cs="仿宋"/>
          <w:color w:val="auto"/>
          <w:highlight w:val="none"/>
        </w:rPr>
      </w:pPr>
      <w:r>
        <w:rPr>
          <w:rFonts w:hint="eastAsia" w:ascii="仿宋_GB2312" w:hAnsi="仿宋_GB2312" w:eastAsia="仿宋_GB2312" w:cs="仿宋_GB2312"/>
          <w:color w:val="auto"/>
          <w:sz w:val="32"/>
          <w:szCs w:val="32"/>
          <w:highlight w:val="none"/>
          <w:lang w:val="en-US" w:eastAsia="zh-CN"/>
        </w:rPr>
        <w:t>本项目采用公开招标方式择优选择社会资本。</w:t>
      </w:r>
    </w:p>
    <w:p>
      <w:pPr>
        <w:pStyle w:val="8"/>
        <w:pageBreakBefore w:val="0"/>
        <w:kinsoku/>
        <w:wordWrap/>
        <w:overflowPunct/>
        <w:topLinePunct w:val="0"/>
        <w:autoSpaceDE/>
        <w:autoSpaceDN/>
        <w:bidi w:val="0"/>
        <w:adjustRightInd/>
        <w:snapToGrid/>
        <w:spacing w:before="0" w:beforeLines="0" w:after="0" w:afterLines="0" w:line="600" w:lineRule="exact"/>
        <w:ind w:left="0"/>
        <w:textAlignment w:val="auto"/>
        <w:rPr>
          <w:rFonts w:hint="eastAsia" w:ascii="楷体_GB2312" w:hAnsi="楷体_GB2312" w:eastAsia="楷体_GB2312" w:cs="楷体_GB2312"/>
          <w:b w:val="0"/>
          <w:bCs/>
          <w:color w:val="auto"/>
          <w:highlight w:val="none"/>
          <w:lang w:val="en-US" w:eastAsia="zh-CN"/>
        </w:rPr>
      </w:pPr>
      <w:r>
        <w:rPr>
          <w:rFonts w:hint="eastAsia" w:ascii="楷体_GB2312" w:hAnsi="楷体_GB2312" w:eastAsia="楷体_GB2312" w:cs="楷体_GB2312"/>
          <w:b w:val="0"/>
          <w:bCs/>
          <w:color w:val="auto"/>
          <w:highlight w:val="none"/>
          <w:lang w:val="en-US" w:eastAsia="zh-CN"/>
        </w:rPr>
        <w:t>（七）暂定社会资本资格</w:t>
      </w:r>
    </w:p>
    <w:p>
      <w:pPr>
        <w:pageBreakBefore w:val="0"/>
        <w:kinsoku/>
        <w:wordWrap/>
        <w:overflowPunct/>
        <w:topLinePunct w:val="0"/>
        <w:autoSpaceDE/>
        <w:autoSpaceDN/>
        <w:bidi w:val="0"/>
        <w:adjustRightInd/>
        <w:snapToGrid/>
        <w:spacing w:line="600" w:lineRule="exact"/>
        <w:ind w:left="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1、申请人是依法成立且有效存续的具有法人资格的企业，申请人应同时满足《中华人民共和国政府采购法》第</w:t>
      </w:r>
      <w:r>
        <w:rPr>
          <w:rFonts w:hint="default" w:ascii="仿宋_GB2312" w:hAnsi="仿宋_GB2312" w:eastAsia="仿宋_GB2312" w:cs="仿宋_GB2312"/>
          <w:color w:val="auto"/>
          <w:sz w:val="32"/>
          <w:szCs w:val="32"/>
          <w:highlight w:val="none"/>
          <w:lang w:val="en-US" w:eastAsia="zh-CN"/>
        </w:rPr>
        <w:t>22</w:t>
      </w:r>
      <w:r>
        <w:rPr>
          <w:rFonts w:hint="eastAsia" w:ascii="仿宋_GB2312" w:hAnsi="仿宋_GB2312" w:eastAsia="仿宋_GB2312" w:cs="仿宋_GB2312"/>
          <w:color w:val="auto"/>
          <w:sz w:val="32"/>
          <w:szCs w:val="32"/>
          <w:highlight w:val="none"/>
          <w:lang w:val="en-US" w:eastAsia="zh-CN"/>
        </w:rPr>
        <w:t>条规定的条件；</w:t>
      </w:r>
    </w:p>
    <w:p>
      <w:pPr>
        <w:pageBreakBefore w:val="0"/>
        <w:kinsoku/>
        <w:wordWrap/>
        <w:overflowPunct/>
        <w:topLinePunct w:val="0"/>
        <w:autoSpaceDE/>
        <w:autoSpaceDN/>
        <w:bidi w:val="0"/>
        <w:adjustRightInd/>
        <w:snapToGrid/>
        <w:spacing w:line="600" w:lineRule="exact"/>
        <w:ind w:left="0"/>
        <w:textAlignment w:val="auto"/>
        <w:rPr>
          <w:rFonts w:hint="eastAsia"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val="en-US" w:eastAsia="zh-CN"/>
        </w:rPr>
        <w:t>、独立申请人或联合体申请人所有成员最近连续三年财务状况良好，没有处于财产被接管、冻结、破产或其它不良状态、无重大不良资产或不良投资项目；</w:t>
      </w:r>
    </w:p>
    <w:p>
      <w:pPr>
        <w:pageBreakBefore w:val="0"/>
        <w:kinsoku/>
        <w:wordWrap/>
        <w:overflowPunct/>
        <w:topLinePunct w:val="0"/>
        <w:autoSpaceDE/>
        <w:autoSpaceDN/>
        <w:bidi w:val="0"/>
        <w:adjustRightInd/>
        <w:snapToGrid/>
        <w:spacing w:line="600" w:lineRule="exact"/>
        <w:ind w:left="0"/>
        <w:textAlignment w:val="auto"/>
        <w:rPr>
          <w:rFonts w:hint="eastAsia"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val="en-US" w:eastAsia="zh-CN"/>
        </w:rPr>
        <w:t>、具有不低于项目投资估算的投融资能力；</w:t>
      </w:r>
    </w:p>
    <w:p>
      <w:pPr>
        <w:pageBreakBefore w:val="0"/>
        <w:kinsoku/>
        <w:wordWrap/>
        <w:overflowPunct/>
        <w:topLinePunct w:val="0"/>
        <w:autoSpaceDE/>
        <w:autoSpaceDN/>
        <w:bidi w:val="0"/>
        <w:adjustRightInd/>
        <w:snapToGrid/>
        <w:spacing w:line="600" w:lineRule="exact"/>
        <w:ind w:left="0"/>
        <w:textAlignment w:val="auto"/>
        <w:rPr>
          <w:rFonts w:hint="eastAsia"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val="en-US" w:eastAsia="zh-CN"/>
        </w:rPr>
        <w:t>、商业信誉良好，在经济活动中无重大违法违纪违规行为，近三年内财务会计资料无虚假记载；</w:t>
      </w:r>
    </w:p>
    <w:p>
      <w:pPr>
        <w:pageBreakBefore w:val="0"/>
        <w:kinsoku/>
        <w:wordWrap/>
        <w:overflowPunct/>
        <w:topLinePunct w:val="0"/>
        <w:autoSpaceDE/>
        <w:autoSpaceDN/>
        <w:bidi w:val="0"/>
        <w:adjustRightInd/>
        <w:snapToGrid/>
        <w:spacing w:line="600" w:lineRule="exact"/>
        <w:ind w:left="0"/>
        <w:textAlignment w:val="auto"/>
        <w:rPr>
          <w:rFonts w:hint="eastAsia"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val="en-US" w:eastAsia="zh-CN"/>
        </w:rPr>
        <w:t>、具体的供应商资格条件由实施机构在编制采购公告和采购文件时制定，以发布的采购公告为准；</w:t>
      </w:r>
    </w:p>
    <w:p>
      <w:pPr>
        <w:pageBreakBefore w:val="0"/>
        <w:kinsoku/>
        <w:wordWrap/>
        <w:overflowPunct/>
        <w:topLinePunct w:val="0"/>
        <w:autoSpaceDE/>
        <w:autoSpaceDN/>
        <w:bidi w:val="0"/>
        <w:adjustRightInd/>
        <w:snapToGrid/>
        <w:spacing w:line="600" w:lineRule="exact"/>
        <w:ind w:left="0"/>
        <w:textAlignment w:val="auto"/>
        <w:rPr>
          <w:rFonts w:hint="eastAsia"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val="en-US" w:eastAsia="zh-CN"/>
        </w:rPr>
        <w:t>、本项目接受联合体申请。</w:t>
      </w:r>
    </w:p>
    <w:p>
      <w:pPr>
        <w:pStyle w:val="8"/>
        <w:pageBreakBefore w:val="0"/>
        <w:kinsoku/>
        <w:wordWrap/>
        <w:overflowPunct/>
        <w:topLinePunct w:val="0"/>
        <w:autoSpaceDE/>
        <w:autoSpaceDN/>
        <w:bidi w:val="0"/>
        <w:adjustRightInd/>
        <w:snapToGrid/>
        <w:spacing w:before="0" w:beforeLines="0" w:after="0" w:afterLines="0" w:line="600" w:lineRule="exact"/>
        <w:ind w:left="0"/>
        <w:textAlignment w:val="auto"/>
        <w:rPr>
          <w:rFonts w:hint="eastAsia" w:ascii="楷体_GB2312" w:hAnsi="楷体_GB2312" w:eastAsia="楷体_GB2312" w:cs="楷体_GB2312"/>
          <w:b w:val="0"/>
          <w:bCs/>
          <w:color w:val="auto"/>
          <w:highlight w:val="none"/>
          <w:lang w:val="en-US" w:eastAsia="zh-CN"/>
        </w:rPr>
      </w:pPr>
      <w:r>
        <w:rPr>
          <w:rFonts w:hint="eastAsia" w:ascii="楷体_GB2312" w:hAnsi="楷体_GB2312" w:eastAsia="楷体_GB2312" w:cs="楷体_GB2312"/>
          <w:b w:val="0"/>
          <w:bCs/>
          <w:color w:val="auto"/>
          <w:highlight w:val="none"/>
          <w:lang w:val="en-US" w:eastAsia="zh-CN"/>
        </w:rPr>
        <w:t>（八）竞争指标</w:t>
      </w:r>
    </w:p>
    <w:p>
      <w:pPr>
        <w:pageBreakBefore w:val="0"/>
        <w:kinsoku/>
        <w:wordWrap/>
        <w:overflowPunct/>
        <w:topLinePunct w:val="0"/>
        <w:autoSpaceDE/>
        <w:autoSpaceDN/>
        <w:bidi w:val="0"/>
        <w:adjustRightInd/>
        <w:snapToGrid/>
        <w:spacing w:line="600" w:lineRule="exact"/>
        <w:ind w:left="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暂定竞争指标如下：</w:t>
      </w:r>
    </w:p>
    <w:p>
      <w:pPr>
        <w:pageBreakBefore w:val="0"/>
        <w:kinsoku/>
        <w:wordWrap/>
        <w:overflowPunct/>
        <w:topLinePunct w:val="0"/>
        <w:autoSpaceDE/>
        <w:autoSpaceDN/>
        <w:bidi w:val="0"/>
        <w:adjustRightInd/>
        <w:snapToGrid/>
        <w:spacing w:line="600" w:lineRule="exact"/>
        <w:ind w:left="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拟定采购标的为平均水价（P）：P≤2.84元/立方米；</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b/>
          <w:color w:val="auto"/>
          <w:sz w:val="22"/>
        </w:rPr>
      </w:pPr>
      <w:r>
        <w:rPr>
          <w:rFonts w:hint="eastAsia" w:ascii="仿宋_GB2312" w:hAnsi="仿宋_GB2312" w:eastAsia="仿宋_GB2312" w:cs="仿宋_GB2312"/>
          <w:color w:val="auto"/>
          <w:sz w:val="32"/>
          <w:szCs w:val="32"/>
          <w:highlight w:val="none"/>
          <w:lang w:val="en-US" w:eastAsia="zh-CN"/>
        </w:rPr>
        <w:t>其中，P=75%</w:t>
      </w:r>
      <w:r>
        <w:rPr>
          <w:rFonts w:hint="default"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A+24.5%</w:t>
      </w:r>
      <w:r>
        <w:rPr>
          <w:rFonts w:hint="default"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B+0.5%</w:t>
      </w:r>
      <w:r>
        <w:rPr>
          <w:rFonts w:hint="default"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C，项目运营期前三年内政府缺口补助金额总计506.05万元。</w:t>
      </w:r>
    </w:p>
    <w:p>
      <w:pPr>
        <w:pageBreakBefore w:val="0"/>
        <w:kinsoku/>
        <w:wordWrap/>
        <w:overflowPunct/>
        <w:topLinePunct w:val="0"/>
        <w:autoSpaceDE/>
        <w:autoSpaceDN/>
        <w:bidi w:val="0"/>
        <w:adjustRightInd/>
        <w:snapToGrid/>
        <w:spacing w:before="0" w:line="600" w:lineRule="exact"/>
        <w:ind w:right="0" w:firstLine="3533" w:firstLineChars="1100"/>
        <w:jc w:val="both"/>
        <w:textAlignment w:val="auto"/>
        <w:rPr>
          <w:rFonts w:hint="eastAsia" w:ascii="仿宋_GB2312" w:hAnsi="仿宋_GB2312" w:eastAsia="仿宋_GB2312" w:cs="仿宋_GB2312"/>
          <w:b/>
          <w:color w:val="auto"/>
          <w:sz w:val="32"/>
          <w:szCs w:val="32"/>
        </w:rPr>
      </w:pPr>
      <w:r>
        <w:rPr>
          <w:rFonts w:hint="eastAsia" w:ascii="仿宋_GB2312" w:hAnsi="仿宋_GB2312" w:eastAsia="仿宋_GB2312" w:cs="仿宋_GB2312"/>
          <w:b/>
          <w:color w:val="auto"/>
          <w:sz w:val="32"/>
          <w:szCs w:val="32"/>
        </w:rPr>
        <w:t>用水分类表</w:t>
      </w:r>
    </w:p>
    <w:p>
      <w:pPr>
        <w:pStyle w:val="3"/>
        <w:pageBreakBefore w:val="0"/>
        <w:kinsoku/>
        <w:wordWrap/>
        <w:overflowPunct/>
        <w:topLinePunct w:val="0"/>
        <w:autoSpaceDE/>
        <w:autoSpaceDN/>
        <w:bidi w:val="0"/>
        <w:adjustRightInd/>
        <w:snapToGrid/>
        <w:spacing w:before="1" w:line="600" w:lineRule="exact"/>
        <w:textAlignment w:val="auto"/>
        <w:rPr>
          <w:rFonts w:hint="eastAsia" w:ascii="仿宋_GB2312" w:hAnsi="仿宋_GB2312" w:eastAsia="仿宋_GB2312" w:cs="仿宋_GB2312"/>
          <w:b/>
          <w:color w:val="auto"/>
          <w:sz w:val="11"/>
        </w:rPr>
      </w:pPr>
    </w:p>
    <w:tbl>
      <w:tblPr>
        <w:tblStyle w:val="1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82"/>
        <w:gridCol w:w="1467"/>
        <w:gridCol w:w="215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jc w:val="center"/>
        </w:trPr>
        <w:tc>
          <w:tcPr>
            <w:tcW w:w="2482" w:type="dxa"/>
            <w:vAlign w:val="center"/>
          </w:tcPr>
          <w:p>
            <w:pPr>
              <w:pStyle w:val="40"/>
              <w:pageBreakBefore w:val="0"/>
              <w:kinsoku/>
              <w:wordWrap/>
              <w:overflowPunct/>
              <w:topLinePunct w:val="0"/>
              <w:autoSpaceDE/>
              <w:autoSpaceDN/>
              <w:bidi w:val="0"/>
              <w:adjustRightInd/>
              <w:snapToGrid/>
              <w:spacing w:before="0" w:line="600" w:lineRule="exact"/>
              <w:ind w:left="0" w:leftChars="0" w:firstLine="0" w:firstLineChars="0"/>
              <w:jc w:val="center"/>
              <w:textAlignment w:val="auto"/>
              <w:rPr>
                <w:rFonts w:hint="eastAsia" w:ascii="仿宋_GB2312" w:hAnsi="仿宋_GB2312" w:eastAsia="仿宋_GB2312" w:cs="仿宋_GB2312"/>
                <w:color w:val="auto"/>
                <w:sz w:val="26"/>
              </w:rPr>
            </w:pPr>
          </w:p>
        </w:tc>
        <w:tc>
          <w:tcPr>
            <w:tcW w:w="1467" w:type="dxa"/>
            <w:vAlign w:val="center"/>
          </w:tcPr>
          <w:p>
            <w:pPr>
              <w:pStyle w:val="40"/>
              <w:pageBreakBefore w:val="0"/>
              <w:kinsoku/>
              <w:wordWrap/>
              <w:overflowPunct/>
              <w:topLinePunct w:val="0"/>
              <w:autoSpaceDE/>
              <w:autoSpaceDN/>
              <w:bidi w:val="0"/>
              <w:adjustRightInd/>
              <w:snapToGrid/>
              <w:spacing w:before="0" w:line="600" w:lineRule="exact"/>
              <w:ind w:left="0" w:leftChars="0" w:right="101" w:firstLine="0" w:firstLineChars="0"/>
              <w:jc w:val="center"/>
              <w:textAlignment w:val="auto"/>
              <w:rPr>
                <w:rFonts w:hint="eastAsia" w:ascii="仿宋_GB2312" w:hAnsi="仿宋_GB2312" w:eastAsia="仿宋_GB2312" w:cs="仿宋_GB2312"/>
                <w:b/>
                <w:color w:val="auto"/>
                <w:sz w:val="22"/>
              </w:rPr>
            </w:pPr>
            <w:r>
              <w:rPr>
                <w:rFonts w:hint="eastAsia" w:ascii="仿宋_GB2312" w:hAnsi="仿宋_GB2312" w:eastAsia="仿宋_GB2312" w:cs="仿宋_GB2312"/>
                <w:b/>
                <w:color w:val="auto"/>
                <w:sz w:val="22"/>
              </w:rPr>
              <w:t>水量占比</w:t>
            </w:r>
          </w:p>
        </w:tc>
        <w:tc>
          <w:tcPr>
            <w:tcW w:w="2151" w:type="dxa"/>
            <w:vAlign w:val="center"/>
          </w:tcPr>
          <w:p>
            <w:pPr>
              <w:pStyle w:val="40"/>
              <w:pageBreakBefore w:val="0"/>
              <w:kinsoku/>
              <w:wordWrap/>
              <w:overflowPunct/>
              <w:topLinePunct w:val="0"/>
              <w:autoSpaceDE/>
              <w:autoSpaceDN/>
              <w:bidi w:val="0"/>
              <w:adjustRightInd/>
              <w:snapToGrid/>
              <w:spacing w:before="0" w:line="600" w:lineRule="exact"/>
              <w:ind w:left="0" w:leftChars="0" w:right="171" w:firstLine="0" w:firstLineChars="0"/>
              <w:jc w:val="center"/>
              <w:textAlignment w:val="auto"/>
              <w:rPr>
                <w:rFonts w:hint="eastAsia" w:ascii="仿宋_GB2312" w:hAnsi="仿宋_GB2312" w:eastAsia="仿宋_GB2312" w:cs="仿宋_GB2312"/>
                <w:b/>
                <w:color w:val="auto"/>
                <w:sz w:val="22"/>
              </w:rPr>
            </w:pPr>
            <w:r>
              <w:rPr>
                <w:rFonts w:hint="eastAsia" w:ascii="仿宋_GB2312" w:hAnsi="仿宋_GB2312" w:eastAsia="仿宋_GB2312" w:cs="仿宋_GB2312"/>
                <w:b/>
                <w:color w:val="auto"/>
                <w:sz w:val="22"/>
              </w:rPr>
              <w:t>售水价（元/m</w:t>
            </w:r>
            <w:r>
              <w:rPr>
                <w:rFonts w:hint="eastAsia" w:ascii="仿宋_GB2312" w:hAnsi="仿宋_GB2312" w:eastAsia="仿宋_GB2312" w:cs="仿宋_GB2312"/>
                <w:b/>
                <w:color w:val="auto"/>
                <w:position w:val="8"/>
                <w:sz w:val="14"/>
              </w:rPr>
              <w:t>3</w:t>
            </w:r>
            <w:r>
              <w:rPr>
                <w:rFonts w:hint="eastAsia" w:ascii="仿宋_GB2312" w:hAnsi="仿宋_GB2312" w:eastAsia="仿宋_GB2312" w:cs="仿宋_GB2312"/>
                <w:b/>
                <w:color w:val="auto"/>
                <w:sz w:val="22"/>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jc w:val="center"/>
        </w:trPr>
        <w:tc>
          <w:tcPr>
            <w:tcW w:w="2482" w:type="dxa"/>
          </w:tcPr>
          <w:p>
            <w:pPr>
              <w:pStyle w:val="40"/>
              <w:pageBreakBefore w:val="0"/>
              <w:kinsoku/>
              <w:wordWrap/>
              <w:overflowPunct/>
              <w:topLinePunct w:val="0"/>
              <w:autoSpaceDE/>
              <w:autoSpaceDN/>
              <w:bidi w:val="0"/>
              <w:adjustRightInd/>
              <w:snapToGrid/>
              <w:spacing w:before="10" w:line="600" w:lineRule="exact"/>
              <w:ind w:left="0" w:leftChars="0" w:right="266" w:firstLine="0" w:firstLineChars="0"/>
              <w:jc w:val="center"/>
              <w:textAlignment w:val="auto"/>
              <w:rPr>
                <w:rFonts w:hint="eastAsia" w:ascii="仿宋_GB2312" w:hAnsi="仿宋_GB2312" w:eastAsia="仿宋_GB2312" w:cs="仿宋_GB2312"/>
                <w:b/>
                <w:color w:val="auto"/>
                <w:sz w:val="22"/>
              </w:rPr>
            </w:pPr>
            <w:r>
              <w:rPr>
                <w:rFonts w:hint="eastAsia" w:ascii="仿宋_GB2312" w:hAnsi="仿宋_GB2312" w:eastAsia="仿宋_GB2312" w:cs="仿宋_GB2312"/>
                <w:b/>
                <w:color w:val="auto"/>
                <w:w w:val="95"/>
                <w:sz w:val="22"/>
              </w:rPr>
              <w:t>居民生活用水</w:t>
            </w:r>
          </w:p>
        </w:tc>
        <w:tc>
          <w:tcPr>
            <w:tcW w:w="1467" w:type="dxa"/>
          </w:tcPr>
          <w:p>
            <w:pPr>
              <w:pStyle w:val="40"/>
              <w:pageBreakBefore w:val="0"/>
              <w:kinsoku/>
              <w:wordWrap/>
              <w:overflowPunct/>
              <w:topLinePunct w:val="0"/>
              <w:autoSpaceDE/>
              <w:autoSpaceDN/>
              <w:bidi w:val="0"/>
              <w:adjustRightInd/>
              <w:snapToGrid/>
              <w:spacing w:line="600" w:lineRule="exact"/>
              <w:ind w:left="0" w:leftChars="0" w:right="99" w:firstLine="0" w:firstLineChars="0"/>
              <w:jc w:val="center"/>
              <w:textAlignment w:val="auto"/>
              <w:rPr>
                <w:rFonts w:hint="eastAsia" w:ascii="仿宋_GB2312" w:hAnsi="仿宋_GB2312" w:eastAsia="仿宋_GB2312" w:cs="仿宋_GB2312"/>
                <w:color w:val="auto"/>
                <w:sz w:val="22"/>
              </w:rPr>
            </w:pPr>
            <w:r>
              <w:rPr>
                <w:rFonts w:hint="eastAsia" w:ascii="仿宋_GB2312" w:hAnsi="仿宋_GB2312" w:eastAsia="仿宋_GB2312" w:cs="仿宋_GB2312"/>
                <w:color w:val="auto"/>
                <w:sz w:val="22"/>
              </w:rPr>
              <w:t>75%</w:t>
            </w:r>
          </w:p>
        </w:tc>
        <w:tc>
          <w:tcPr>
            <w:tcW w:w="2151" w:type="dxa"/>
          </w:tcPr>
          <w:p>
            <w:pPr>
              <w:pStyle w:val="40"/>
              <w:pageBreakBefore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仿宋_GB2312" w:hAnsi="仿宋_GB2312" w:eastAsia="仿宋_GB2312" w:cs="仿宋_GB2312"/>
                <w:color w:val="auto"/>
                <w:sz w:val="22"/>
              </w:rPr>
            </w:pPr>
            <w:r>
              <w:rPr>
                <w:rFonts w:hint="eastAsia" w:ascii="仿宋_GB2312" w:hAnsi="仿宋_GB2312" w:eastAsia="仿宋_GB2312" w:cs="仿宋_GB2312"/>
                <w:color w:val="auto"/>
                <w:w w:val="100"/>
                <w:sz w:val="22"/>
              </w:rPr>
              <w:t>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2482" w:type="dxa"/>
          </w:tcPr>
          <w:p>
            <w:pPr>
              <w:pStyle w:val="40"/>
              <w:pageBreakBefore w:val="0"/>
              <w:kinsoku/>
              <w:wordWrap/>
              <w:overflowPunct/>
              <w:topLinePunct w:val="0"/>
              <w:autoSpaceDE/>
              <w:autoSpaceDN/>
              <w:bidi w:val="0"/>
              <w:adjustRightInd/>
              <w:snapToGrid/>
              <w:spacing w:before="7" w:line="600" w:lineRule="exact"/>
              <w:ind w:left="0" w:leftChars="0" w:right="156" w:firstLine="0" w:firstLineChars="0"/>
              <w:jc w:val="center"/>
              <w:textAlignment w:val="auto"/>
              <w:rPr>
                <w:rFonts w:hint="eastAsia" w:ascii="仿宋_GB2312" w:hAnsi="仿宋_GB2312" w:eastAsia="仿宋_GB2312" w:cs="仿宋_GB2312"/>
                <w:b/>
                <w:color w:val="auto"/>
                <w:sz w:val="22"/>
              </w:rPr>
            </w:pPr>
            <w:r>
              <w:rPr>
                <w:rFonts w:hint="eastAsia" w:ascii="仿宋_GB2312" w:hAnsi="仿宋_GB2312" w:eastAsia="仿宋_GB2312" w:cs="仿宋_GB2312"/>
                <w:b/>
                <w:color w:val="auto"/>
                <w:w w:val="95"/>
                <w:sz w:val="22"/>
              </w:rPr>
              <w:t>非居民生活用水</w:t>
            </w:r>
          </w:p>
        </w:tc>
        <w:tc>
          <w:tcPr>
            <w:tcW w:w="1467" w:type="dxa"/>
          </w:tcPr>
          <w:p>
            <w:pPr>
              <w:pStyle w:val="40"/>
              <w:pageBreakBefore w:val="0"/>
              <w:kinsoku/>
              <w:wordWrap/>
              <w:overflowPunct/>
              <w:topLinePunct w:val="0"/>
              <w:autoSpaceDE/>
              <w:autoSpaceDN/>
              <w:bidi w:val="0"/>
              <w:adjustRightInd/>
              <w:snapToGrid/>
              <w:spacing w:before="29" w:line="600" w:lineRule="exact"/>
              <w:ind w:left="0" w:leftChars="0" w:right="97" w:firstLine="0" w:firstLineChars="0"/>
              <w:jc w:val="center"/>
              <w:textAlignment w:val="auto"/>
              <w:rPr>
                <w:rFonts w:hint="eastAsia" w:ascii="仿宋_GB2312" w:hAnsi="仿宋_GB2312" w:eastAsia="仿宋_GB2312" w:cs="仿宋_GB2312"/>
                <w:color w:val="auto"/>
                <w:sz w:val="22"/>
              </w:rPr>
            </w:pPr>
            <w:r>
              <w:rPr>
                <w:rFonts w:hint="eastAsia" w:ascii="仿宋_GB2312" w:hAnsi="仿宋_GB2312" w:eastAsia="仿宋_GB2312" w:cs="仿宋_GB2312"/>
                <w:color w:val="auto"/>
                <w:sz w:val="22"/>
              </w:rPr>
              <w:t>24.5%</w:t>
            </w:r>
          </w:p>
        </w:tc>
        <w:tc>
          <w:tcPr>
            <w:tcW w:w="2151" w:type="dxa"/>
          </w:tcPr>
          <w:p>
            <w:pPr>
              <w:pStyle w:val="40"/>
              <w:pageBreakBefore w:val="0"/>
              <w:kinsoku/>
              <w:wordWrap/>
              <w:overflowPunct/>
              <w:topLinePunct w:val="0"/>
              <w:autoSpaceDE/>
              <w:autoSpaceDN/>
              <w:bidi w:val="0"/>
              <w:adjustRightInd/>
              <w:snapToGrid/>
              <w:spacing w:before="29" w:line="600" w:lineRule="exact"/>
              <w:ind w:left="0" w:leftChars="0" w:firstLine="0" w:firstLineChars="0"/>
              <w:jc w:val="center"/>
              <w:textAlignment w:val="auto"/>
              <w:rPr>
                <w:rFonts w:hint="eastAsia" w:ascii="仿宋_GB2312" w:hAnsi="仿宋_GB2312" w:eastAsia="仿宋_GB2312" w:cs="仿宋_GB2312"/>
                <w:color w:val="auto"/>
                <w:sz w:val="22"/>
              </w:rPr>
            </w:pPr>
            <w:r>
              <w:rPr>
                <w:rFonts w:hint="eastAsia" w:ascii="仿宋_GB2312" w:hAnsi="仿宋_GB2312" w:eastAsia="仿宋_GB2312" w:cs="仿宋_GB2312"/>
                <w:color w:val="auto"/>
                <w:w w:val="100"/>
                <w:sz w:val="22"/>
              </w:rPr>
              <w:t>B</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jc w:val="center"/>
        </w:trPr>
        <w:tc>
          <w:tcPr>
            <w:tcW w:w="2482" w:type="dxa"/>
          </w:tcPr>
          <w:p>
            <w:pPr>
              <w:pStyle w:val="40"/>
              <w:pageBreakBefore w:val="0"/>
              <w:kinsoku/>
              <w:wordWrap/>
              <w:overflowPunct/>
              <w:topLinePunct w:val="0"/>
              <w:autoSpaceDE/>
              <w:autoSpaceDN/>
              <w:bidi w:val="0"/>
              <w:adjustRightInd/>
              <w:snapToGrid/>
              <w:spacing w:before="10" w:line="600" w:lineRule="exact"/>
              <w:ind w:left="0" w:leftChars="0" w:firstLine="0" w:firstLineChars="0"/>
              <w:jc w:val="center"/>
              <w:textAlignment w:val="auto"/>
              <w:rPr>
                <w:rFonts w:hint="eastAsia" w:ascii="仿宋_GB2312" w:hAnsi="仿宋_GB2312" w:eastAsia="仿宋_GB2312" w:cs="仿宋_GB2312"/>
                <w:b/>
                <w:color w:val="auto"/>
                <w:sz w:val="22"/>
              </w:rPr>
            </w:pPr>
            <w:r>
              <w:rPr>
                <w:rFonts w:hint="eastAsia" w:ascii="仿宋_GB2312" w:hAnsi="仿宋_GB2312" w:eastAsia="仿宋_GB2312" w:cs="仿宋_GB2312"/>
                <w:b/>
                <w:color w:val="auto"/>
                <w:sz w:val="22"/>
              </w:rPr>
              <w:t>特种用水</w:t>
            </w:r>
          </w:p>
        </w:tc>
        <w:tc>
          <w:tcPr>
            <w:tcW w:w="1467" w:type="dxa"/>
          </w:tcPr>
          <w:p>
            <w:pPr>
              <w:pStyle w:val="40"/>
              <w:pageBreakBefore w:val="0"/>
              <w:kinsoku/>
              <w:wordWrap/>
              <w:overflowPunct/>
              <w:topLinePunct w:val="0"/>
              <w:autoSpaceDE/>
              <w:autoSpaceDN/>
              <w:bidi w:val="0"/>
              <w:adjustRightInd/>
              <w:snapToGrid/>
              <w:spacing w:line="600" w:lineRule="exact"/>
              <w:ind w:left="0" w:leftChars="0" w:right="97" w:firstLine="0" w:firstLineChars="0"/>
              <w:jc w:val="center"/>
              <w:textAlignment w:val="auto"/>
              <w:rPr>
                <w:rFonts w:hint="eastAsia" w:ascii="仿宋_GB2312" w:hAnsi="仿宋_GB2312" w:eastAsia="仿宋_GB2312" w:cs="仿宋_GB2312"/>
                <w:color w:val="auto"/>
                <w:sz w:val="22"/>
              </w:rPr>
            </w:pPr>
            <w:r>
              <w:rPr>
                <w:rFonts w:hint="eastAsia" w:ascii="仿宋_GB2312" w:hAnsi="仿宋_GB2312" w:eastAsia="仿宋_GB2312" w:cs="仿宋_GB2312"/>
                <w:color w:val="auto"/>
                <w:sz w:val="22"/>
              </w:rPr>
              <w:t>0.5%</w:t>
            </w:r>
          </w:p>
        </w:tc>
        <w:tc>
          <w:tcPr>
            <w:tcW w:w="2151" w:type="dxa"/>
          </w:tcPr>
          <w:p>
            <w:pPr>
              <w:pStyle w:val="40"/>
              <w:pageBreakBefore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仿宋_GB2312" w:hAnsi="仿宋_GB2312" w:eastAsia="仿宋_GB2312" w:cs="仿宋_GB2312"/>
                <w:color w:val="auto"/>
                <w:sz w:val="22"/>
              </w:rPr>
            </w:pPr>
            <w:r>
              <w:rPr>
                <w:rFonts w:hint="eastAsia" w:ascii="仿宋_GB2312" w:hAnsi="仿宋_GB2312" w:eastAsia="仿宋_GB2312" w:cs="仿宋_GB2312"/>
                <w:color w:val="auto"/>
                <w:w w:val="100"/>
                <w:sz w:val="22"/>
              </w:rPr>
              <w:t>C</w:t>
            </w:r>
          </w:p>
        </w:tc>
      </w:tr>
    </w:tbl>
    <w:p>
      <w:pPr>
        <w:pStyle w:val="8"/>
        <w:pageBreakBefore w:val="0"/>
        <w:widowControl w:val="0"/>
        <w:kinsoku/>
        <w:wordWrap/>
        <w:overflowPunct/>
        <w:topLinePunct w:val="0"/>
        <w:autoSpaceDE/>
        <w:autoSpaceDN/>
        <w:bidi w:val="0"/>
        <w:adjustRightInd/>
        <w:snapToGrid/>
        <w:spacing w:before="0" w:beforeLines="0" w:after="0" w:afterLines="0" w:line="600" w:lineRule="exact"/>
        <w:textAlignment w:val="auto"/>
        <w:rPr>
          <w:rFonts w:hint="eastAsia" w:ascii="楷体_GB2312" w:hAnsi="楷体_GB2312" w:eastAsia="楷体_GB2312" w:cs="楷体_GB2312"/>
          <w:b w:val="0"/>
          <w:bCs/>
          <w:color w:val="auto"/>
          <w:highlight w:val="none"/>
          <w:lang w:val="en-US" w:eastAsia="zh-CN"/>
        </w:rPr>
      </w:pPr>
      <w:r>
        <w:rPr>
          <w:rFonts w:hint="eastAsia" w:ascii="楷体_GB2312" w:hAnsi="楷体_GB2312" w:eastAsia="楷体_GB2312" w:cs="楷体_GB2312"/>
          <w:b w:val="0"/>
          <w:bCs/>
          <w:color w:val="auto"/>
          <w:highlight w:val="none"/>
          <w:lang w:val="en-US" w:eastAsia="zh-CN"/>
        </w:rPr>
        <w:t>（九）回报机制</w:t>
      </w:r>
    </w:p>
    <w:p>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zh-CN" w:eastAsia="zh-CN"/>
        </w:rPr>
        <w:t>1.项目采用可行性缺口补助机制。</w:t>
      </w:r>
    </w:p>
    <w:p>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zh-CN" w:eastAsia="zh-CN"/>
        </w:rPr>
        <w:t>2.合理回报率</w:t>
      </w:r>
      <w:r>
        <w:rPr>
          <w:rFonts w:hint="eastAsia" w:ascii="仿宋_GB2312" w:hAnsi="仿宋_GB2312" w:eastAsia="仿宋_GB2312" w:cs="仿宋_GB2312"/>
          <w:color w:val="auto"/>
          <w:sz w:val="32"/>
          <w:szCs w:val="32"/>
          <w:highlight w:val="none"/>
          <w:lang w:val="en-US" w:eastAsia="zh-CN"/>
        </w:rPr>
        <w:t>暂定</w:t>
      </w:r>
      <w:r>
        <w:rPr>
          <w:rFonts w:hint="eastAsia" w:ascii="仿宋_GB2312" w:hAnsi="仿宋_GB2312" w:eastAsia="仿宋_GB2312" w:cs="仿宋_GB2312"/>
          <w:color w:val="auto"/>
          <w:sz w:val="32"/>
          <w:szCs w:val="32"/>
          <w:highlight w:val="none"/>
          <w:lang w:val="zh-CN" w:eastAsia="zh-CN"/>
        </w:rPr>
        <w:t>为6.0%。</w:t>
      </w:r>
    </w:p>
    <w:p>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zh-CN" w:eastAsia="zh-CN"/>
        </w:rPr>
        <w:t>3.运营期前三年可行性缺口补助额=成本水价×售水量－使用者付费</w:t>
      </w:r>
    </w:p>
    <w:p>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zh-CN" w:eastAsia="zh-CN"/>
        </w:rPr>
        <w:t>使用者付费=售水量×售水价</w:t>
      </w:r>
    </w:p>
    <w:p>
      <w:pPr>
        <w:pageBreakBefore w:val="0"/>
        <w:widowControl w:val="0"/>
        <w:kinsoku/>
        <w:wordWrap/>
        <w:overflowPunct/>
        <w:topLinePunct w:val="0"/>
        <w:autoSpaceDE/>
        <w:autoSpaceDN/>
        <w:bidi w:val="0"/>
        <w:adjustRightInd/>
        <w:snapToGrid/>
        <w:spacing w:line="600" w:lineRule="exac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zh-CN" w:eastAsia="zh-CN"/>
        </w:rPr>
        <w:t>本项目属于具有向最终用户收费机制的市政工程，</w:t>
      </w:r>
      <w:bookmarkStart w:id="2" w:name="_Hlk15303416"/>
      <w:bookmarkStart w:id="3" w:name="_Hlk22160614"/>
      <w:r>
        <w:rPr>
          <w:rFonts w:hint="eastAsia" w:ascii="仿宋_GB2312" w:hAnsi="仿宋_GB2312" w:eastAsia="仿宋_GB2312" w:cs="仿宋_GB2312"/>
          <w:color w:val="auto"/>
          <w:sz w:val="32"/>
          <w:szCs w:val="32"/>
          <w:highlight w:val="none"/>
          <w:lang w:val="zh-CN" w:eastAsia="zh-CN"/>
        </w:rPr>
        <w:t>政府在运营期前三年给予项目公司一定的经济补助，对合作期内运营期前三年之外的剩余年限，不进行缺口补助，由项目公司结合周边县市水价、按照法定程序申请对水价进行调整以及加强企业内部管理、降低成本、减少漏损等来满足投资收益。</w:t>
      </w:r>
      <w:bookmarkEnd w:id="2"/>
      <w:bookmarkEnd w:id="3"/>
    </w:p>
    <w:p>
      <w:pPr>
        <w:pStyle w:val="8"/>
        <w:pageBreakBefore w:val="0"/>
        <w:widowControl w:val="0"/>
        <w:kinsoku/>
        <w:wordWrap/>
        <w:overflowPunct/>
        <w:topLinePunct w:val="0"/>
        <w:autoSpaceDE/>
        <w:autoSpaceDN/>
        <w:bidi w:val="0"/>
        <w:adjustRightInd/>
        <w:snapToGrid/>
        <w:spacing w:before="0" w:beforeLines="0" w:after="0" w:afterLines="0" w:line="600" w:lineRule="exact"/>
        <w:textAlignment w:val="auto"/>
        <w:rPr>
          <w:rFonts w:hint="eastAsia" w:ascii="楷体_GB2312" w:hAnsi="楷体_GB2312" w:eastAsia="楷体_GB2312" w:cs="楷体_GB2312"/>
          <w:b w:val="0"/>
          <w:bCs/>
          <w:color w:val="auto"/>
          <w:highlight w:val="none"/>
          <w:lang w:val="en-US" w:eastAsia="zh-CN"/>
        </w:rPr>
      </w:pPr>
      <w:r>
        <w:rPr>
          <w:rFonts w:hint="eastAsia" w:ascii="楷体_GB2312" w:hAnsi="楷体_GB2312" w:eastAsia="楷体_GB2312" w:cs="楷体_GB2312"/>
          <w:b w:val="0"/>
          <w:bCs/>
          <w:color w:val="auto"/>
          <w:highlight w:val="none"/>
          <w:lang w:val="en-US" w:eastAsia="zh-CN"/>
        </w:rPr>
        <w:t>（十）项目资本金比例</w:t>
      </w:r>
    </w:p>
    <w:p>
      <w:pPr>
        <w:pageBreakBefore w:val="0"/>
        <w:widowControl w:val="0"/>
        <w:kinsoku/>
        <w:wordWrap/>
        <w:overflowPunct/>
        <w:topLinePunct w:val="0"/>
        <w:autoSpaceDE/>
        <w:autoSpaceDN/>
        <w:bidi w:val="0"/>
        <w:adjustRightInd/>
        <w:snapToGrid/>
        <w:spacing w:line="600" w:lineRule="exac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项目资本金比例按项目总投资额的30%设定，由社会资本支付，其资金来源为自有资金。剩余70%由项目公司负责融资筹措，政府方投资及股权为0。</w:t>
      </w:r>
    </w:p>
    <w:p>
      <w:pPr>
        <w:pStyle w:val="7"/>
        <w:pageBreakBefore w:val="0"/>
        <w:widowControl w:val="0"/>
        <w:kinsoku/>
        <w:wordWrap/>
        <w:overflowPunct/>
        <w:topLinePunct w:val="0"/>
        <w:autoSpaceDE/>
        <w:autoSpaceDN/>
        <w:bidi w:val="0"/>
        <w:adjustRightInd/>
        <w:snapToGrid/>
        <w:spacing w:before="0" w:beforeLines="0" w:after="0" w:afterLines="0" w:line="600" w:lineRule="exact"/>
        <w:textAlignment w:val="auto"/>
        <w:rPr>
          <w:rFonts w:hint="eastAsia" w:ascii="黑体" w:hAnsi="黑体" w:eastAsia="黑体" w:cs="黑体"/>
          <w:b w:val="0"/>
          <w:bCs/>
          <w:color w:val="auto"/>
          <w:highlight w:val="none"/>
        </w:rPr>
      </w:pPr>
      <w:r>
        <w:rPr>
          <w:rFonts w:hint="eastAsia" w:ascii="黑体" w:hAnsi="黑体" w:eastAsia="黑体" w:cs="黑体"/>
          <w:b w:val="0"/>
          <w:bCs/>
          <w:color w:val="auto"/>
          <w:highlight w:val="none"/>
          <w:lang w:val="en-US" w:eastAsia="zh-CN"/>
        </w:rPr>
        <w:t>二</w:t>
      </w:r>
      <w:r>
        <w:rPr>
          <w:rFonts w:hint="eastAsia" w:ascii="黑体" w:hAnsi="黑体" w:eastAsia="黑体" w:cs="黑体"/>
          <w:b w:val="0"/>
          <w:bCs/>
          <w:color w:val="auto"/>
          <w:highlight w:val="none"/>
        </w:rPr>
        <w:t>、测试说明及要求</w:t>
      </w:r>
    </w:p>
    <w:p>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本次市场测试并非曲沃县城市供水特许经营项目正式招标程序的组成部分，不作为政府方的任何承诺，不构成正式的资格预审邀请或要求。本次市场测试提供的部分方案信息仍可能进一步修改，对各方并不构成约束力。</w:t>
      </w:r>
    </w:p>
    <w:p>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（二）本次市场测试获取本公告信息的社会资本即可通过电子邮件的方式参加测试。</w:t>
      </w:r>
    </w:p>
    <w:p>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参与本次市场测试的意向社会资本并不会因此在本项目正式采购程序中得到特别的优待，不因参与市场测试提出的问题而遭到任何歧视；即使未参加市场测试的社会资本仍然有资格参与本项目社会资本正式采购程序活动。</w:t>
      </w:r>
    </w:p>
    <w:p>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（四）参与本次市场测试的社会资本所反馈的意见亦不必然被实施机构采纳，但我们建议认真填写；实施机构将综合考虑各社会资本所提的反馈意见，根据本项目实际需要，经充分论证后合理设定各相关条款。</w:t>
      </w:r>
    </w:p>
    <w:p>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（五）参与本次市场测试的社会资本应恪守保密原则，在未经实施机构同意前，保证本项目相关资料信息不随意对外披露。</w:t>
      </w:r>
    </w:p>
    <w:p>
      <w:pPr>
        <w:pStyle w:val="7"/>
        <w:pageBreakBefore w:val="0"/>
        <w:widowControl w:val="0"/>
        <w:kinsoku/>
        <w:wordWrap/>
        <w:overflowPunct/>
        <w:topLinePunct w:val="0"/>
        <w:autoSpaceDE/>
        <w:autoSpaceDN/>
        <w:bidi w:val="0"/>
        <w:adjustRightInd/>
        <w:snapToGrid/>
        <w:spacing w:before="0" w:beforeLines="0" w:after="0" w:afterLines="0" w:line="600" w:lineRule="exact"/>
        <w:textAlignment w:val="auto"/>
        <w:rPr>
          <w:rFonts w:hint="eastAsia" w:ascii="黑体" w:hAnsi="黑体" w:eastAsia="黑体" w:cs="黑体"/>
          <w:b w:val="0"/>
          <w:bCs/>
          <w:color w:val="auto"/>
          <w:highlight w:val="none"/>
        </w:rPr>
      </w:pPr>
      <w:r>
        <w:rPr>
          <w:rFonts w:hint="eastAsia" w:ascii="黑体" w:hAnsi="黑体" w:eastAsia="黑体" w:cs="黑体"/>
          <w:b w:val="0"/>
          <w:bCs/>
          <w:color w:val="auto"/>
          <w:highlight w:val="none"/>
          <w:lang w:val="en-US" w:eastAsia="zh-CN"/>
        </w:rPr>
        <w:t>三</w:t>
      </w:r>
      <w:r>
        <w:rPr>
          <w:rFonts w:hint="eastAsia" w:ascii="黑体" w:hAnsi="黑体" w:eastAsia="黑体" w:cs="黑体"/>
          <w:b w:val="0"/>
          <w:bCs/>
          <w:color w:val="auto"/>
          <w:highlight w:val="none"/>
        </w:rPr>
        <w:t>、意见征询</w:t>
      </w:r>
    </w:p>
    <w:p>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请按附件《潜在社会资本意见征询表》的格式和时间要求，及时反馈书面意见，内容包括但不限于上述市场测试方案内容。</w:t>
      </w:r>
    </w:p>
    <w:p>
      <w:pPr>
        <w:pStyle w:val="7"/>
        <w:pageBreakBefore w:val="0"/>
        <w:widowControl w:val="0"/>
        <w:kinsoku/>
        <w:wordWrap/>
        <w:overflowPunct/>
        <w:topLinePunct w:val="0"/>
        <w:autoSpaceDE/>
        <w:autoSpaceDN/>
        <w:bidi w:val="0"/>
        <w:adjustRightInd/>
        <w:snapToGrid/>
        <w:spacing w:before="0" w:beforeLines="0" w:after="0" w:afterLines="0" w:line="60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b w:val="0"/>
          <w:bCs/>
          <w:color w:val="auto"/>
          <w:highlight w:val="none"/>
          <w:lang w:val="en-US" w:eastAsia="zh-CN"/>
        </w:rPr>
        <w:t>四</w:t>
      </w:r>
      <w:r>
        <w:rPr>
          <w:rFonts w:hint="eastAsia" w:ascii="黑体" w:hAnsi="黑体" w:eastAsia="黑体" w:cs="黑体"/>
          <w:b w:val="0"/>
          <w:bCs/>
          <w:color w:val="auto"/>
          <w:highlight w:val="none"/>
        </w:rPr>
        <w:t>、联系人及联系方式</w:t>
      </w:r>
    </w:p>
    <w:p>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项目单位：曲沃县住房和城乡建设管理局</w:t>
      </w:r>
    </w:p>
    <w:p>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联 系 人：董泷华</w:t>
      </w:r>
    </w:p>
    <w:p>
      <w:pPr>
        <w:pageBreakBefore w:val="0"/>
        <w:widowControl w:val="0"/>
        <w:kinsoku/>
        <w:wordWrap/>
        <w:overflowPunct/>
        <w:topLinePunct w:val="0"/>
        <w:autoSpaceDE/>
        <w:autoSpaceDN/>
        <w:bidi w:val="0"/>
        <w:adjustRightInd/>
        <w:snapToGrid/>
        <w:spacing w:line="600" w:lineRule="exac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联系电话：13303571368</w:t>
      </w:r>
    </w:p>
    <w:p>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代理机构：山西正大方工程项目管理有限公司</w:t>
      </w:r>
    </w:p>
    <w:p>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联 系 人：张女士</w:t>
      </w:r>
    </w:p>
    <w:p>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联系电话：18406552700</w:t>
      </w:r>
    </w:p>
    <w:p>
      <w:pPr>
        <w:pageBreakBefore w:val="0"/>
        <w:widowControl w:val="0"/>
        <w:kinsoku/>
        <w:wordWrap/>
        <w:overflowPunct/>
        <w:topLinePunct w:val="0"/>
        <w:autoSpaceDE/>
        <w:autoSpaceDN/>
        <w:bidi w:val="0"/>
        <w:adjustRightInd/>
        <w:snapToGrid/>
        <w:spacing w:line="600" w:lineRule="exac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电子邮箱：sxzdfgcxmgl@163.com</w:t>
      </w:r>
    </w:p>
    <w:p>
      <w:pPr>
        <w:pageBreakBefore w:val="0"/>
        <w:kinsoku/>
        <w:wordWrap/>
        <w:overflowPunct/>
        <w:topLinePunct w:val="0"/>
        <w:autoSpaceDE/>
        <w:autoSpaceDN/>
        <w:bidi w:val="0"/>
        <w:adjustRightInd/>
        <w:snapToGrid/>
        <w:spacing w:beforeLines="50" w:afterLines="50" w:line="600" w:lineRule="exact"/>
        <w:ind w:firstLine="803"/>
        <w:jc w:val="both"/>
        <w:textAlignment w:val="auto"/>
        <w:rPr>
          <w:rFonts w:hint="eastAsia" w:ascii="仿宋" w:hAnsi="仿宋" w:eastAsia="仿宋" w:cs="仿宋"/>
          <w:color w:val="auto"/>
          <w:kern w:val="0"/>
          <w:sz w:val="29"/>
          <w:szCs w:val="29"/>
          <w:highlight w:val="none"/>
        </w:rPr>
      </w:pPr>
      <w:r>
        <w:rPr>
          <w:rFonts w:hint="eastAsia" w:ascii="仿宋" w:hAnsi="仿宋" w:eastAsia="仿宋" w:cs="仿宋"/>
          <w:color w:val="auto"/>
          <w:kern w:val="0"/>
          <w:sz w:val="29"/>
          <w:szCs w:val="29"/>
          <w:highlight w:val="none"/>
        </w:rPr>
        <w:br w:type="page"/>
      </w:r>
    </w:p>
    <w:p>
      <w:pPr>
        <w:pStyle w:val="1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方正小标宋简体" w:hAnsi="方正小标宋简体" w:eastAsia="方正小标宋简体" w:cs="方正小标宋简体"/>
          <w:b w:val="0"/>
          <w:bCs w:val="0"/>
          <w:i w:val="0"/>
          <w:caps w:val="0"/>
          <w:color w:val="auto"/>
          <w:spacing w:val="0"/>
          <w:kern w:val="0"/>
          <w:sz w:val="44"/>
          <w:szCs w:val="44"/>
          <w:u w:val="none"/>
          <w:lang w:val="en-US" w:eastAsia="zh-CN"/>
        </w:rPr>
      </w:pPr>
      <w:r>
        <w:rPr>
          <w:rFonts w:hint="eastAsia" w:ascii="方正小标宋简体" w:hAnsi="方正小标宋简体" w:eastAsia="方正小标宋简体" w:cs="方正小标宋简体"/>
          <w:b w:val="0"/>
          <w:bCs w:val="0"/>
          <w:i w:val="0"/>
          <w:caps w:val="0"/>
          <w:color w:val="auto"/>
          <w:spacing w:val="0"/>
          <w:kern w:val="0"/>
          <w:sz w:val="44"/>
          <w:szCs w:val="44"/>
          <w:u w:val="none"/>
          <w:lang w:val="en-US" w:eastAsia="zh-CN"/>
        </w:rPr>
        <w:t>曲沃县城市供水特许经营项目</w:t>
      </w:r>
    </w:p>
    <w:p>
      <w:pPr>
        <w:pStyle w:val="1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方正小标宋简体" w:hAnsi="方正小标宋简体" w:eastAsia="方正小标宋简体" w:cs="方正小标宋简体"/>
          <w:b w:val="0"/>
          <w:bCs w:val="0"/>
          <w:i w:val="0"/>
          <w:caps w:val="0"/>
          <w:color w:val="auto"/>
          <w:spacing w:val="0"/>
          <w:kern w:val="0"/>
          <w:sz w:val="44"/>
          <w:szCs w:val="44"/>
          <w:u w:val="none"/>
          <w:lang w:val="en-US" w:eastAsia="zh-CN"/>
        </w:rPr>
      </w:pPr>
      <w:r>
        <w:rPr>
          <w:rFonts w:hint="eastAsia" w:ascii="方正小标宋简体" w:hAnsi="方正小标宋简体" w:eastAsia="方正小标宋简体" w:cs="方正小标宋简体"/>
          <w:b w:val="0"/>
          <w:bCs w:val="0"/>
          <w:i w:val="0"/>
          <w:caps w:val="0"/>
          <w:color w:val="auto"/>
          <w:spacing w:val="0"/>
          <w:kern w:val="0"/>
          <w:sz w:val="44"/>
          <w:szCs w:val="44"/>
          <w:u w:val="none"/>
          <w:lang w:val="en-US" w:eastAsia="zh-CN"/>
        </w:rPr>
        <w:t>潜在社会资本意见征询表</w:t>
      </w:r>
    </w:p>
    <w:p>
      <w:pPr>
        <w:pStyle w:val="1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方正小标宋简体" w:hAnsi="方正小标宋简体" w:eastAsia="方正小标宋简体" w:cs="方正小标宋简体"/>
          <w:b w:val="0"/>
          <w:bCs w:val="0"/>
          <w:i w:val="0"/>
          <w:caps w:val="0"/>
          <w:color w:val="auto"/>
          <w:spacing w:val="0"/>
          <w:kern w:val="0"/>
          <w:sz w:val="44"/>
          <w:szCs w:val="44"/>
          <w:u w:val="none"/>
          <w:lang w:val="en-US" w:eastAsia="zh-CN"/>
        </w:rPr>
      </w:pPr>
    </w:p>
    <w:p>
      <w:pPr>
        <w:pStyle w:val="1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textAlignment w:val="auto"/>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声明：</w:t>
      </w:r>
    </w:p>
    <w:p>
      <w:pPr>
        <w:pStyle w:val="1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jc w:val="left"/>
        <w:textAlignment w:val="auto"/>
        <w:rPr>
          <w:rFonts w:hint="eastAsia" w:ascii="仿宋" w:hAnsi="仿宋" w:eastAsia="仿宋" w:cs="仿宋"/>
          <w:color w:val="auto"/>
          <w:sz w:val="30"/>
          <w:szCs w:val="30"/>
          <w:highlight w:val="none"/>
        </w:rPr>
      </w:pPr>
      <w:r>
        <w:rPr>
          <w:rFonts w:hint="eastAsia" w:ascii="仿宋_GB2312" w:hAnsi="仿宋_GB2312" w:eastAsia="仿宋_GB2312" w:cs="仿宋_GB2312"/>
          <w:color w:val="auto"/>
          <w:kern w:val="2"/>
          <w:sz w:val="32"/>
          <w:szCs w:val="32"/>
          <w:highlight w:val="none"/>
          <w:lang w:val="en-US" w:eastAsia="zh-CN" w:bidi="ar-SA"/>
        </w:rPr>
        <w:t>本意见征询表仅为获悉贵方对曲沃县城市供水特许经营项目实施方案的关键边界及参与意向的反馈意见之用，并不意味着未来将以本次获悉的信息作为设定招标文件中相关条款的依据，我们将根据市场反馈情况、合法合规、成本节约等情况综合考虑设定本项目各相关条款；贵方对此方案的反馈意见亦不作为贵方参与本项目的承诺，但我们仍建议贵方本着审慎的原则提供真实、准确的信息，并请认真填写测试意向。我们在此承诺，将对此反馈意见承担严格保密责任，并将获悉本信息的人员限制在最小范围</w:t>
      </w:r>
      <w:r>
        <w:rPr>
          <w:rFonts w:hint="eastAsia" w:ascii="仿宋" w:hAnsi="仿宋" w:eastAsia="仿宋" w:cs="仿宋"/>
          <w:color w:val="auto"/>
          <w:sz w:val="30"/>
          <w:szCs w:val="30"/>
          <w:highlight w:val="none"/>
        </w:rPr>
        <w:t>。</w:t>
      </w:r>
    </w:p>
    <w:p>
      <w:pPr>
        <w:pStyle w:val="1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jc w:val="left"/>
        <w:textAlignment w:val="auto"/>
        <w:rPr>
          <w:rFonts w:hint="eastAsia" w:ascii="仿宋" w:hAnsi="仿宋" w:eastAsia="仿宋" w:cs="仿宋"/>
          <w:color w:val="auto"/>
          <w:sz w:val="30"/>
          <w:szCs w:val="30"/>
          <w:highlight w:val="none"/>
        </w:rPr>
      </w:pPr>
    </w:p>
    <w:tbl>
      <w:tblPr>
        <w:tblStyle w:val="19"/>
        <w:tblW w:w="9180" w:type="dxa"/>
        <w:jc w:val="center"/>
        <w:tblLayout w:type="fixed"/>
        <w:tblCellMar>
          <w:top w:w="0" w:type="dxa"/>
          <w:left w:w="108" w:type="dxa"/>
          <w:bottom w:w="0" w:type="dxa"/>
          <w:right w:w="108" w:type="dxa"/>
        </w:tblCellMar>
      </w:tblPr>
      <w:tblGrid>
        <w:gridCol w:w="1951"/>
        <w:gridCol w:w="4363"/>
        <w:gridCol w:w="2866"/>
      </w:tblGrid>
      <w:tr>
        <w:tblPrEx>
          <w:tblCellMar>
            <w:top w:w="0" w:type="dxa"/>
            <w:left w:w="108" w:type="dxa"/>
            <w:bottom w:w="0" w:type="dxa"/>
            <w:right w:w="108" w:type="dxa"/>
          </w:tblCellMar>
        </w:tblPrEx>
        <w:trPr>
          <w:trHeight w:val="564" w:hRule="atLeast"/>
          <w:tblHeader/>
          <w:jc w:val="center"/>
        </w:trPr>
        <w:tc>
          <w:tcPr>
            <w:tcW w:w="1951" w:type="dxa"/>
            <w:tcBorders>
              <w:top w:val="double" w:color="auto" w:sz="4" w:space="0"/>
              <w:left w:val="double" w:color="auto" w:sz="4" w:space="0"/>
              <w:bottom w:val="single" w:color="auto" w:sz="4" w:space="0"/>
              <w:right w:val="single" w:color="auto" w:sz="4" w:space="0"/>
            </w:tcBorders>
            <w:shd w:val="clear" w:color="auto" w:fill="DEEAF6"/>
            <w:noWrap/>
            <w:vAlign w:val="center"/>
          </w:tcPr>
          <w:p>
            <w:pPr>
              <w:keepNext w:val="0"/>
              <w:keepLines w:val="0"/>
              <w:pageBreakBefore w:val="0"/>
              <w:widowControl/>
              <w:kinsoku/>
              <w:wordWrap/>
              <w:overflowPunct/>
              <w:topLinePunct w:val="0"/>
              <w:autoSpaceDE/>
              <w:autoSpaceDN/>
              <w:bidi w:val="0"/>
              <w:adjustRightInd/>
              <w:snapToGrid/>
              <w:spacing w:line="460" w:lineRule="exact"/>
              <w:ind w:left="0" w:leftChars="0" w:firstLine="0" w:firstLineChars="0"/>
              <w:jc w:val="center"/>
              <w:textAlignment w:val="auto"/>
              <w:rPr>
                <w:rFonts w:hint="eastAsia" w:ascii="仿宋" w:hAnsi="仿宋" w:eastAsia="仿宋" w:cs="仿宋"/>
                <w:b/>
                <w:color w:val="auto"/>
                <w:kern w:val="0"/>
                <w:sz w:val="28"/>
                <w:szCs w:val="28"/>
                <w:highlight w:val="none"/>
              </w:rPr>
            </w:pPr>
            <w:r>
              <w:rPr>
                <w:rFonts w:hint="eastAsia" w:ascii="仿宋" w:hAnsi="仿宋" w:eastAsia="仿宋" w:cs="仿宋"/>
                <w:b/>
                <w:color w:val="auto"/>
                <w:kern w:val="0"/>
                <w:sz w:val="28"/>
                <w:szCs w:val="28"/>
                <w:highlight w:val="none"/>
              </w:rPr>
              <w:t>调查项目</w:t>
            </w:r>
          </w:p>
        </w:tc>
        <w:tc>
          <w:tcPr>
            <w:tcW w:w="4363" w:type="dxa"/>
            <w:tcBorders>
              <w:top w:val="double" w:color="auto" w:sz="4" w:space="0"/>
              <w:left w:val="nil"/>
              <w:bottom w:val="single" w:color="auto" w:sz="4" w:space="0"/>
              <w:right w:val="single" w:color="auto" w:sz="4" w:space="0"/>
            </w:tcBorders>
            <w:shd w:val="clear" w:color="auto" w:fill="DEEAF6"/>
            <w:noWrap/>
            <w:vAlign w:val="center"/>
          </w:tcPr>
          <w:p>
            <w:pPr>
              <w:keepNext w:val="0"/>
              <w:keepLines w:val="0"/>
              <w:pageBreakBefore w:val="0"/>
              <w:widowControl/>
              <w:kinsoku/>
              <w:wordWrap/>
              <w:overflowPunct/>
              <w:topLinePunct w:val="0"/>
              <w:autoSpaceDE/>
              <w:autoSpaceDN/>
              <w:bidi w:val="0"/>
              <w:adjustRightInd/>
              <w:snapToGrid/>
              <w:spacing w:line="460" w:lineRule="exact"/>
              <w:ind w:left="0" w:leftChars="0" w:firstLine="0" w:firstLineChars="0"/>
              <w:jc w:val="center"/>
              <w:textAlignment w:val="auto"/>
              <w:rPr>
                <w:rFonts w:hint="eastAsia" w:ascii="仿宋" w:hAnsi="仿宋" w:eastAsia="仿宋" w:cs="仿宋"/>
                <w:b/>
                <w:color w:val="auto"/>
                <w:kern w:val="0"/>
                <w:sz w:val="28"/>
                <w:szCs w:val="28"/>
                <w:highlight w:val="none"/>
              </w:rPr>
            </w:pPr>
            <w:r>
              <w:rPr>
                <w:rFonts w:hint="eastAsia" w:ascii="仿宋" w:hAnsi="仿宋" w:eastAsia="仿宋" w:cs="仿宋"/>
                <w:b/>
                <w:color w:val="auto"/>
                <w:kern w:val="0"/>
                <w:sz w:val="28"/>
                <w:szCs w:val="28"/>
                <w:highlight w:val="none"/>
              </w:rPr>
              <w:t>调查内容</w:t>
            </w:r>
          </w:p>
        </w:tc>
        <w:tc>
          <w:tcPr>
            <w:tcW w:w="2866" w:type="dxa"/>
            <w:tcBorders>
              <w:top w:val="double" w:color="auto" w:sz="4" w:space="0"/>
              <w:left w:val="nil"/>
              <w:bottom w:val="single" w:color="auto" w:sz="4" w:space="0"/>
              <w:right w:val="double" w:color="auto" w:sz="4" w:space="0"/>
            </w:tcBorders>
            <w:shd w:val="clear" w:color="auto" w:fill="DEEAF6"/>
            <w:noWrap/>
            <w:vAlign w:val="center"/>
          </w:tcPr>
          <w:p>
            <w:pPr>
              <w:keepNext w:val="0"/>
              <w:keepLines w:val="0"/>
              <w:pageBreakBefore w:val="0"/>
              <w:widowControl/>
              <w:kinsoku/>
              <w:wordWrap/>
              <w:overflowPunct/>
              <w:topLinePunct w:val="0"/>
              <w:autoSpaceDE/>
              <w:autoSpaceDN/>
              <w:bidi w:val="0"/>
              <w:adjustRightInd/>
              <w:snapToGrid/>
              <w:spacing w:line="460" w:lineRule="exact"/>
              <w:ind w:left="0" w:leftChars="0" w:firstLine="0" w:firstLineChars="0"/>
              <w:jc w:val="center"/>
              <w:textAlignment w:val="auto"/>
              <w:rPr>
                <w:rFonts w:hint="eastAsia" w:ascii="仿宋" w:hAnsi="仿宋" w:eastAsia="仿宋" w:cs="仿宋"/>
                <w:b/>
                <w:color w:val="auto"/>
                <w:kern w:val="0"/>
                <w:sz w:val="28"/>
                <w:szCs w:val="28"/>
                <w:highlight w:val="none"/>
              </w:rPr>
            </w:pPr>
            <w:r>
              <w:rPr>
                <w:rFonts w:hint="eastAsia" w:ascii="仿宋" w:hAnsi="仿宋" w:eastAsia="仿宋" w:cs="仿宋"/>
                <w:b/>
                <w:color w:val="auto"/>
                <w:kern w:val="0"/>
                <w:sz w:val="28"/>
                <w:szCs w:val="28"/>
                <w:highlight w:val="none"/>
              </w:rPr>
              <w:t>社会资本反馈内容或意见</w:t>
            </w:r>
          </w:p>
        </w:tc>
      </w:tr>
      <w:tr>
        <w:tblPrEx>
          <w:tblCellMar>
            <w:top w:w="0" w:type="dxa"/>
            <w:left w:w="108" w:type="dxa"/>
            <w:bottom w:w="0" w:type="dxa"/>
            <w:right w:w="108" w:type="dxa"/>
          </w:tblCellMar>
        </w:tblPrEx>
        <w:trPr>
          <w:trHeight w:val="626" w:hRule="atLeast"/>
          <w:jc w:val="center"/>
        </w:trPr>
        <w:tc>
          <w:tcPr>
            <w:tcW w:w="1951" w:type="dxa"/>
            <w:tcBorders>
              <w:top w:val="nil"/>
              <w:left w:val="double" w:color="auto" w:sz="4" w:space="0"/>
              <w:bottom w:val="single" w:color="auto" w:sz="4" w:space="0"/>
              <w:right w:val="single" w:color="auto" w:sz="4" w:space="0"/>
            </w:tcBorders>
            <w:shd w:val="clear" w:color="auto" w:fill="DEEAF6"/>
            <w:noWrap/>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 w:hAnsi="仿宋" w:eastAsia="仿宋" w:cs="仿宋"/>
                <w:color w:val="auto"/>
                <w:kern w:val="0"/>
                <w:sz w:val="28"/>
                <w:szCs w:val="28"/>
                <w:highlight w:val="none"/>
              </w:rPr>
            </w:pPr>
            <w:r>
              <w:rPr>
                <w:rFonts w:hint="eastAsia" w:ascii="仿宋" w:hAnsi="仿宋" w:eastAsia="仿宋" w:cs="仿宋"/>
                <w:b/>
                <w:color w:val="auto"/>
                <w:kern w:val="0"/>
                <w:sz w:val="28"/>
                <w:szCs w:val="28"/>
                <w:highlight w:val="none"/>
              </w:rPr>
              <w:t>社会资本名称</w:t>
            </w:r>
          </w:p>
        </w:tc>
        <w:tc>
          <w:tcPr>
            <w:tcW w:w="7229" w:type="dxa"/>
            <w:gridSpan w:val="2"/>
            <w:tcBorders>
              <w:top w:val="nil"/>
              <w:left w:val="nil"/>
              <w:bottom w:val="single" w:color="auto" w:sz="4" w:space="0"/>
              <w:right w:val="double" w:color="auto" w:sz="4" w:space="0"/>
            </w:tcBorders>
            <w:shd w:val="clear" w:color="auto" w:fill="DEEAF6"/>
            <w:noWrap/>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 w:hAnsi="仿宋" w:eastAsia="仿宋" w:cs="仿宋"/>
                <w:color w:val="auto"/>
                <w:kern w:val="0"/>
                <w:sz w:val="28"/>
                <w:szCs w:val="28"/>
                <w:highlight w:val="none"/>
              </w:rPr>
            </w:pPr>
          </w:p>
        </w:tc>
      </w:tr>
      <w:tr>
        <w:tblPrEx>
          <w:tblCellMar>
            <w:top w:w="0" w:type="dxa"/>
            <w:left w:w="108" w:type="dxa"/>
            <w:bottom w:w="0" w:type="dxa"/>
            <w:right w:w="108" w:type="dxa"/>
          </w:tblCellMar>
        </w:tblPrEx>
        <w:trPr>
          <w:trHeight w:val="591" w:hRule="atLeast"/>
          <w:jc w:val="center"/>
        </w:trPr>
        <w:tc>
          <w:tcPr>
            <w:tcW w:w="1951" w:type="dxa"/>
            <w:tcBorders>
              <w:top w:val="nil"/>
              <w:left w:val="double" w:color="auto" w:sz="4" w:space="0"/>
              <w:bottom w:val="single" w:color="auto" w:sz="4" w:space="0"/>
              <w:right w:val="single" w:color="auto" w:sz="4" w:space="0"/>
            </w:tcBorders>
            <w:shd w:val="clear" w:color="auto" w:fill="F2F2F2"/>
            <w:noWrap/>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 w:hAnsi="仿宋" w:eastAsia="仿宋" w:cs="仿宋"/>
                <w:b/>
                <w:color w:val="auto"/>
                <w:kern w:val="0"/>
                <w:sz w:val="28"/>
                <w:szCs w:val="28"/>
                <w:highlight w:val="none"/>
              </w:rPr>
            </w:pPr>
            <w:r>
              <w:rPr>
                <w:rFonts w:hint="eastAsia" w:ascii="仿宋" w:hAnsi="仿宋" w:eastAsia="仿宋" w:cs="仿宋"/>
                <w:b/>
                <w:color w:val="auto"/>
                <w:kern w:val="0"/>
                <w:sz w:val="28"/>
                <w:szCs w:val="28"/>
                <w:highlight w:val="none"/>
              </w:rPr>
              <w:t>财务状况</w:t>
            </w:r>
          </w:p>
        </w:tc>
        <w:tc>
          <w:tcPr>
            <w:tcW w:w="4363"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60" w:lineRule="exact"/>
              <w:ind w:left="0" w:leftChars="0" w:firstLine="0" w:firstLineChars="0"/>
              <w:jc w:val="left"/>
              <w:textAlignment w:val="auto"/>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20</w:t>
            </w:r>
            <w:r>
              <w:rPr>
                <w:rFonts w:hint="eastAsia" w:ascii="仿宋" w:hAnsi="仿宋" w:cs="仿宋"/>
                <w:color w:val="auto"/>
                <w:kern w:val="0"/>
                <w:sz w:val="28"/>
                <w:szCs w:val="28"/>
                <w:highlight w:val="none"/>
                <w:lang w:val="en-US" w:eastAsia="zh-CN"/>
              </w:rPr>
              <w:t>20</w:t>
            </w:r>
            <w:r>
              <w:rPr>
                <w:rFonts w:hint="eastAsia" w:ascii="仿宋" w:hAnsi="仿宋" w:eastAsia="仿宋" w:cs="仿宋"/>
                <w:color w:val="auto"/>
                <w:kern w:val="0"/>
                <w:sz w:val="28"/>
                <w:szCs w:val="28"/>
                <w:highlight w:val="none"/>
              </w:rPr>
              <w:t>年度净资产额度、总资产额度（提供201</w:t>
            </w:r>
            <w:r>
              <w:rPr>
                <w:rFonts w:hint="eastAsia" w:ascii="仿宋" w:hAnsi="仿宋" w:cs="仿宋"/>
                <w:color w:val="auto"/>
                <w:kern w:val="0"/>
                <w:sz w:val="28"/>
                <w:szCs w:val="28"/>
                <w:highlight w:val="none"/>
                <w:lang w:val="en-US" w:eastAsia="zh-CN"/>
              </w:rPr>
              <w:t>9</w:t>
            </w:r>
            <w:r>
              <w:rPr>
                <w:rFonts w:hint="eastAsia" w:ascii="仿宋" w:hAnsi="仿宋" w:eastAsia="仿宋" w:cs="仿宋"/>
                <w:color w:val="auto"/>
                <w:kern w:val="0"/>
                <w:sz w:val="28"/>
                <w:szCs w:val="28"/>
                <w:highlight w:val="none"/>
              </w:rPr>
              <w:t>年度经第三方审计财务报表）</w:t>
            </w:r>
            <w:r>
              <w:rPr>
                <w:rFonts w:hint="eastAsia" w:ascii="仿宋" w:hAnsi="仿宋" w:cs="仿宋"/>
                <w:color w:val="auto"/>
                <w:kern w:val="0"/>
                <w:sz w:val="28"/>
                <w:szCs w:val="28"/>
                <w:highlight w:val="none"/>
                <w:lang w:eastAsia="zh-CN"/>
              </w:rPr>
              <w:t>。</w:t>
            </w:r>
          </w:p>
        </w:tc>
        <w:tc>
          <w:tcPr>
            <w:tcW w:w="2866" w:type="dxa"/>
            <w:tcBorders>
              <w:top w:val="nil"/>
              <w:left w:val="nil"/>
              <w:bottom w:val="single" w:color="auto" w:sz="4" w:space="0"/>
              <w:right w:val="doub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textAlignment w:val="auto"/>
              <w:rPr>
                <w:rFonts w:hint="eastAsia" w:ascii="仿宋" w:hAnsi="仿宋" w:eastAsia="仿宋" w:cs="仿宋"/>
                <w:color w:val="auto"/>
                <w:kern w:val="0"/>
                <w:sz w:val="28"/>
                <w:szCs w:val="28"/>
                <w:highlight w:val="none"/>
              </w:rPr>
            </w:pPr>
          </w:p>
        </w:tc>
      </w:tr>
      <w:tr>
        <w:tblPrEx>
          <w:tblCellMar>
            <w:top w:w="0" w:type="dxa"/>
            <w:left w:w="108" w:type="dxa"/>
            <w:bottom w:w="0" w:type="dxa"/>
            <w:right w:w="108" w:type="dxa"/>
          </w:tblCellMar>
        </w:tblPrEx>
        <w:trPr>
          <w:trHeight w:val="591" w:hRule="atLeast"/>
          <w:jc w:val="center"/>
        </w:trPr>
        <w:tc>
          <w:tcPr>
            <w:tcW w:w="1951" w:type="dxa"/>
            <w:tcBorders>
              <w:top w:val="nil"/>
              <w:left w:val="double" w:color="auto" w:sz="4" w:space="0"/>
              <w:bottom w:val="single" w:color="auto" w:sz="4" w:space="0"/>
              <w:right w:val="single" w:color="auto" w:sz="4" w:space="0"/>
            </w:tcBorders>
            <w:shd w:val="clear" w:color="auto" w:fill="F2F2F2"/>
            <w:noWrap/>
            <w:vAlign w:val="center"/>
          </w:tcPr>
          <w:p>
            <w:pPr>
              <w:pStyle w:val="7"/>
              <w:bidi w:val="0"/>
              <w:ind w:left="0" w:leftChars="0" w:firstLine="321" w:firstLineChars="100"/>
              <w:rPr>
                <w:rFonts w:hint="eastAsia"/>
                <w:color w:val="auto"/>
              </w:rPr>
            </w:pPr>
            <w:r>
              <w:rPr>
                <w:rFonts w:hint="eastAsia"/>
                <w:color w:val="auto"/>
                <w:lang w:eastAsia="zh-CN"/>
              </w:rPr>
              <w:t>类似</w:t>
            </w:r>
            <w:r>
              <w:rPr>
                <w:rFonts w:hint="eastAsia"/>
                <w:color w:val="auto"/>
              </w:rPr>
              <w:t>业绩</w:t>
            </w:r>
          </w:p>
        </w:tc>
        <w:tc>
          <w:tcPr>
            <w:tcW w:w="4363"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60" w:lineRule="exact"/>
              <w:ind w:left="0" w:leftChars="0" w:firstLine="0" w:firstLineChars="0"/>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val="en-US" w:eastAsia="zh-CN"/>
              </w:rPr>
              <w:t>贵方是否具有类似特许经营（含PPP）项目业绩</w:t>
            </w:r>
            <w:r>
              <w:rPr>
                <w:rFonts w:hint="eastAsia" w:ascii="仿宋" w:hAnsi="仿宋" w:cs="仿宋"/>
                <w:color w:val="auto"/>
                <w:kern w:val="0"/>
                <w:sz w:val="28"/>
                <w:szCs w:val="28"/>
                <w:highlight w:val="none"/>
                <w:lang w:val="en-US" w:eastAsia="zh-CN"/>
              </w:rPr>
              <w:t>，特别是投融资、建设、运营、管理</w:t>
            </w:r>
            <w:r>
              <w:rPr>
                <w:rFonts w:hint="eastAsia" w:ascii="仿宋" w:hAnsi="仿宋" w:eastAsia="仿宋" w:cs="仿宋"/>
                <w:color w:val="auto"/>
                <w:kern w:val="0"/>
                <w:sz w:val="28"/>
                <w:szCs w:val="28"/>
                <w:highlight w:val="none"/>
                <w:lang w:val="en-US" w:eastAsia="zh-CN"/>
              </w:rPr>
              <w:t>及施工业绩（提供业绩证明材料）</w:t>
            </w:r>
            <w:r>
              <w:rPr>
                <w:rFonts w:hint="eastAsia" w:ascii="仿宋" w:hAnsi="仿宋" w:cs="仿宋"/>
                <w:color w:val="auto"/>
                <w:kern w:val="0"/>
                <w:sz w:val="28"/>
                <w:szCs w:val="28"/>
                <w:highlight w:val="none"/>
                <w:lang w:val="en-US" w:eastAsia="zh-CN"/>
              </w:rPr>
              <w:t>。</w:t>
            </w:r>
          </w:p>
        </w:tc>
        <w:tc>
          <w:tcPr>
            <w:tcW w:w="2866" w:type="dxa"/>
            <w:tcBorders>
              <w:top w:val="nil"/>
              <w:left w:val="nil"/>
              <w:bottom w:val="single" w:color="auto" w:sz="4" w:space="0"/>
              <w:right w:val="double" w:color="auto" w:sz="4" w:space="0"/>
            </w:tcBorders>
            <w:shd w:val="clear" w:color="auto" w:fill="auto"/>
            <w:noWrap/>
            <w:vAlign w:val="center"/>
          </w:tcPr>
          <w:p>
            <w:pPr>
              <w:pStyle w:val="7"/>
              <w:bidi w:val="0"/>
              <w:rPr>
                <w:rFonts w:hint="eastAsia"/>
                <w:color w:val="auto"/>
              </w:rPr>
            </w:pPr>
          </w:p>
        </w:tc>
      </w:tr>
      <w:tr>
        <w:tblPrEx>
          <w:tblCellMar>
            <w:top w:w="0" w:type="dxa"/>
            <w:left w:w="108" w:type="dxa"/>
            <w:bottom w:w="0" w:type="dxa"/>
            <w:right w:w="108" w:type="dxa"/>
          </w:tblCellMar>
        </w:tblPrEx>
        <w:trPr>
          <w:trHeight w:val="591" w:hRule="atLeast"/>
          <w:jc w:val="center"/>
        </w:trPr>
        <w:tc>
          <w:tcPr>
            <w:tcW w:w="1951" w:type="dxa"/>
            <w:tcBorders>
              <w:top w:val="nil"/>
              <w:left w:val="double" w:color="auto" w:sz="4" w:space="0"/>
              <w:bottom w:val="single" w:color="auto" w:sz="4" w:space="0"/>
              <w:right w:val="single" w:color="auto" w:sz="4" w:space="0"/>
            </w:tcBorders>
            <w:shd w:val="clear" w:color="auto" w:fill="F2F2F2"/>
            <w:noWrap/>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 w:hAnsi="仿宋" w:eastAsia="仿宋" w:cs="仿宋"/>
                <w:b/>
                <w:color w:val="auto"/>
                <w:kern w:val="0"/>
                <w:sz w:val="28"/>
                <w:szCs w:val="28"/>
                <w:highlight w:val="none"/>
              </w:rPr>
            </w:pPr>
            <w:r>
              <w:rPr>
                <w:rFonts w:hint="eastAsia" w:ascii="仿宋" w:hAnsi="仿宋" w:eastAsia="仿宋" w:cs="仿宋"/>
                <w:b/>
                <w:color w:val="auto"/>
                <w:kern w:val="0"/>
                <w:sz w:val="28"/>
                <w:szCs w:val="28"/>
                <w:highlight w:val="none"/>
              </w:rPr>
              <w:t>公司资质</w:t>
            </w:r>
          </w:p>
        </w:tc>
        <w:tc>
          <w:tcPr>
            <w:tcW w:w="4363"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60" w:lineRule="exact"/>
              <w:ind w:left="0" w:leftChars="0" w:firstLine="0" w:firstLineChars="0"/>
              <w:textAlignment w:val="auto"/>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贵方的资质等级（提供资质等级证书）</w:t>
            </w:r>
            <w:r>
              <w:rPr>
                <w:rFonts w:hint="eastAsia" w:ascii="仿宋" w:hAnsi="仿宋" w:cs="仿宋"/>
                <w:color w:val="auto"/>
                <w:kern w:val="0"/>
                <w:sz w:val="28"/>
                <w:szCs w:val="28"/>
                <w:highlight w:val="none"/>
                <w:lang w:eastAsia="zh-CN"/>
              </w:rPr>
              <w:t>。</w:t>
            </w:r>
          </w:p>
        </w:tc>
        <w:tc>
          <w:tcPr>
            <w:tcW w:w="2866" w:type="dxa"/>
            <w:tcBorders>
              <w:top w:val="nil"/>
              <w:left w:val="nil"/>
              <w:bottom w:val="single" w:color="auto" w:sz="4" w:space="0"/>
              <w:right w:val="doub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textAlignment w:val="auto"/>
              <w:rPr>
                <w:rFonts w:hint="eastAsia" w:ascii="仿宋" w:hAnsi="仿宋" w:eastAsia="仿宋" w:cs="仿宋"/>
                <w:color w:val="auto"/>
                <w:kern w:val="0"/>
                <w:sz w:val="28"/>
                <w:szCs w:val="28"/>
                <w:highlight w:val="none"/>
              </w:rPr>
            </w:pPr>
          </w:p>
        </w:tc>
      </w:tr>
      <w:tr>
        <w:tblPrEx>
          <w:tblCellMar>
            <w:top w:w="0" w:type="dxa"/>
            <w:left w:w="108" w:type="dxa"/>
            <w:bottom w:w="0" w:type="dxa"/>
            <w:right w:w="108" w:type="dxa"/>
          </w:tblCellMar>
        </w:tblPrEx>
        <w:trPr>
          <w:trHeight w:val="710" w:hRule="atLeast"/>
          <w:jc w:val="center"/>
        </w:trPr>
        <w:tc>
          <w:tcPr>
            <w:tcW w:w="1951" w:type="dxa"/>
            <w:tcBorders>
              <w:top w:val="nil"/>
              <w:left w:val="double" w:color="auto" w:sz="4" w:space="0"/>
              <w:bottom w:val="single" w:color="auto" w:sz="4" w:space="0"/>
              <w:right w:val="single" w:color="auto" w:sz="4" w:space="0"/>
            </w:tcBorders>
            <w:shd w:val="clear" w:color="auto" w:fill="F2F2F2"/>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 w:hAnsi="仿宋" w:eastAsia="仿宋" w:cs="仿宋"/>
                <w:b/>
                <w:color w:val="auto"/>
                <w:kern w:val="0"/>
                <w:sz w:val="28"/>
                <w:szCs w:val="28"/>
                <w:highlight w:val="none"/>
              </w:rPr>
            </w:pPr>
            <w:r>
              <w:rPr>
                <w:rFonts w:hint="eastAsia" w:ascii="仿宋" w:hAnsi="仿宋" w:eastAsia="仿宋" w:cs="仿宋"/>
                <w:b/>
                <w:color w:val="auto"/>
                <w:kern w:val="0"/>
                <w:sz w:val="28"/>
                <w:szCs w:val="28"/>
                <w:highlight w:val="none"/>
              </w:rPr>
              <w:t>参加方式</w:t>
            </w:r>
          </w:p>
        </w:tc>
        <w:tc>
          <w:tcPr>
            <w:tcW w:w="4363" w:type="dxa"/>
            <w:tcBorders>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60" w:lineRule="exact"/>
              <w:ind w:left="0" w:leftChars="0" w:firstLine="0" w:firstLineChars="0"/>
              <w:textAlignment w:val="auto"/>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贵方是否采用联合体方式参加</w:t>
            </w:r>
            <w:r>
              <w:rPr>
                <w:rFonts w:hint="eastAsia" w:ascii="仿宋" w:hAnsi="仿宋" w:cs="仿宋"/>
                <w:color w:val="auto"/>
                <w:kern w:val="0"/>
                <w:sz w:val="28"/>
                <w:szCs w:val="28"/>
                <w:highlight w:val="none"/>
                <w:lang w:eastAsia="zh-CN"/>
              </w:rPr>
              <w:t>。</w:t>
            </w:r>
          </w:p>
        </w:tc>
        <w:tc>
          <w:tcPr>
            <w:tcW w:w="2866" w:type="dxa"/>
            <w:tcBorders>
              <w:top w:val="nil"/>
              <w:left w:val="nil"/>
              <w:bottom w:val="single" w:color="auto" w:sz="4" w:space="0"/>
              <w:right w:val="doub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textAlignment w:val="auto"/>
              <w:rPr>
                <w:rFonts w:hint="eastAsia" w:ascii="仿宋" w:hAnsi="仿宋" w:eastAsia="仿宋" w:cs="仿宋"/>
                <w:color w:val="auto"/>
                <w:kern w:val="0"/>
                <w:sz w:val="28"/>
                <w:szCs w:val="28"/>
                <w:highlight w:val="none"/>
              </w:rPr>
            </w:pPr>
          </w:p>
        </w:tc>
      </w:tr>
      <w:tr>
        <w:tblPrEx>
          <w:tblCellMar>
            <w:top w:w="0" w:type="dxa"/>
            <w:left w:w="108" w:type="dxa"/>
            <w:bottom w:w="0" w:type="dxa"/>
            <w:right w:w="108" w:type="dxa"/>
          </w:tblCellMar>
        </w:tblPrEx>
        <w:trPr>
          <w:trHeight w:val="710" w:hRule="atLeast"/>
          <w:jc w:val="center"/>
        </w:trPr>
        <w:tc>
          <w:tcPr>
            <w:tcW w:w="1951" w:type="dxa"/>
            <w:tcBorders>
              <w:top w:val="nil"/>
              <w:left w:val="double" w:color="auto" w:sz="4" w:space="0"/>
              <w:bottom w:val="single" w:color="auto" w:sz="4" w:space="0"/>
              <w:right w:val="single" w:color="auto" w:sz="4" w:space="0"/>
            </w:tcBorders>
            <w:shd w:val="clear" w:color="auto" w:fill="F2F2F2"/>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 w:hAnsi="仿宋" w:eastAsia="仿宋" w:cs="仿宋"/>
                <w:b/>
                <w:color w:val="auto"/>
                <w:kern w:val="0"/>
                <w:sz w:val="28"/>
                <w:szCs w:val="28"/>
                <w:highlight w:val="none"/>
              </w:rPr>
            </w:pPr>
            <w:r>
              <w:rPr>
                <w:rFonts w:hint="eastAsia" w:ascii="仿宋" w:hAnsi="仿宋" w:eastAsia="仿宋" w:cs="仿宋"/>
                <w:b/>
                <w:color w:val="auto"/>
                <w:kern w:val="0"/>
                <w:sz w:val="28"/>
                <w:szCs w:val="28"/>
                <w:highlight w:val="none"/>
              </w:rPr>
              <w:t>合作期限</w:t>
            </w:r>
          </w:p>
        </w:tc>
        <w:tc>
          <w:tcPr>
            <w:tcW w:w="4363" w:type="dxa"/>
            <w:tcBorders>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60" w:lineRule="exact"/>
              <w:ind w:left="0" w:leftChars="0" w:firstLine="0" w:firstLineChars="0"/>
              <w:textAlignment w:val="auto"/>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贵方是否接受项目实施方案中的合作期限</w:t>
            </w:r>
            <w:r>
              <w:rPr>
                <w:rFonts w:hint="eastAsia" w:ascii="仿宋" w:hAnsi="仿宋" w:cs="仿宋"/>
                <w:color w:val="auto"/>
                <w:kern w:val="0"/>
                <w:sz w:val="28"/>
                <w:szCs w:val="28"/>
                <w:highlight w:val="none"/>
                <w:lang w:eastAsia="zh-CN"/>
              </w:rPr>
              <w:t>。</w:t>
            </w:r>
          </w:p>
        </w:tc>
        <w:tc>
          <w:tcPr>
            <w:tcW w:w="2866" w:type="dxa"/>
            <w:tcBorders>
              <w:top w:val="nil"/>
              <w:left w:val="nil"/>
              <w:bottom w:val="single" w:color="auto" w:sz="4" w:space="0"/>
              <w:right w:val="doub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textAlignment w:val="auto"/>
              <w:rPr>
                <w:rFonts w:hint="eastAsia" w:ascii="仿宋" w:hAnsi="仿宋" w:eastAsia="仿宋" w:cs="仿宋"/>
                <w:color w:val="auto"/>
                <w:kern w:val="0"/>
                <w:sz w:val="28"/>
                <w:szCs w:val="28"/>
                <w:highlight w:val="none"/>
              </w:rPr>
            </w:pPr>
          </w:p>
        </w:tc>
      </w:tr>
      <w:tr>
        <w:tblPrEx>
          <w:tblCellMar>
            <w:top w:w="0" w:type="dxa"/>
            <w:left w:w="108" w:type="dxa"/>
            <w:bottom w:w="0" w:type="dxa"/>
            <w:right w:w="108" w:type="dxa"/>
          </w:tblCellMar>
        </w:tblPrEx>
        <w:trPr>
          <w:trHeight w:val="1000" w:hRule="atLeast"/>
          <w:jc w:val="center"/>
        </w:trPr>
        <w:tc>
          <w:tcPr>
            <w:tcW w:w="1951" w:type="dxa"/>
            <w:vMerge w:val="restart"/>
            <w:tcBorders>
              <w:top w:val="nil"/>
              <w:left w:val="double" w:color="auto" w:sz="4" w:space="0"/>
              <w:right w:val="single" w:color="auto" w:sz="4" w:space="0"/>
            </w:tcBorders>
            <w:shd w:val="clear" w:color="auto" w:fill="F2F2F2"/>
            <w:noWrap/>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 w:hAnsi="仿宋" w:eastAsia="仿宋" w:cs="仿宋"/>
                <w:b/>
                <w:color w:val="auto"/>
                <w:kern w:val="0"/>
                <w:sz w:val="28"/>
                <w:szCs w:val="28"/>
                <w:highlight w:val="none"/>
              </w:rPr>
            </w:pPr>
            <w:r>
              <w:rPr>
                <w:rFonts w:hint="eastAsia" w:ascii="仿宋" w:hAnsi="仿宋" w:eastAsia="仿宋" w:cs="仿宋"/>
                <w:b/>
                <w:color w:val="auto"/>
                <w:kern w:val="0"/>
                <w:sz w:val="28"/>
                <w:szCs w:val="28"/>
                <w:highlight w:val="none"/>
              </w:rPr>
              <w:t>竞争指标</w:t>
            </w:r>
          </w:p>
        </w:tc>
        <w:tc>
          <w:tcPr>
            <w:tcW w:w="4363"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60" w:lineRule="exact"/>
              <w:ind w:left="0" w:leftChars="0" w:firstLine="0" w:firstLineChars="0"/>
              <w:textAlignment w:val="auto"/>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贵方是否接受项目实施方案中的竞争指标</w:t>
            </w:r>
            <w:r>
              <w:rPr>
                <w:rFonts w:hint="eastAsia" w:ascii="仿宋" w:hAnsi="仿宋" w:cs="仿宋"/>
                <w:color w:val="auto"/>
                <w:kern w:val="0"/>
                <w:sz w:val="28"/>
                <w:szCs w:val="28"/>
                <w:highlight w:val="none"/>
                <w:lang w:eastAsia="zh-CN"/>
              </w:rPr>
              <w:t>。</w:t>
            </w:r>
          </w:p>
        </w:tc>
        <w:tc>
          <w:tcPr>
            <w:tcW w:w="2866" w:type="dxa"/>
            <w:tcBorders>
              <w:top w:val="nil"/>
              <w:left w:val="nil"/>
              <w:bottom w:val="single" w:color="auto" w:sz="4" w:space="0"/>
              <w:right w:val="doub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textAlignment w:val="auto"/>
              <w:rPr>
                <w:rFonts w:hint="eastAsia" w:ascii="仿宋" w:hAnsi="仿宋" w:eastAsia="仿宋" w:cs="仿宋"/>
                <w:color w:val="auto"/>
                <w:kern w:val="0"/>
                <w:sz w:val="28"/>
                <w:szCs w:val="28"/>
                <w:highlight w:val="none"/>
                <w:lang w:val="en-US" w:eastAsia="zh-CN" w:bidi="ar-SA"/>
              </w:rPr>
            </w:pPr>
          </w:p>
        </w:tc>
      </w:tr>
      <w:tr>
        <w:tblPrEx>
          <w:tblCellMar>
            <w:top w:w="0" w:type="dxa"/>
            <w:left w:w="108" w:type="dxa"/>
            <w:bottom w:w="0" w:type="dxa"/>
            <w:right w:w="108" w:type="dxa"/>
          </w:tblCellMar>
        </w:tblPrEx>
        <w:trPr>
          <w:trHeight w:val="769" w:hRule="atLeast"/>
          <w:jc w:val="center"/>
        </w:trPr>
        <w:tc>
          <w:tcPr>
            <w:tcW w:w="1951" w:type="dxa"/>
            <w:vMerge w:val="continue"/>
            <w:tcBorders>
              <w:left w:val="double" w:color="auto" w:sz="4" w:space="0"/>
              <w:bottom w:val="single" w:color="auto" w:sz="4" w:space="0"/>
              <w:right w:val="single" w:color="auto" w:sz="4" w:space="0"/>
            </w:tcBorders>
            <w:shd w:val="clear" w:color="auto" w:fill="F2F2F2"/>
            <w:noWrap/>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textAlignment w:val="auto"/>
            </w:pPr>
          </w:p>
        </w:tc>
        <w:tc>
          <w:tcPr>
            <w:tcW w:w="4363"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60" w:lineRule="exact"/>
              <w:ind w:left="0" w:leftChars="0" w:firstLine="0" w:firstLineChars="0"/>
              <w:textAlignment w:val="auto"/>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rPr>
              <w:t>如有意见，请提出相关建议</w:t>
            </w:r>
            <w:r>
              <w:rPr>
                <w:rFonts w:hint="eastAsia" w:ascii="仿宋" w:hAnsi="仿宋" w:cs="仿宋"/>
                <w:color w:val="auto"/>
                <w:kern w:val="0"/>
                <w:sz w:val="28"/>
                <w:szCs w:val="28"/>
                <w:highlight w:val="none"/>
                <w:lang w:eastAsia="zh-CN"/>
              </w:rPr>
              <w:t>。</w:t>
            </w:r>
          </w:p>
        </w:tc>
        <w:tc>
          <w:tcPr>
            <w:tcW w:w="2866" w:type="dxa"/>
            <w:tcBorders>
              <w:top w:val="single" w:color="auto" w:sz="4" w:space="0"/>
              <w:left w:val="nil"/>
              <w:bottom w:val="single" w:color="auto" w:sz="4" w:space="0"/>
              <w:right w:val="doub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textAlignment w:val="auto"/>
              <w:rPr>
                <w:rFonts w:hint="eastAsia" w:ascii="仿宋" w:hAnsi="仿宋" w:eastAsia="仿宋" w:cs="仿宋"/>
                <w:color w:val="auto"/>
                <w:kern w:val="0"/>
                <w:sz w:val="28"/>
                <w:szCs w:val="28"/>
                <w:highlight w:val="none"/>
                <w:lang w:val="en-US" w:eastAsia="zh-CN" w:bidi="ar-SA"/>
              </w:rPr>
            </w:pPr>
          </w:p>
        </w:tc>
      </w:tr>
      <w:tr>
        <w:tblPrEx>
          <w:tblCellMar>
            <w:top w:w="0" w:type="dxa"/>
            <w:left w:w="108" w:type="dxa"/>
            <w:bottom w:w="0" w:type="dxa"/>
            <w:right w:w="108" w:type="dxa"/>
          </w:tblCellMar>
        </w:tblPrEx>
        <w:trPr>
          <w:trHeight w:val="1538" w:hRule="atLeast"/>
          <w:jc w:val="center"/>
        </w:trPr>
        <w:tc>
          <w:tcPr>
            <w:tcW w:w="1951" w:type="dxa"/>
            <w:tcBorders>
              <w:top w:val="nil"/>
              <w:left w:val="double" w:color="auto" w:sz="4" w:space="0"/>
              <w:bottom w:val="single" w:color="auto" w:sz="4" w:space="0"/>
              <w:right w:val="single" w:color="auto" w:sz="4" w:space="0"/>
            </w:tcBorders>
            <w:shd w:val="clear" w:color="auto" w:fill="F2F2F2"/>
            <w:noWrap/>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 w:hAnsi="仿宋" w:eastAsia="仿宋" w:cs="仿宋"/>
                <w:b/>
                <w:color w:val="auto"/>
                <w:kern w:val="0"/>
                <w:sz w:val="28"/>
                <w:szCs w:val="28"/>
                <w:highlight w:val="none"/>
              </w:rPr>
            </w:pPr>
            <w:r>
              <w:rPr>
                <w:rFonts w:hint="eastAsia" w:ascii="仿宋" w:hAnsi="仿宋" w:eastAsia="仿宋" w:cs="仿宋"/>
                <w:b/>
                <w:color w:val="auto"/>
                <w:kern w:val="0"/>
                <w:sz w:val="28"/>
                <w:szCs w:val="28"/>
                <w:highlight w:val="none"/>
              </w:rPr>
              <w:t>运作模式</w:t>
            </w:r>
          </w:p>
        </w:tc>
        <w:tc>
          <w:tcPr>
            <w:tcW w:w="4363"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textAlignment w:val="auto"/>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采用</w:t>
            </w:r>
            <w:r>
              <w:rPr>
                <w:rFonts w:hint="eastAsia" w:ascii="仿宋" w:hAnsi="仿宋" w:cs="仿宋"/>
                <w:color w:val="auto"/>
                <w:kern w:val="0"/>
                <w:sz w:val="28"/>
                <w:szCs w:val="28"/>
                <w:highlight w:val="none"/>
                <w:lang w:eastAsia="zh-CN"/>
              </w:rPr>
              <w:t>“</w:t>
            </w:r>
            <w:r>
              <w:rPr>
                <w:rFonts w:hint="eastAsia" w:ascii="仿宋" w:hAnsi="仿宋" w:eastAsia="仿宋" w:cs="仿宋"/>
                <w:color w:val="auto"/>
                <w:kern w:val="0"/>
                <w:sz w:val="28"/>
                <w:szCs w:val="28"/>
                <w:highlight w:val="none"/>
              </w:rPr>
              <w:t>BOT</w:t>
            </w:r>
            <w:r>
              <w:rPr>
                <w:rFonts w:hint="eastAsia" w:ascii="仿宋" w:hAnsi="仿宋" w:cs="仿宋"/>
                <w:color w:val="auto"/>
                <w:kern w:val="0"/>
                <w:sz w:val="28"/>
                <w:szCs w:val="28"/>
                <w:highlight w:val="none"/>
                <w:lang w:val="en-US" w:eastAsia="zh-CN"/>
              </w:rPr>
              <w:t>+ROT</w:t>
            </w:r>
            <w:r>
              <w:rPr>
                <w:rFonts w:hint="eastAsia" w:ascii="仿宋" w:hAnsi="仿宋" w:cs="仿宋"/>
                <w:color w:val="auto"/>
                <w:kern w:val="0"/>
                <w:sz w:val="28"/>
                <w:szCs w:val="28"/>
                <w:highlight w:val="none"/>
                <w:lang w:eastAsia="zh-CN"/>
              </w:rPr>
              <w:t>”</w:t>
            </w:r>
            <w:r>
              <w:rPr>
                <w:rFonts w:hint="eastAsia" w:ascii="仿宋" w:hAnsi="仿宋" w:eastAsia="仿宋" w:cs="仿宋"/>
                <w:color w:val="auto"/>
                <w:kern w:val="0"/>
                <w:sz w:val="28"/>
                <w:szCs w:val="28"/>
                <w:highlight w:val="none"/>
              </w:rPr>
              <w:t>模式，由社会资本组建项目公司，由项目公司负责本项目的投融资、建设、运营维护及移交</w:t>
            </w:r>
            <w:r>
              <w:rPr>
                <w:rFonts w:hint="eastAsia" w:ascii="仿宋" w:hAnsi="仿宋" w:cs="仿宋"/>
                <w:color w:val="auto"/>
                <w:kern w:val="0"/>
                <w:sz w:val="28"/>
                <w:szCs w:val="28"/>
                <w:highlight w:val="none"/>
                <w:lang w:eastAsia="zh-CN"/>
              </w:rPr>
              <w:t>。</w:t>
            </w:r>
          </w:p>
        </w:tc>
        <w:tc>
          <w:tcPr>
            <w:tcW w:w="2866" w:type="dxa"/>
            <w:tcBorders>
              <w:top w:val="nil"/>
              <w:left w:val="nil"/>
              <w:bottom w:val="single" w:color="auto" w:sz="4" w:space="0"/>
              <w:right w:val="doub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textAlignment w:val="auto"/>
              <w:rPr>
                <w:rFonts w:hint="eastAsia" w:ascii="仿宋" w:hAnsi="仿宋" w:eastAsia="仿宋" w:cs="仿宋"/>
                <w:color w:val="auto"/>
                <w:kern w:val="0"/>
                <w:sz w:val="28"/>
                <w:szCs w:val="28"/>
                <w:highlight w:val="none"/>
                <w:lang w:val="en-US" w:eastAsia="zh-CN" w:bidi="ar-SA"/>
              </w:rPr>
            </w:pPr>
          </w:p>
        </w:tc>
      </w:tr>
      <w:tr>
        <w:tblPrEx>
          <w:tblCellMar>
            <w:top w:w="0" w:type="dxa"/>
            <w:left w:w="108" w:type="dxa"/>
            <w:bottom w:w="0" w:type="dxa"/>
            <w:right w:w="108" w:type="dxa"/>
          </w:tblCellMar>
        </w:tblPrEx>
        <w:trPr>
          <w:trHeight w:val="690" w:hRule="atLeast"/>
          <w:jc w:val="center"/>
        </w:trPr>
        <w:tc>
          <w:tcPr>
            <w:tcW w:w="1951" w:type="dxa"/>
            <w:vMerge w:val="restart"/>
            <w:tcBorders>
              <w:top w:val="nil"/>
              <w:left w:val="double" w:color="auto" w:sz="4" w:space="0"/>
              <w:right w:val="single" w:color="auto" w:sz="4" w:space="0"/>
            </w:tcBorders>
            <w:shd w:val="clear" w:color="auto" w:fill="F2F2F2"/>
            <w:noWrap/>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 w:hAnsi="仿宋" w:eastAsia="仿宋" w:cs="仿宋"/>
                <w:b/>
                <w:color w:val="auto"/>
                <w:kern w:val="0"/>
                <w:sz w:val="28"/>
                <w:szCs w:val="28"/>
                <w:highlight w:val="none"/>
              </w:rPr>
            </w:pPr>
            <w:r>
              <w:rPr>
                <w:rFonts w:hint="eastAsia" w:ascii="仿宋" w:hAnsi="仿宋" w:eastAsia="仿宋" w:cs="仿宋"/>
                <w:b/>
                <w:color w:val="auto"/>
                <w:kern w:val="0"/>
                <w:sz w:val="28"/>
                <w:szCs w:val="28"/>
                <w:highlight w:val="none"/>
              </w:rPr>
              <w:t>投融资结构</w:t>
            </w:r>
          </w:p>
        </w:tc>
        <w:tc>
          <w:tcPr>
            <w:tcW w:w="4363"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项目资本</w:t>
            </w:r>
            <w:r>
              <w:rPr>
                <w:rFonts w:hint="eastAsia" w:ascii="仿宋" w:hAnsi="仿宋" w:cs="仿宋"/>
                <w:color w:val="auto"/>
                <w:kern w:val="0"/>
                <w:sz w:val="28"/>
                <w:szCs w:val="28"/>
                <w:highlight w:val="none"/>
                <w:lang w:val="en-US" w:eastAsia="zh-CN"/>
              </w:rPr>
              <w:t>金</w:t>
            </w:r>
            <w:r>
              <w:rPr>
                <w:rFonts w:hint="eastAsia" w:ascii="仿宋" w:hAnsi="仿宋" w:eastAsia="仿宋" w:cs="仿宋"/>
                <w:color w:val="auto"/>
                <w:kern w:val="0"/>
                <w:sz w:val="28"/>
                <w:szCs w:val="28"/>
                <w:highlight w:val="none"/>
              </w:rPr>
              <w:t>为项目总投资的</w:t>
            </w:r>
            <w:r>
              <w:rPr>
                <w:rFonts w:hint="eastAsia" w:ascii="仿宋" w:hAnsi="仿宋" w:cs="仿宋"/>
                <w:color w:val="auto"/>
                <w:kern w:val="0"/>
                <w:sz w:val="28"/>
                <w:szCs w:val="28"/>
                <w:highlight w:val="none"/>
                <w:lang w:val="en-US" w:eastAsia="zh-CN"/>
              </w:rPr>
              <w:t>3</w:t>
            </w:r>
            <w:r>
              <w:rPr>
                <w:rFonts w:hint="eastAsia" w:ascii="仿宋" w:hAnsi="仿宋" w:eastAsia="仿宋" w:cs="仿宋"/>
                <w:color w:val="auto"/>
                <w:kern w:val="0"/>
                <w:sz w:val="28"/>
                <w:szCs w:val="28"/>
                <w:highlight w:val="none"/>
              </w:rPr>
              <w:t>0%。</w:t>
            </w:r>
          </w:p>
          <w:p>
            <w:pPr>
              <w:keepNext w:val="0"/>
              <w:keepLines w:val="0"/>
              <w:pageBreakBefore w:val="0"/>
              <w:widowControl/>
              <w:kinsoku/>
              <w:wordWrap/>
              <w:overflowPunct/>
              <w:topLinePunct w:val="0"/>
              <w:autoSpaceDE/>
              <w:autoSpaceDN/>
              <w:bidi w:val="0"/>
              <w:adjustRightInd/>
              <w:snapToGrid/>
              <w:spacing w:line="460" w:lineRule="exact"/>
              <w:ind w:firstLine="0" w:firstLineChars="0"/>
              <w:textAlignment w:val="auto"/>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融资资金由社会资本负责筹措到位</w:t>
            </w:r>
            <w:r>
              <w:rPr>
                <w:rFonts w:hint="eastAsia" w:ascii="仿宋" w:hAnsi="仿宋" w:cs="仿宋"/>
                <w:color w:val="auto"/>
                <w:kern w:val="0"/>
                <w:sz w:val="28"/>
                <w:szCs w:val="28"/>
                <w:highlight w:val="none"/>
                <w:lang w:eastAsia="zh-CN"/>
              </w:rPr>
              <w:t>。</w:t>
            </w:r>
          </w:p>
        </w:tc>
        <w:tc>
          <w:tcPr>
            <w:tcW w:w="2866" w:type="dxa"/>
            <w:tcBorders>
              <w:top w:val="nil"/>
              <w:left w:val="nil"/>
              <w:bottom w:val="single" w:color="auto" w:sz="4" w:space="0"/>
              <w:right w:val="doub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textAlignment w:val="auto"/>
              <w:rPr>
                <w:rFonts w:hint="eastAsia" w:ascii="仿宋" w:hAnsi="仿宋" w:eastAsia="仿宋" w:cs="仿宋"/>
                <w:color w:val="auto"/>
                <w:kern w:val="0"/>
                <w:sz w:val="28"/>
                <w:szCs w:val="28"/>
                <w:highlight w:val="none"/>
              </w:rPr>
            </w:pPr>
          </w:p>
        </w:tc>
      </w:tr>
      <w:tr>
        <w:tblPrEx>
          <w:tblCellMar>
            <w:top w:w="0" w:type="dxa"/>
            <w:left w:w="108" w:type="dxa"/>
            <w:bottom w:w="0" w:type="dxa"/>
            <w:right w:w="108" w:type="dxa"/>
          </w:tblCellMar>
        </w:tblPrEx>
        <w:trPr>
          <w:trHeight w:val="690" w:hRule="atLeast"/>
          <w:jc w:val="center"/>
        </w:trPr>
        <w:tc>
          <w:tcPr>
            <w:tcW w:w="1951" w:type="dxa"/>
            <w:vMerge w:val="continue"/>
            <w:tcBorders>
              <w:left w:val="double" w:color="auto" w:sz="4" w:space="0"/>
              <w:bottom w:val="single" w:color="auto" w:sz="4" w:space="0"/>
              <w:right w:val="single" w:color="auto" w:sz="4" w:space="0"/>
            </w:tcBorders>
            <w:shd w:val="clear" w:color="auto" w:fill="F2F2F2"/>
            <w:noWrap/>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textAlignment w:val="auto"/>
            </w:pPr>
          </w:p>
        </w:tc>
        <w:tc>
          <w:tcPr>
            <w:tcW w:w="4363"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textAlignment w:val="auto"/>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如有意见，请提出相关建议</w:t>
            </w:r>
            <w:r>
              <w:rPr>
                <w:rFonts w:hint="eastAsia" w:ascii="仿宋" w:hAnsi="仿宋" w:cs="仿宋"/>
                <w:color w:val="auto"/>
                <w:kern w:val="0"/>
                <w:sz w:val="28"/>
                <w:szCs w:val="28"/>
                <w:highlight w:val="none"/>
                <w:lang w:eastAsia="zh-CN"/>
              </w:rPr>
              <w:t>。</w:t>
            </w:r>
          </w:p>
        </w:tc>
        <w:tc>
          <w:tcPr>
            <w:tcW w:w="2866" w:type="dxa"/>
            <w:tcBorders>
              <w:top w:val="single" w:color="auto" w:sz="4" w:space="0"/>
              <w:left w:val="nil"/>
              <w:bottom w:val="single" w:color="auto" w:sz="4" w:space="0"/>
              <w:right w:val="doub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textAlignment w:val="auto"/>
              <w:rPr>
                <w:rFonts w:hint="eastAsia" w:ascii="仿宋" w:hAnsi="仿宋" w:eastAsia="仿宋" w:cs="仿宋"/>
                <w:color w:val="auto"/>
                <w:kern w:val="0"/>
                <w:sz w:val="28"/>
                <w:szCs w:val="28"/>
                <w:highlight w:val="none"/>
              </w:rPr>
            </w:pPr>
          </w:p>
        </w:tc>
      </w:tr>
      <w:tr>
        <w:tblPrEx>
          <w:tblCellMar>
            <w:top w:w="0" w:type="dxa"/>
            <w:left w:w="108" w:type="dxa"/>
            <w:bottom w:w="0" w:type="dxa"/>
            <w:right w:w="108" w:type="dxa"/>
          </w:tblCellMar>
        </w:tblPrEx>
        <w:trPr>
          <w:trHeight w:val="840" w:hRule="atLeast"/>
          <w:jc w:val="center"/>
        </w:trPr>
        <w:tc>
          <w:tcPr>
            <w:tcW w:w="1951" w:type="dxa"/>
            <w:vMerge w:val="restart"/>
            <w:tcBorders>
              <w:top w:val="nil"/>
              <w:left w:val="double" w:color="auto" w:sz="4" w:space="0"/>
              <w:right w:val="single" w:color="auto" w:sz="4" w:space="0"/>
            </w:tcBorders>
            <w:shd w:val="clear" w:color="auto" w:fill="F2F2F2"/>
            <w:noWrap/>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 w:hAnsi="仿宋" w:eastAsia="仿宋" w:cs="仿宋"/>
                <w:b/>
                <w:color w:val="auto"/>
                <w:kern w:val="0"/>
                <w:sz w:val="28"/>
                <w:szCs w:val="28"/>
                <w:highlight w:val="none"/>
              </w:rPr>
            </w:pPr>
            <w:r>
              <w:rPr>
                <w:rFonts w:hint="eastAsia" w:ascii="仿宋" w:hAnsi="仿宋" w:eastAsia="仿宋" w:cs="仿宋"/>
                <w:b/>
                <w:color w:val="auto"/>
                <w:kern w:val="0"/>
                <w:sz w:val="28"/>
                <w:szCs w:val="28"/>
                <w:highlight w:val="none"/>
              </w:rPr>
              <w:t>回报机制</w:t>
            </w:r>
          </w:p>
        </w:tc>
        <w:tc>
          <w:tcPr>
            <w:tcW w:w="4363"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textAlignment w:val="auto"/>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贵方是否接受项目实施方案中设置的回报机制</w:t>
            </w:r>
            <w:r>
              <w:rPr>
                <w:rFonts w:hint="eastAsia" w:ascii="仿宋" w:hAnsi="仿宋" w:cs="仿宋"/>
                <w:color w:val="auto"/>
                <w:kern w:val="0"/>
                <w:sz w:val="28"/>
                <w:szCs w:val="28"/>
                <w:highlight w:val="none"/>
                <w:lang w:eastAsia="zh-CN"/>
              </w:rPr>
              <w:t>。</w:t>
            </w:r>
          </w:p>
        </w:tc>
        <w:tc>
          <w:tcPr>
            <w:tcW w:w="2866" w:type="dxa"/>
            <w:tcBorders>
              <w:top w:val="nil"/>
              <w:left w:val="nil"/>
              <w:bottom w:val="single" w:color="auto" w:sz="4" w:space="0"/>
              <w:right w:val="doub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textAlignment w:val="auto"/>
              <w:rPr>
                <w:rFonts w:hint="eastAsia" w:ascii="仿宋" w:hAnsi="仿宋" w:eastAsia="仿宋" w:cs="仿宋"/>
                <w:color w:val="auto"/>
                <w:kern w:val="0"/>
                <w:sz w:val="28"/>
                <w:szCs w:val="28"/>
                <w:highlight w:val="none"/>
              </w:rPr>
            </w:pPr>
          </w:p>
        </w:tc>
      </w:tr>
      <w:tr>
        <w:tblPrEx>
          <w:tblCellMar>
            <w:top w:w="0" w:type="dxa"/>
            <w:left w:w="108" w:type="dxa"/>
            <w:bottom w:w="0" w:type="dxa"/>
            <w:right w:w="108" w:type="dxa"/>
          </w:tblCellMar>
        </w:tblPrEx>
        <w:trPr>
          <w:trHeight w:val="710" w:hRule="atLeast"/>
          <w:jc w:val="center"/>
        </w:trPr>
        <w:tc>
          <w:tcPr>
            <w:tcW w:w="1951" w:type="dxa"/>
            <w:vMerge w:val="continue"/>
            <w:tcBorders>
              <w:left w:val="double" w:color="auto" w:sz="4" w:space="0"/>
              <w:bottom w:val="single" w:color="auto" w:sz="4" w:space="0"/>
              <w:right w:val="single" w:color="auto" w:sz="4" w:space="0"/>
            </w:tcBorders>
            <w:shd w:val="clear" w:color="auto" w:fill="F2F2F2"/>
            <w:noWrap/>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 w:hAnsi="仿宋" w:eastAsia="仿宋" w:cs="仿宋"/>
                <w:b/>
                <w:color w:val="auto"/>
                <w:kern w:val="0"/>
                <w:sz w:val="28"/>
                <w:szCs w:val="28"/>
                <w:highlight w:val="none"/>
              </w:rPr>
            </w:pPr>
          </w:p>
        </w:tc>
        <w:tc>
          <w:tcPr>
            <w:tcW w:w="4363"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textAlignment w:val="auto"/>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如有意见，请提出相关建议</w:t>
            </w:r>
            <w:r>
              <w:rPr>
                <w:rFonts w:hint="eastAsia" w:ascii="仿宋" w:hAnsi="仿宋" w:cs="仿宋"/>
                <w:color w:val="auto"/>
                <w:kern w:val="0"/>
                <w:sz w:val="28"/>
                <w:szCs w:val="28"/>
                <w:highlight w:val="none"/>
                <w:lang w:eastAsia="zh-CN"/>
              </w:rPr>
              <w:t>。</w:t>
            </w:r>
          </w:p>
        </w:tc>
        <w:tc>
          <w:tcPr>
            <w:tcW w:w="2866" w:type="dxa"/>
            <w:tcBorders>
              <w:top w:val="nil"/>
              <w:left w:val="nil"/>
              <w:bottom w:val="single" w:color="auto" w:sz="4" w:space="0"/>
              <w:right w:val="doub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textAlignment w:val="auto"/>
              <w:rPr>
                <w:rFonts w:hint="eastAsia" w:ascii="仿宋" w:hAnsi="仿宋" w:eastAsia="仿宋" w:cs="仿宋"/>
                <w:color w:val="auto"/>
                <w:kern w:val="0"/>
                <w:sz w:val="28"/>
                <w:szCs w:val="28"/>
                <w:highlight w:val="none"/>
              </w:rPr>
            </w:pPr>
          </w:p>
        </w:tc>
      </w:tr>
      <w:tr>
        <w:tblPrEx>
          <w:tblCellMar>
            <w:top w:w="0" w:type="dxa"/>
            <w:left w:w="108" w:type="dxa"/>
            <w:bottom w:w="0" w:type="dxa"/>
            <w:right w:w="108" w:type="dxa"/>
          </w:tblCellMar>
        </w:tblPrEx>
        <w:trPr>
          <w:trHeight w:val="1311" w:hRule="atLeast"/>
          <w:jc w:val="center"/>
        </w:trPr>
        <w:tc>
          <w:tcPr>
            <w:tcW w:w="1951" w:type="dxa"/>
            <w:tcBorders>
              <w:top w:val="nil"/>
              <w:left w:val="double" w:color="auto" w:sz="4" w:space="0"/>
              <w:bottom w:val="single" w:color="auto" w:sz="4" w:space="0"/>
              <w:right w:val="single" w:color="auto" w:sz="4" w:space="0"/>
            </w:tcBorders>
            <w:shd w:val="clear" w:color="auto" w:fill="F2F2F2"/>
            <w:noWrap/>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 w:hAnsi="仿宋" w:eastAsia="仿宋" w:cs="仿宋"/>
                <w:b/>
                <w:color w:val="auto"/>
                <w:kern w:val="0"/>
                <w:sz w:val="28"/>
                <w:szCs w:val="28"/>
                <w:highlight w:val="none"/>
              </w:rPr>
            </w:pPr>
            <w:r>
              <w:rPr>
                <w:rFonts w:hint="eastAsia" w:ascii="仿宋" w:hAnsi="仿宋" w:eastAsia="仿宋" w:cs="仿宋"/>
                <w:b/>
                <w:color w:val="auto"/>
                <w:kern w:val="0"/>
                <w:sz w:val="28"/>
                <w:szCs w:val="28"/>
                <w:highlight w:val="none"/>
              </w:rPr>
              <w:t>项目融资</w:t>
            </w:r>
          </w:p>
        </w:tc>
        <w:tc>
          <w:tcPr>
            <w:tcW w:w="4363"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textAlignment w:val="auto"/>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中选社会资本承担本项目的融资责任，融资不能解决的需通过股东贷款、补充提供担保等方式解决。贵方就本项目融资能提供哪些支持或保证</w:t>
            </w:r>
            <w:r>
              <w:rPr>
                <w:rFonts w:hint="eastAsia" w:ascii="仿宋" w:hAnsi="仿宋" w:cs="仿宋"/>
                <w:color w:val="auto"/>
                <w:kern w:val="0"/>
                <w:sz w:val="28"/>
                <w:szCs w:val="28"/>
                <w:highlight w:val="none"/>
                <w:lang w:eastAsia="zh-CN"/>
              </w:rPr>
              <w:t>。</w:t>
            </w:r>
          </w:p>
        </w:tc>
        <w:tc>
          <w:tcPr>
            <w:tcW w:w="2866" w:type="dxa"/>
            <w:tcBorders>
              <w:top w:val="nil"/>
              <w:left w:val="nil"/>
              <w:bottom w:val="single" w:color="auto" w:sz="4" w:space="0"/>
              <w:right w:val="doub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textAlignment w:val="auto"/>
              <w:rPr>
                <w:rFonts w:hint="eastAsia" w:ascii="仿宋" w:hAnsi="仿宋" w:eastAsia="仿宋" w:cs="仿宋"/>
                <w:color w:val="auto"/>
                <w:kern w:val="0"/>
                <w:sz w:val="28"/>
                <w:szCs w:val="28"/>
                <w:highlight w:val="none"/>
              </w:rPr>
            </w:pPr>
          </w:p>
        </w:tc>
      </w:tr>
      <w:tr>
        <w:tblPrEx>
          <w:tblCellMar>
            <w:top w:w="0" w:type="dxa"/>
            <w:left w:w="108" w:type="dxa"/>
            <w:bottom w:w="0" w:type="dxa"/>
            <w:right w:w="108" w:type="dxa"/>
          </w:tblCellMar>
        </w:tblPrEx>
        <w:trPr>
          <w:trHeight w:val="1880" w:hRule="atLeast"/>
          <w:jc w:val="center"/>
        </w:trPr>
        <w:tc>
          <w:tcPr>
            <w:tcW w:w="1951" w:type="dxa"/>
            <w:tcBorders>
              <w:top w:val="nil"/>
              <w:left w:val="double" w:color="auto" w:sz="4" w:space="0"/>
              <w:bottom w:val="single" w:color="auto" w:sz="4" w:space="0"/>
              <w:right w:val="single" w:color="auto" w:sz="4" w:space="0"/>
            </w:tcBorders>
            <w:shd w:val="clear" w:color="auto" w:fill="F2F2F2"/>
            <w:noWrap/>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 w:hAnsi="仿宋" w:eastAsia="仿宋" w:cs="仿宋"/>
                <w:b/>
                <w:color w:val="auto"/>
                <w:kern w:val="0"/>
                <w:sz w:val="28"/>
                <w:szCs w:val="28"/>
                <w:highlight w:val="none"/>
              </w:rPr>
            </w:pPr>
            <w:r>
              <w:rPr>
                <w:rFonts w:hint="eastAsia" w:ascii="仿宋" w:hAnsi="仿宋" w:eastAsia="仿宋" w:cs="仿宋"/>
                <w:b/>
                <w:color w:val="auto"/>
                <w:kern w:val="0"/>
                <w:sz w:val="28"/>
                <w:szCs w:val="28"/>
                <w:highlight w:val="none"/>
              </w:rPr>
              <w:t>运维风险防范措施</w:t>
            </w:r>
          </w:p>
        </w:tc>
        <w:tc>
          <w:tcPr>
            <w:tcW w:w="4363"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textAlignment w:val="auto"/>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贵方认为在本项目运营维护中养护部分可能面临的风险主要有哪些？需要明确哪些养护部分运营边界？对项目养护部分运营方面有哪些建议（可详细展开）</w:t>
            </w:r>
            <w:r>
              <w:rPr>
                <w:rFonts w:hint="eastAsia" w:ascii="仿宋" w:hAnsi="仿宋" w:cs="仿宋"/>
                <w:color w:val="auto"/>
                <w:kern w:val="0"/>
                <w:sz w:val="28"/>
                <w:szCs w:val="28"/>
                <w:highlight w:val="none"/>
                <w:lang w:eastAsia="zh-CN"/>
              </w:rPr>
              <w:t>。</w:t>
            </w:r>
          </w:p>
        </w:tc>
        <w:tc>
          <w:tcPr>
            <w:tcW w:w="2866" w:type="dxa"/>
            <w:tcBorders>
              <w:top w:val="nil"/>
              <w:left w:val="nil"/>
              <w:bottom w:val="single" w:color="auto" w:sz="4" w:space="0"/>
              <w:right w:val="doub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textAlignment w:val="auto"/>
              <w:rPr>
                <w:rFonts w:hint="eastAsia" w:ascii="仿宋" w:hAnsi="仿宋" w:eastAsia="仿宋" w:cs="仿宋"/>
                <w:color w:val="auto"/>
                <w:kern w:val="0"/>
                <w:sz w:val="28"/>
                <w:szCs w:val="28"/>
                <w:highlight w:val="none"/>
              </w:rPr>
            </w:pPr>
          </w:p>
        </w:tc>
      </w:tr>
      <w:tr>
        <w:tblPrEx>
          <w:tblCellMar>
            <w:top w:w="0" w:type="dxa"/>
            <w:left w:w="108" w:type="dxa"/>
            <w:bottom w:w="0" w:type="dxa"/>
            <w:right w:w="108" w:type="dxa"/>
          </w:tblCellMar>
        </w:tblPrEx>
        <w:trPr>
          <w:trHeight w:val="828" w:hRule="atLeast"/>
          <w:jc w:val="center"/>
        </w:trPr>
        <w:tc>
          <w:tcPr>
            <w:tcW w:w="1951" w:type="dxa"/>
            <w:vMerge w:val="restart"/>
            <w:tcBorders>
              <w:top w:val="nil"/>
              <w:left w:val="double" w:color="auto" w:sz="4" w:space="0"/>
              <w:bottom w:val="single" w:color="auto" w:sz="4" w:space="0"/>
              <w:right w:val="single" w:color="auto" w:sz="4" w:space="0"/>
            </w:tcBorders>
            <w:shd w:val="clear" w:color="auto" w:fill="F2F2F2"/>
            <w:noWrap/>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 w:hAnsi="仿宋" w:eastAsia="仿宋" w:cs="仿宋"/>
                <w:b/>
                <w:color w:val="auto"/>
                <w:kern w:val="0"/>
                <w:sz w:val="28"/>
                <w:szCs w:val="28"/>
                <w:highlight w:val="none"/>
              </w:rPr>
            </w:pPr>
            <w:r>
              <w:rPr>
                <w:rFonts w:hint="eastAsia" w:ascii="仿宋" w:hAnsi="仿宋" w:eastAsia="仿宋" w:cs="仿宋"/>
                <w:b/>
                <w:color w:val="auto"/>
                <w:kern w:val="0"/>
                <w:sz w:val="28"/>
                <w:szCs w:val="28"/>
                <w:highlight w:val="none"/>
              </w:rPr>
              <w:t>其他问题与建议</w:t>
            </w:r>
          </w:p>
        </w:tc>
        <w:tc>
          <w:tcPr>
            <w:tcW w:w="4363"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textAlignment w:val="auto"/>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经判断，贵方对本项目的参与兴趣程度（高、一般、无兴趣）</w:t>
            </w:r>
            <w:r>
              <w:rPr>
                <w:rFonts w:hint="eastAsia" w:ascii="仿宋" w:hAnsi="仿宋" w:cs="仿宋"/>
                <w:color w:val="auto"/>
                <w:kern w:val="0"/>
                <w:sz w:val="28"/>
                <w:szCs w:val="28"/>
                <w:highlight w:val="none"/>
                <w:lang w:eastAsia="zh-CN"/>
              </w:rPr>
              <w:t>。</w:t>
            </w:r>
          </w:p>
        </w:tc>
        <w:tc>
          <w:tcPr>
            <w:tcW w:w="2866" w:type="dxa"/>
            <w:tcBorders>
              <w:top w:val="nil"/>
              <w:left w:val="nil"/>
              <w:bottom w:val="single" w:color="auto" w:sz="4" w:space="0"/>
              <w:right w:val="doub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textAlignment w:val="auto"/>
              <w:rPr>
                <w:rFonts w:hint="eastAsia" w:ascii="仿宋" w:hAnsi="仿宋" w:eastAsia="仿宋" w:cs="仿宋"/>
                <w:color w:val="auto"/>
                <w:kern w:val="0"/>
                <w:sz w:val="28"/>
                <w:szCs w:val="28"/>
                <w:highlight w:val="none"/>
              </w:rPr>
            </w:pPr>
          </w:p>
        </w:tc>
      </w:tr>
      <w:tr>
        <w:tblPrEx>
          <w:tblCellMar>
            <w:top w:w="0" w:type="dxa"/>
            <w:left w:w="108" w:type="dxa"/>
            <w:bottom w:w="0" w:type="dxa"/>
            <w:right w:w="108" w:type="dxa"/>
          </w:tblCellMar>
        </w:tblPrEx>
        <w:trPr>
          <w:trHeight w:val="568" w:hRule="atLeast"/>
          <w:jc w:val="center"/>
        </w:trPr>
        <w:tc>
          <w:tcPr>
            <w:tcW w:w="1951" w:type="dxa"/>
            <w:vMerge w:val="continue"/>
            <w:tcBorders>
              <w:top w:val="nil"/>
              <w:left w:val="double" w:color="auto" w:sz="4" w:space="0"/>
              <w:bottom w:val="single" w:color="auto" w:sz="4" w:space="0"/>
              <w:right w:val="single" w:color="auto" w:sz="4" w:space="0"/>
            </w:tcBorders>
            <w:shd w:val="clear" w:color="auto" w:fill="F2F2F2"/>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jc w:val="left"/>
              <w:textAlignment w:val="auto"/>
              <w:rPr>
                <w:rFonts w:hint="eastAsia" w:ascii="仿宋" w:hAnsi="仿宋" w:eastAsia="仿宋" w:cs="仿宋"/>
                <w:b/>
                <w:color w:val="auto"/>
                <w:kern w:val="0"/>
                <w:sz w:val="28"/>
                <w:szCs w:val="28"/>
                <w:highlight w:val="none"/>
              </w:rPr>
            </w:pPr>
          </w:p>
        </w:tc>
        <w:tc>
          <w:tcPr>
            <w:tcW w:w="4363"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textAlignment w:val="auto"/>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贵方在项目实施方案中是否有其他诉求或建议</w:t>
            </w:r>
            <w:r>
              <w:rPr>
                <w:rFonts w:hint="eastAsia" w:ascii="仿宋" w:hAnsi="仿宋" w:cs="仿宋"/>
                <w:color w:val="auto"/>
                <w:kern w:val="0"/>
                <w:sz w:val="28"/>
                <w:szCs w:val="28"/>
                <w:highlight w:val="none"/>
                <w:lang w:eastAsia="zh-CN"/>
              </w:rPr>
              <w:t>。</w:t>
            </w:r>
          </w:p>
        </w:tc>
        <w:tc>
          <w:tcPr>
            <w:tcW w:w="2866" w:type="dxa"/>
            <w:tcBorders>
              <w:top w:val="nil"/>
              <w:left w:val="nil"/>
              <w:bottom w:val="single" w:color="auto" w:sz="4" w:space="0"/>
              <w:right w:val="doub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textAlignment w:val="auto"/>
              <w:rPr>
                <w:rFonts w:hint="eastAsia" w:ascii="仿宋" w:hAnsi="仿宋" w:eastAsia="仿宋" w:cs="仿宋"/>
                <w:color w:val="auto"/>
                <w:kern w:val="0"/>
                <w:sz w:val="28"/>
                <w:szCs w:val="28"/>
                <w:highlight w:val="none"/>
              </w:rPr>
            </w:pPr>
          </w:p>
        </w:tc>
      </w:tr>
      <w:tr>
        <w:tblPrEx>
          <w:tblCellMar>
            <w:top w:w="0" w:type="dxa"/>
            <w:left w:w="108" w:type="dxa"/>
            <w:bottom w:w="0" w:type="dxa"/>
            <w:right w:w="108" w:type="dxa"/>
          </w:tblCellMar>
        </w:tblPrEx>
        <w:trPr>
          <w:trHeight w:val="420" w:hRule="atLeast"/>
          <w:jc w:val="center"/>
        </w:trPr>
        <w:tc>
          <w:tcPr>
            <w:tcW w:w="1951" w:type="dxa"/>
            <w:vMerge w:val="restart"/>
            <w:tcBorders>
              <w:top w:val="nil"/>
              <w:left w:val="double" w:color="auto" w:sz="4" w:space="0"/>
              <w:bottom w:val="single" w:color="000000" w:sz="4" w:space="0"/>
              <w:right w:val="single" w:color="auto" w:sz="4" w:space="0"/>
            </w:tcBorders>
            <w:shd w:val="clear" w:color="auto" w:fill="F2F2F2"/>
            <w:noWrap/>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 w:hAnsi="仿宋" w:eastAsia="仿宋" w:cs="仿宋"/>
                <w:b/>
                <w:color w:val="auto"/>
                <w:kern w:val="0"/>
                <w:sz w:val="28"/>
                <w:szCs w:val="28"/>
                <w:highlight w:val="none"/>
              </w:rPr>
            </w:pPr>
            <w:r>
              <w:rPr>
                <w:rFonts w:hint="eastAsia" w:ascii="仿宋" w:hAnsi="仿宋" w:eastAsia="仿宋" w:cs="仿宋"/>
                <w:b/>
                <w:color w:val="auto"/>
                <w:kern w:val="0"/>
                <w:sz w:val="28"/>
                <w:szCs w:val="28"/>
                <w:highlight w:val="none"/>
              </w:rPr>
              <w:t>贵方联系信息</w:t>
            </w:r>
          </w:p>
        </w:tc>
        <w:tc>
          <w:tcPr>
            <w:tcW w:w="7229" w:type="dxa"/>
            <w:gridSpan w:val="2"/>
            <w:tcBorders>
              <w:top w:val="nil"/>
              <w:left w:val="nil"/>
              <w:bottom w:val="single" w:color="auto" w:sz="4" w:space="0"/>
              <w:right w:val="doub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textAlignment w:val="auto"/>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联系人</w:t>
            </w:r>
            <w:r>
              <w:rPr>
                <w:rFonts w:hint="eastAsia" w:ascii="仿宋" w:hAnsi="仿宋" w:cs="仿宋"/>
                <w:color w:val="auto"/>
                <w:kern w:val="0"/>
                <w:sz w:val="28"/>
                <w:szCs w:val="28"/>
                <w:highlight w:val="none"/>
                <w:lang w:eastAsia="zh-CN"/>
              </w:rPr>
              <w:t>：</w:t>
            </w:r>
          </w:p>
        </w:tc>
      </w:tr>
      <w:tr>
        <w:tblPrEx>
          <w:tblCellMar>
            <w:top w:w="0" w:type="dxa"/>
            <w:left w:w="108" w:type="dxa"/>
            <w:bottom w:w="0" w:type="dxa"/>
            <w:right w:w="108" w:type="dxa"/>
          </w:tblCellMar>
        </w:tblPrEx>
        <w:trPr>
          <w:trHeight w:val="399" w:hRule="atLeast"/>
          <w:jc w:val="center"/>
        </w:trPr>
        <w:tc>
          <w:tcPr>
            <w:tcW w:w="1951" w:type="dxa"/>
            <w:vMerge w:val="continue"/>
            <w:tcBorders>
              <w:top w:val="nil"/>
              <w:left w:val="double" w:color="auto" w:sz="4" w:space="0"/>
              <w:bottom w:val="single" w:color="000000" w:sz="4" w:space="0"/>
              <w:right w:val="single" w:color="auto" w:sz="4" w:space="0"/>
            </w:tcBorders>
            <w:shd w:val="clear" w:color="auto" w:fill="F2F2F2"/>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jc w:val="left"/>
              <w:textAlignment w:val="auto"/>
              <w:rPr>
                <w:rFonts w:hint="eastAsia" w:ascii="仿宋" w:hAnsi="仿宋" w:eastAsia="仿宋" w:cs="仿宋"/>
                <w:color w:val="auto"/>
                <w:kern w:val="0"/>
                <w:sz w:val="28"/>
                <w:szCs w:val="28"/>
                <w:highlight w:val="none"/>
              </w:rPr>
            </w:pPr>
          </w:p>
        </w:tc>
        <w:tc>
          <w:tcPr>
            <w:tcW w:w="7229" w:type="dxa"/>
            <w:gridSpan w:val="2"/>
            <w:tcBorders>
              <w:top w:val="nil"/>
              <w:left w:val="nil"/>
              <w:bottom w:val="single" w:color="auto" w:sz="4" w:space="0"/>
              <w:right w:val="doub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textAlignment w:val="auto"/>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电</w:t>
            </w:r>
            <w:r>
              <w:rPr>
                <w:rFonts w:hint="eastAsia" w:ascii="仿宋" w:hAnsi="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话</w:t>
            </w:r>
            <w:r>
              <w:rPr>
                <w:rFonts w:hint="eastAsia" w:ascii="仿宋" w:hAnsi="仿宋" w:cs="仿宋"/>
                <w:color w:val="auto"/>
                <w:kern w:val="0"/>
                <w:sz w:val="28"/>
                <w:szCs w:val="28"/>
                <w:highlight w:val="none"/>
                <w:lang w:eastAsia="zh-CN"/>
              </w:rPr>
              <w:t>：</w:t>
            </w:r>
          </w:p>
        </w:tc>
      </w:tr>
      <w:tr>
        <w:tblPrEx>
          <w:tblCellMar>
            <w:top w:w="0" w:type="dxa"/>
            <w:left w:w="108" w:type="dxa"/>
            <w:bottom w:w="0" w:type="dxa"/>
            <w:right w:w="108" w:type="dxa"/>
          </w:tblCellMar>
        </w:tblPrEx>
        <w:trPr>
          <w:trHeight w:val="419" w:hRule="atLeast"/>
          <w:jc w:val="center"/>
        </w:trPr>
        <w:tc>
          <w:tcPr>
            <w:tcW w:w="1951" w:type="dxa"/>
            <w:vMerge w:val="continue"/>
            <w:tcBorders>
              <w:top w:val="nil"/>
              <w:left w:val="double" w:color="auto" w:sz="4" w:space="0"/>
              <w:bottom w:val="double" w:color="auto" w:sz="4" w:space="0"/>
              <w:right w:val="single" w:color="auto" w:sz="4" w:space="0"/>
            </w:tcBorders>
            <w:shd w:val="clear" w:color="auto" w:fill="F2F2F2"/>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jc w:val="left"/>
              <w:textAlignment w:val="auto"/>
              <w:rPr>
                <w:rFonts w:hint="eastAsia" w:ascii="仿宋" w:hAnsi="仿宋" w:eastAsia="仿宋" w:cs="仿宋"/>
                <w:color w:val="auto"/>
                <w:kern w:val="0"/>
                <w:sz w:val="28"/>
                <w:szCs w:val="28"/>
                <w:highlight w:val="none"/>
              </w:rPr>
            </w:pPr>
          </w:p>
        </w:tc>
        <w:tc>
          <w:tcPr>
            <w:tcW w:w="7229" w:type="dxa"/>
            <w:gridSpan w:val="2"/>
            <w:tcBorders>
              <w:top w:val="nil"/>
              <w:left w:val="nil"/>
              <w:bottom w:val="double" w:color="auto" w:sz="4" w:space="0"/>
              <w:right w:val="doub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60" w:lineRule="exact"/>
              <w:ind w:firstLine="0" w:firstLineChars="0"/>
              <w:textAlignment w:val="auto"/>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电子邮箱</w:t>
            </w:r>
            <w:r>
              <w:rPr>
                <w:rFonts w:hint="eastAsia" w:ascii="仿宋" w:hAnsi="仿宋" w:cs="仿宋"/>
                <w:color w:val="auto"/>
                <w:kern w:val="0"/>
                <w:sz w:val="28"/>
                <w:szCs w:val="28"/>
                <w:highlight w:val="none"/>
                <w:lang w:eastAsia="zh-CN"/>
              </w:rPr>
              <w:t>：</w:t>
            </w:r>
          </w:p>
        </w:tc>
      </w:tr>
    </w:tbl>
    <w:tbl>
      <w:tblPr>
        <w:tblStyle w:val="20"/>
        <w:tblpPr w:leftFromText="180" w:rightFromText="180" w:vertAnchor="text" w:tblpX="10325" w:tblpY="-21285"/>
        <w:tblOverlap w:val="never"/>
        <w:tblW w:w="9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912" w:type="dxa"/>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仿宋" w:hAnsi="仿宋" w:eastAsia="仿宋" w:cs="仿宋"/>
                <w:color w:val="auto"/>
                <w:kern w:val="0"/>
                <w:sz w:val="32"/>
                <w:szCs w:val="32"/>
                <w:highlight w:val="none"/>
                <w:vertAlign w:val="baseline"/>
                <w:lang w:eastAsia="zh-CN"/>
              </w:rPr>
            </w:pPr>
          </w:p>
        </w:tc>
      </w:tr>
    </w:tbl>
    <w:p>
      <w:pPr>
        <w:keepNext w:val="0"/>
        <w:keepLines w:val="0"/>
        <w:pageBreakBefore w:val="0"/>
        <w:widowControl/>
        <w:kinsoku/>
        <w:wordWrap/>
        <w:overflowPunct/>
        <w:topLinePunct w:val="0"/>
        <w:autoSpaceDE/>
        <w:autoSpaceDN/>
        <w:bidi w:val="0"/>
        <w:adjustRightInd/>
        <w:snapToGrid/>
        <w:spacing w:line="460" w:lineRule="exact"/>
        <w:ind w:firstLine="0" w:firstLineChars="0"/>
        <w:textAlignment w:val="auto"/>
        <w:rPr>
          <w:rFonts w:hint="eastAsia" w:ascii="仿宋" w:hAnsi="仿宋" w:eastAsia="仿宋" w:cs="仿宋"/>
          <w:color w:val="auto"/>
          <w:kern w:val="0"/>
          <w:sz w:val="32"/>
          <w:szCs w:val="32"/>
          <w:highlight w:val="none"/>
          <w:lang w:eastAsia="zh-CN"/>
        </w:rPr>
      </w:pP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kern w:val="0"/>
          <w:sz w:val="32"/>
          <w:szCs w:val="32"/>
          <w:highlight w:val="none"/>
          <w:lang w:eastAsia="zh-CN"/>
        </w:rPr>
      </w:pPr>
      <w:r>
        <w:rPr>
          <w:rFonts w:hint="eastAsia" w:ascii="仿宋" w:hAnsi="仿宋" w:eastAsia="仿宋" w:cs="仿宋"/>
          <w:color w:val="auto"/>
          <w:kern w:val="0"/>
          <w:sz w:val="32"/>
          <w:szCs w:val="32"/>
          <w:highlight w:val="none"/>
          <w:lang w:eastAsia="zh-CN"/>
        </w:rPr>
        <w:t>注：1</w:t>
      </w:r>
      <w:r>
        <w:rPr>
          <w:rFonts w:hint="eastAsia" w:ascii="仿宋" w:hAnsi="仿宋" w:eastAsia="仿宋" w:cs="仿宋"/>
          <w:color w:val="auto"/>
          <w:kern w:val="0"/>
          <w:sz w:val="32"/>
          <w:szCs w:val="32"/>
          <w:highlight w:val="none"/>
          <w:lang w:val="en-US" w:eastAsia="zh-CN"/>
        </w:rPr>
        <w:t>.</w:t>
      </w:r>
      <w:r>
        <w:rPr>
          <w:rFonts w:hint="eastAsia" w:ascii="仿宋" w:hAnsi="仿宋" w:eastAsia="仿宋" w:cs="仿宋"/>
          <w:color w:val="auto"/>
          <w:kern w:val="0"/>
          <w:sz w:val="32"/>
          <w:szCs w:val="32"/>
          <w:highlight w:val="none"/>
          <w:lang w:eastAsia="zh-CN"/>
        </w:rPr>
        <w:t>由于测试函调查内容部分涉及资格条件以及未来的竞争指标/招标评分标等，允许测试对象在该些方面适当保留，但仍建议对该些方面提出相关合理的反馈表达</w:t>
      </w:r>
      <w:r>
        <w:rPr>
          <w:rFonts w:hint="eastAsia" w:ascii="仿宋" w:hAnsi="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eastAsia="zh-CN"/>
        </w:rPr>
        <w:t>2</w:t>
      </w:r>
      <w:r>
        <w:rPr>
          <w:rFonts w:hint="eastAsia" w:ascii="仿宋" w:hAnsi="仿宋" w:eastAsia="仿宋" w:cs="仿宋"/>
          <w:color w:val="auto"/>
          <w:kern w:val="0"/>
          <w:sz w:val="32"/>
          <w:szCs w:val="32"/>
          <w:highlight w:val="none"/>
          <w:lang w:val="en-US" w:eastAsia="zh-CN"/>
        </w:rPr>
        <w:t>.</w:t>
      </w:r>
      <w:r>
        <w:rPr>
          <w:rFonts w:hint="eastAsia" w:ascii="仿宋" w:hAnsi="仿宋" w:eastAsia="仿宋" w:cs="仿宋"/>
          <w:color w:val="auto"/>
          <w:kern w:val="0"/>
          <w:sz w:val="32"/>
          <w:szCs w:val="32"/>
          <w:highlight w:val="none"/>
          <w:lang w:eastAsia="zh-CN"/>
        </w:rPr>
        <w:t>请于20</w:t>
      </w:r>
      <w:r>
        <w:rPr>
          <w:rFonts w:hint="eastAsia" w:ascii="仿宋" w:hAnsi="仿宋" w:eastAsia="仿宋" w:cs="仿宋"/>
          <w:color w:val="auto"/>
          <w:kern w:val="0"/>
          <w:sz w:val="32"/>
          <w:szCs w:val="32"/>
          <w:highlight w:val="none"/>
          <w:lang w:val="en-US" w:eastAsia="zh-CN"/>
        </w:rPr>
        <w:t>21</w:t>
      </w:r>
      <w:r>
        <w:rPr>
          <w:rFonts w:hint="eastAsia" w:ascii="仿宋" w:hAnsi="仿宋" w:eastAsia="仿宋" w:cs="仿宋"/>
          <w:color w:val="auto"/>
          <w:kern w:val="0"/>
          <w:sz w:val="32"/>
          <w:szCs w:val="32"/>
          <w:highlight w:val="none"/>
          <w:lang w:eastAsia="zh-CN"/>
        </w:rPr>
        <w:t>年</w:t>
      </w:r>
      <w:r>
        <w:rPr>
          <w:rFonts w:hint="eastAsia" w:ascii="仿宋" w:hAnsi="仿宋" w:cs="仿宋"/>
          <w:color w:val="auto"/>
          <w:kern w:val="0"/>
          <w:sz w:val="32"/>
          <w:szCs w:val="32"/>
          <w:highlight w:val="none"/>
          <w:lang w:val="en-US" w:eastAsia="zh-CN"/>
        </w:rPr>
        <w:t>3</w:t>
      </w:r>
      <w:r>
        <w:rPr>
          <w:rFonts w:hint="eastAsia" w:ascii="仿宋" w:hAnsi="仿宋" w:eastAsia="仿宋" w:cs="仿宋"/>
          <w:color w:val="auto"/>
          <w:kern w:val="0"/>
          <w:sz w:val="32"/>
          <w:szCs w:val="32"/>
          <w:highlight w:val="none"/>
          <w:lang w:eastAsia="zh-CN"/>
        </w:rPr>
        <w:t>月</w:t>
      </w:r>
      <w:r>
        <w:rPr>
          <w:rFonts w:hint="eastAsia" w:ascii="仿宋" w:hAnsi="仿宋" w:cs="仿宋"/>
          <w:color w:val="auto"/>
          <w:kern w:val="0"/>
          <w:sz w:val="32"/>
          <w:szCs w:val="32"/>
          <w:highlight w:val="none"/>
          <w:lang w:val="en-US" w:eastAsia="zh-CN"/>
        </w:rPr>
        <w:t>9</w:t>
      </w:r>
      <w:r>
        <w:rPr>
          <w:rFonts w:hint="eastAsia" w:ascii="仿宋" w:hAnsi="仿宋" w:eastAsia="仿宋" w:cs="仿宋"/>
          <w:color w:val="auto"/>
          <w:kern w:val="0"/>
          <w:sz w:val="32"/>
          <w:szCs w:val="32"/>
          <w:highlight w:val="none"/>
          <w:lang w:eastAsia="zh-CN"/>
        </w:rPr>
        <w:t>日</w:t>
      </w:r>
      <w:r>
        <w:rPr>
          <w:rFonts w:hint="eastAsia" w:ascii="仿宋" w:hAnsi="仿宋" w:cs="仿宋"/>
          <w:color w:val="auto"/>
          <w:kern w:val="0"/>
          <w:sz w:val="32"/>
          <w:szCs w:val="32"/>
          <w:highlight w:val="none"/>
          <w:lang w:val="en-US" w:eastAsia="zh-CN"/>
        </w:rPr>
        <w:t>18</w:t>
      </w:r>
      <w:r>
        <w:rPr>
          <w:rFonts w:hint="eastAsia" w:ascii="仿宋" w:hAnsi="仿宋" w:eastAsia="仿宋" w:cs="仿宋"/>
          <w:color w:val="auto"/>
          <w:kern w:val="0"/>
          <w:sz w:val="32"/>
          <w:szCs w:val="32"/>
          <w:highlight w:val="none"/>
          <w:lang w:val="en-US" w:eastAsia="zh-CN"/>
        </w:rPr>
        <w:t>时</w:t>
      </w:r>
      <w:r>
        <w:rPr>
          <w:rFonts w:hint="eastAsia" w:ascii="仿宋" w:hAnsi="仿宋" w:eastAsia="仿宋" w:cs="仿宋"/>
          <w:color w:val="auto"/>
          <w:kern w:val="0"/>
          <w:sz w:val="32"/>
          <w:szCs w:val="32"/>
          <w:highlight w:val="none"/>
          <w:lang w:eastAsia="zh-CN"/>
        </w:rPr>
        <w:t>之前反馈至</w:t>
      </w:r>
      <w:r>
        <w:rPr>
          <w:rFonts w:hint="eastAsia" w:ascii="仿宋_GB2312" w:hAnsi="仿宋_GB2312" w:eastAsia="仿宋_GB2312" w:cs="仿宋_GB2312"/>
          <w:color w:val="auto"/>
          <w:sz w:val="32"/>
          <w:szCs w:val="32"/>
          <w:highlight w:val="none"/>
          <w:lang w:val="en-US" w:eastAsia="zh-CN"/>
        </w:rPr>
        <w:t>sxzdfgcxmgl@163.com</w:t>
      </w:r>
      <w:r>
        <w:rPr>
          <w:rFonts w:hint="eastAsia" w:ascii="仿宋" w:hAnsi="仿宋" w:eastAsia="仿宋" w:cs="仿宋"/>
          <w:color w:val="auto"/>
          <w:kern w:val="0"/>
          <w:sz w:val="32"/>
          <w:szCs w:val="32"/>
          <w:highlight w:val="none"/>
          <w:lang w:val="en-US" w:eastAsia="zh-CN"/>
        </w:rPr>
        <w:t>邮箱</w:t>
      </w:r>
      <w:r>
        <w:rPr>
          <w:rFonts w:hint="eastAsia" w:ascii="仿宋" w:hAnsi="仿宋" w:eastAsia="仿宋" w:cs="仿宋"/>
          <w:color w:val="auto"/>
          <w:kern w:val="0"/>
          <w:sz w:val="32"/>
          <w:szCs w:val="32"/>
          <w:highlight w:val="none"/>
          <w:lang w:eastAsia="zh-CN"/>
        </w:rPr>
        <w:t>，提供材料请加盖公司公章，否则视为无反馈意见。逾期视为无反馈意见，如有其他意见或内容可附件提供</w:t>
      </w:r>
      <w:r>
        <w:rPr>
          <w:rFonts w:hint="eastAsia" w:ascii="仿宋" w:hAnsi="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eastAsia="zh-CN"/>
        </w:rPr>
        <w:t>3</w:t>
      </w:r>
      <w:r>
        <w:rPr>
          <w:rFonts w:hint="eastAsia" w:ascii="仿宋" w:hAnsi="仿宋" w:eastAsia="仿宋" w:cs="仿宋"/>
          <w:color w:val="auto"/>
          <w:kern w:val="0"/>
          <w:sz w:val="32"/>
          <w:szCs w:val="32"/>
          <w:highlight w:val="none"/>
          <w:lang w:val="en-US" w:eastAsia="zh-CN"/>
        </w:rPr>
        <w:t>.</w:t>
      </w:r>
      <w:r>
        <w:rPr>
          <w:rFonts w:hint="eastAsia" w:ascii="仿宋" w:hAnsi="仿宋" w:eastAsia="仿宋" w:cs="仿宋"/>
          <w:color w:val="auto"/>
          <w:kern w:val="0"/>
          <w:sz w:val="32"/>
          <w:szCs w:val="32"/>
          <w:highlight w:val="none"/>
          <w:lang w:eastAsia="zh-CN"/>
        </w:rPr>
        <w:t>请提供上述表格要求的20</w:t>
      </w:r>
      <w:r>
        <w:rPr>
          <w:rFonts w:hint="eastAsia" w:ascii="仿宋" w:hAnsi="仿宋" w:eastAsia="仿宋" w:cs="仿宋"/>
          <w:color w:val="auto"/>
          <w:kern w:val="0"/>
          <w:sz w:val="32"/>
          <w:szCs w:val="32"/>
          <w:highlight w:val="none"/>
          <w:lang w:val="en-US" w:eastAsia="zh-CN"/>
        </w:rPr>
        <w:t>20</w:t>
      </w:r>
      <w:r>
        <w:rPr>
          <w:rFonts w:hint="eastAsia" w:ascii="仿宋" w:hAnsi="仿宋" w:eastAsia="仿宋" w:cs="仿宋"/>
          <w:color w:val="auto"/>
          <w:kern w:val="0"/>
          <w:sz w:val="32"/>
          <w:szCs w:val="32"/>
          <w:highlight w:val="none"/>
          <w:lang w:eastAsia="zh-CN"/>
        </w:rPr>
        <w:t>年度经第三方审计财务报表（损溢表、资产负债表、现金流量表）、类似业绩证明、企业资质等级证书。</w:t>
      </w:r>
    </w:p>
    <w:sectPr>
      <w:headerReference r:id="rId5" w:type="default"/>
      <w:footerReference r:id="rId6" w:type="default"/>
      <w:pgSz w:w="11906" w:h="16838"/>
      <w:pgMar w:top="1667" w:right="1689" w:bottom="1667" w:left="1689" w:header="851" w:footer="992" w:gutter="0"/>
      <w:pgBorders>
        <w:top w:val="none" w:sz="0" w:space="0"/>
        <w:left w:val="none" w:sz="0" w:space="0"/>
        <w:bottom w:val="none" w:sz="0" w:space="0"/>
        <w:right w:val="none" w:sz="0" w:space="0"/>
      </w:pgBorders>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等线 Light">
    <w:altName w:val="CESI仿宋-GB13000"/>
    <w:panose1 w:val="02010600030101010101"/>
    <w:charset w:val="86"/>
    <w:family w:val="auto"/>
    <w:pitch w:val="default"/>
    <w:sig w:usb0="00000000" w:usb1="00000000" w:usb2="00000016" w:usb3="00000000" w:csb0="0004000F" w:csb1="00000000"/>
  </w:font>
  <w:font w:name="Cambria">
    <w:altName w:val="Noto Sans Syriac Eastern"/>
    <w:panose1 w:val="02040503050406030204"/>
    <w:charset w:val="00"/>
    <w:family w:val="roman"/>
    <w:pitch w:val="default"/>
    <w:sig w:usb0="00000000" w:usb1="00000000" w:usb2="00000000" w:usb3="00000000" w:csb0="2000019F" w:csb1="00000000"/>
  </w:font>
  <w:font w:name="微软雅黑">
    <w:altName w:val="黑体"/>
    <w:panose1 w:val="020B0503020204020204"/>
    <w:charset w:val="86"/>
    <w:family w:val="auto"/>
    <w:pitch w:val="default"/>
    <w:sig w:usb0="00000000" w:usb1="00000000" w:usb2="00000016" w:usb3="00000000" w:csb0="0004001F" w:csb1="00000000"/>
  </w:font>
  <w:font w:name="方正小标宋简体">
    <w:altName w:val="方正小标宋_GBK"/>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楷体">
    <w:panose1 w:val="02010609060101010101"/>
    <w:charset w:val="86"/>
    <w:family w:val="auto"/>
    <w:pitch w:val="default"/>
    <w:sig w:usb0="800002BF" w:usb1="38CF7CFA" w:usb2="00000016" w:usb3="00000000" w:csb0="00040001" w:csb1="0000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rPr>
                              <w:rFonts w:hint="eastAsia" w:eastAsia="仿宋"/>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14"/>
                      <w:rPr>
                        <w:rFonts w:hint="eastAsia" w:eastAsia="仿宋"/>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08D6"/>
    <w:rsid w:val="0001706D"/>
    <w:rsid w:val="0003720E"/>
    <w:rsid w:val="000372D0"/>
    <w:rsid w:val="00041465"/>
    <w:rsid w:val="00046474"/>
    <w:rsid w:val="0005084A"/>
    <w:rsid w:val="000611C1"/>
    <w:rsid w:val="00082F50"/>
    <w:rsid w:val="000A4CAF"/>
    <w:rsid w:val="000B1932"/>
    <w:rsid w:val="000C0956"/>
    <w:rsid w:val="000D44C8"/>
    <w:rsid w:val="000D724F"/>
    <w:rsid w:val="000F347E"/>
    <w:rsid w:val="000F6141"/>
    <w:rsid w:val="0011343D"/>
    <w:rsid w:val="00174AAD"/>
    <w:rsid w:val="001A1358"/>
    <w:rsid w:val="001B7E35"/>
    <w:rsid w:val="001C53C3"/>
    <w:rsid w:val="001C6402"/>
    <w:rsid w:val="001C6F83"/>
    <w:rsid w:val="001E6C98"/>
    <w:rsid w:val="001F2F08"/>
    <w:rsid w:val="001F38B0"/>
    <w:rsid w:val="00204865"/>
    <w:rsid w:val="00216838"/>
    <w:rsid w:val="00227E1E"/>
    <w:rsid w:val="00233C0D"/>
    <w:rsid w:val="00247A97"/>
    <w:rsid w:val="00250236"/>
    <w:rsid w:val="002625B8"/>
    <w:rsid w:val="00273C55"/>
    <w:rsid w:val="0027415A"/>
    <w:rsid w:val="00284610"/>
    <w:rsid w:val="0029439B"/>
    <w:rsid w:val="00295CDC"/>
    <w:rsid w:val="002A1BF6"/>
    <w:rsid w:val="002A21C5"/>
    <w:rsid w:val="002A28A4"/>
    <w:rsid w:val="002A4F13"/>
    <w:rsid w:val="002B10E6"/>
    <w:rsid w:val="002B7F60"/>
    <w:rsid w:val="002C2271"/>
    <w:rsid w:val="002C76B8"/>
    <w:rsid w:val="002D49B6"/>
    <w:rsid w:val="002E76F0"/>
    <w:rsid w:val="002F5933"/>
    <w:rsid w:val="00313DF3"/>
    <w:rsid w:val="00341156"/>
    <w:rsid w:val="003534FC"/>
    <w:rsid w:val="00353A91"/>
    <w:rsid w:val="0035614C"/>
    <w:rsid w:val="00362089"/>
    <w:rsid w:val="00364B13"/>
    <w:rsid w:val="003C0598"/>
    <w:rsid w:val="003C4EBD"/>
    <w:rsid w:val="003C5EF6"/>
    <w:rsid w:val="003F06D5"/>
    <w:rsid w:val="003F2A0C"/>
    <w:rsid w:val="00402BE9"/>
    <w:rsid w:val="00451E7C"/>
    <w:rsid w:val="00482E8E"/>
    <w:rsid w:val="0048598E"/>
    <w:rsid w:val="00485E92"/>
    <w:rsid w:val="00494C21"/>
    <w:rsid w:val="004957BA"/>
    <w:rsid w:val="004B5C98"/>
    <w:rsid w:val="004C08D6"/>
    <w:rsid w:val="004C30BA"/>
    <w:rsid w:val="004D2324"/>
    <w:rsid w:val="004D6FE0"/>
    <w:rsid w:val="004F3631"/>
    <w:rsid w:val="005029AC"/>
    <w:rsid w:val="005029BB"/>
    <w:rsid w:val="00506330"/>
    <w:rsid w:val="005072C9"/>
    <w:rsid w:val="00514E25"/>
    <w:rsid w:val="00523EDD"/>
    <w:rsid w:val="00536CD3"/>
    <w:rsid w:val="005447EC"/>
    <w:rsid w:val="00545737"/>
    <w:rsid w:val="00551364"/>
    <w:rsid w:val="00555BAD"/>
    <w:rsid w:val="00556058"/>
    <w:rsid w:val="005574FA"/>
    <w:rsid w:val="00585933"/>
    <w:rsid w:val="00586D09"/>
    <w:rsid w:val="00593684"/>
    <w:rsid w:val="005A0A8A"/>
    <w:rsid w:val="00613DE0"/>
    <w:rsid w:val="00624BEE"/>
    <w:rsid w:val="00630966"/>
    <w:rsid w:val="0065137E"/>
    <w:rsid w:val="00653556"/>
    <w:rsid w:val="0068064C"/>
    <w:rsid w:val="006A0DA1"/>
    <w:rsid w:val="006A40D6"/>
    <w:rsid w:val="006A7CA2"/>
    <w:rsid w:val="006C1DC6"/>
    <w:rsid w:val="006C61D7"/>
    <w:rsid w:val="006E3000"/>
    <w:rsid w:val="006E3018"/>
    <w:rsid w:val="006E42B1"/>
    <w:rsid w:val="006E7747"/>
    <w:rsid w:val="006F43AB"/>
    <w:rsid w:val="0071648E"/>
    <w:rsid w:val="00726EA5"/>
    <w:rsid w:val="007320F4"/>
    <w:rsid w:val="00732125"/>
    <w:rsid w:val="00735DEA"/>
    <w:rsid w:val="007422AA"/>
    <w:rsid w:val="00753545"/>
    <w:rsid w:val="00774F86"/>
    <w:rsid w:val="00780CA0"/>
    <w:rsid w:val="007906AE"/>
    <w:rsid w:val="00794ABD"/>
    <w:rsid w:val="007A1CC1"/>
    <w:rsid w:val="007D59C9"/>
    <w:rsid w:val="007E7D8A"/>
    <w:rsid w:val="00803E36"/>
    <w:rsid w:val="00812970"/>
    <w:rsid w:val="00814644"/>
    <w:rsid w:val="0081615B"/>
    <w:rsid w:val="008214B2"/>
    <w:rsid w:val="008426BD"/>
    <w:rsid w:val="00847CD6"/>
    <w:rsid w:val="00854FF6"/>
    <w:rsid w:val="00860380"/>
    <w:rsid w:val="008738D7"/>
    <w:rsid w:val="00875352"/>
    <w:rsid w:val="008800FE"/>
    <w:rsid w:val="008B00BE"/>
    <w:rsid w:val="008B210F"/>
    <w:rsid w:val="008B57A1"/>
    <w:rsid w:val="008C551E"/>
    <w:rsid w:val="008F5CFD"/>
    <w:rsid w:val="0091664D"/>
    <w:rsid w:val="009264ED"/>
    <w:rsid w:val="00934AF1"/>
    <w:rsid w:val="00935588"/>
    <w:rsid w:val="00953B71"/>
    <w:rsid w:val="0099645A"/>
    <w:rsid w:val="009B5176"/>
    <w:rsid w:val="009B5BB0"/>
    <w:rsid w:val="009B73C8"/>
    <w:rsid w:val="009C4474"/>
    <w:rsid w:val="009C7E1B"/>
    <w:rsid w:val="009D2009"/>
    <w:rsid w:val="009D768D"/>
    <w:rsid w:val="009F0692"/>
    <w:rsid w:val="00A21B9E"/>
    <w:rsid w:val="00A36D29"/>
    <w:rsid w:val="00A408CE"/>
    <w:rsid w:val="00A627E5"/>
    <w:rsid w:val="00A66FB0"/>
    <w:rsid w:val="00A96188"/>
    <w:rsid w:val="00AC04AA"/>
    <w:rsid w:val="00AF5F2C"/>
    <w:rsid w:val="00AF7E0F"/>
    <w:rsid w:val="00B141DF"/>
    <w:rsid w:val="00B41D69"/>
    <w:rsid w:val="00B71A9B"/>
    <w:rsid w:val="00B820C2"/>
    <w:rsid w:val="00B84F55"/>
    <w:rsid w:val="00B85C2C"/>
    <w:rsid w:val="00B93DCD"/>
    <w:rsid w:val="00B9465F"/>
    <w:rsid w:val="00B95FEE"/>
    <w:rsid w:val="00BB506D"/>
    <w:rsid w:val="00BB6007"/>
    <w:rsid w:val="00BD686B"/>
    <w:rsid w:val="00BD6B0B"/>
    <w:rsid w:val="00BE4707"/>
    <w:rsid w:val="00BF35E1"/>
    <w:rsid w:val="00C02192"/>
    <w:rsid w:val="00C03269"/>
    <w:rsid w:val="00C13F68"/>
    <w:rsid w:val="00C17188"/>
    <w:rsid w:val="00C34DCF"/>
    <w:rsid w:val="00C37D1F"/>
    <w:rsid w:val="00C4054A"/>
    <w:rsid w:val="00C51974"/>
    <w:rsid w:val="00C55289"/>
    <w:rsid w:val="00C6308D"/>
    <w:rsid w:val="00C73A61"/>
    <w:rsid w:val="00C86B69"/>
    <w:rsid w:val="00C973A4"/>
    <w:rsid w:val="00C976EA"/>
    <w:rsid w:val="00C977EA"/>
    <w:rsid w:val="00CA7CD9"/>
    <w:rsid w:val="00CB3472"/>
    <w:rsid w:val="00CB7195"/>
    <w:rsid w:val="00CE47C6"/>
    <w:rsid w:val="00CF11F5"/>
    <w:rsid w:val="00CF27F6"/>
    <w:rsid w:val="00CF4353"/>
    <w:rsid w:val="00D056FF"/>
    <w:rsid w:val="00D17917"/>
    <w:rsid w:val="00D27571"/>
    <w:rsid w:val="00D320C2"/>
    <w:rsid w:val="00D47AD1"/>
    <w:rsid w:val="00D64AB0"/>
    <w:rsid w:val="00DA2898"/>
    <w:rsid w:val="00DB31E8"/>
    <w:rsid w:val="00DB7ED9"/>
    <w:rsid w:val="00DC6376"/>
    <w:rsid w:val="00DD2FCE"/>
    <w:rsid w:val="00DE1AA0"/>
    <w:rsid w:val="00E026AD"/>
    <w:rsid w:val="00E02E3E"/>
    <w:rsid w:val="00E204A6"/>
    <w:rsid w:val="00E211D5"/>
    <w:rsid w:val="00E3424E"/>
    <w:rsid w:val="00E4330B"/>
    <w:rsid w:val="00E456FE"/>
    <w:rsid w:val="00E517EB"/>
    <w:rsid w:val="00E6521A"/>
    <w:rsid w:val="00E71B0C"/>
    <w:rsid w:val="00E93C07"/>
    <w:rsid w:val="00EA0108"/>
    <w:rsid w:val="00EC00A0"/>
    <w:rsid w:val="00EC0ED9"/>
    <w:rsid w:val="00EE010D"/>
    <w:rsid w:val="00EF3191"/>
    <w:rsid w:val="00F25D9F"/>
    <w:rsid w:val="00F3049F"/>
    <w:rsid w:val="00F36429"/>
    <w:rsid w:val="00F43FB4"/>
    <w:rsid w:val="00F509C0"/>
    <w:rsid w:val="00F539B1"/>
    <w:rsid w:val="00F701AA"/>
    <w:rsid w:val="00FA7871"/>
    <w:rsid w:val="00FC50C3"/>
    <w:rsid w:val="00FD4C79"/>
    <w:rsid w:val="00FD6CC4"/>
    <w:rsid w:val="00FE45E6"/>
    <w:rsid w:val="04AD6AFF"/>
    <w:rsid w:val="06B87CFD"/>
    <w:rsid w:val="0A9A6344"/>
    <w:rsid w:val="0ED40AAA"/>
    <w:rsid w:val="1074424A"/>
    <w:rsid w:val="11E84EE2"/>
    <w:rsid w:val="12663CFD"/>
    <w:rsid w:val="15B7587A"/>
    <w:rsid w:val="1859769B"/>
    <w:rsid w:val="18905644"/>
    <w:rsid w:val="18A25843"/>
    <w:rsid w:val="18C64C15"/>
    <w:rsid w:val="1BFE2604"/>
    <w:rsid w:val="226876F2"/>
    <w:rsid w:val="23E258A3"/>
    <w:rsid w:val="24DE0076"/>
    <w:rsid w:val="26071011"/>
    <w:rsid w:val="267C4097"/>
    <w:rsid w:val="29986104"/>
    <w:rsid w:val="2AD85E20"/>
    <w:rsid w:val="2BD20027"/>
    <w:rsid w:val="2D2359D7"/>
    <w:rsid w:val="2E791AF8"/>
    <w:rsid w:val="31D23ED5"/>
    <w:rsid w:val="3A952F80"/>
    <w:rsid w:val="3C9A3CF3"/>
    <w:rsid w:val="3E2966E8"/>
    <w:rsid w:val="3E6E6BA2"/>
    <w:rsid w:val="49723A62"/>
    <w:rsid w:val="49760C3D"/>
    <w:rsid w:val="4C1566C3"/>
    <w:rsid w:val="4CAA5DDB"/>
    <w:rsid w:val="4F244574"/>
    <w:rsid w:val="4F7F772F"/>
    <w:rsid w:val="50264E16"/>
    <w:rsid w:val="504B445A"/>
    <w:rsid w:val="580A6AB8"/>
    <w:rsid w:val="5FCC3F3F"/>
    <w:rsid w:val="63102E77"/>
    <w:rsid w:val="636348B7"/>
    <w:rsid w:val="6438162A"/>
    <w:rsid w:val="665A1AB4"/>
    <w:rsid w:val="6E337F61"/>
    <w:rsid w:val="6E7C2032"/>
    <w:rsid w:val="7096076D"/>
    <w:rsid w:val="7220257C"/>
    <w:rsid w:val="72BB4D20"/>
    <w:rsid w:val="7392342C"/>
    <w:rsid w:val="74814F7E"/>
    <w:rsid w:val="7FB781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nhideWhenUsed="0" w:uiPriority="99" w:semiHidden="0"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803" w:firstLineChars="200"/>
      <w:jc w:val="both"/>
    </w:pPr>
    <w:rPr>
      <w:rFonts w:ascii="Calibri" w:hAnsi="Calibri" w:eastAsia="仿宋" w:cs="Times New Roman"/>
      <w:kern w:val="2"/>
      <w:sz w:val="32"/>
      <w:szCs w:val="22"/>
      <w:lang w:val="en-US" w:eastAsia="zh-CN" w:bidi="ar-SA"/>
    </w:rPr>
  </w:style>
  <w:style w:type="paragraph" w:styleId="7">
    <w:name w:val="heading 1"/>
    <w:basedOn w:val="1"/>
    <w:next w:val="1"/>
    <w:qFormat/>
    <w:uiPriority w:val="9"/>
    <w:pPr>
      <w:keepNext/>
      <w:keepLines/>
      <w:spacing w:before="200" w:beforeLines="0" w:beforeAutospacing="0" w:after="200" w:afterLines="0" w:afterAutospacing="0" w:line="360" w:lineRule="auto"/>
      <w:ind w:firstLine="723" w:firstLineChars="200"/>
      <w:outlineLvl w:val="0"/>
    </w:pPr>
    <w:rPr>
      <w:rFonts w:eastAsia="仿宋"/>
      <w:b/>
      <w:kern w:val="44"/>
      <w:sz w:val="32"/>
    </w:rPr>
  </w:style>
  <w:style w:type="paragraph" w:styleId="8">
    <w:name w:val="heading 2"/>
    <w:basedOn w:val="1"/>
    <w:next w:val="1"/>
    <w:unhideWhenUsed/>
    <w:qFormat/>
    <w:uiPriority w:val="9"/>
    <w:pPr>
      <w:keepNext/>
      <w:keepLines/>
      <w:spacing w:before="120" w:beforeLines="0" w:beforeAutospacing="0" w:after="120" w:afterLines="0" w:afterAutospacing="0" w:line="360" w:lineRule="auto"/>
      <w:outlineLvl w:val="1"/>
    </w:pPr>
    <w:rPr>
      <w:rFonts w:ascii="Arial" w:hAnsi="Arial"/>
      <w:b/>
    </w:rPr>
  </w:style>
  <w:style w:type="paragraph" w:styleId="9">
    <w:name w:val="heading 3"/>
    <w:basedOn w:val="1"/>
    <w:next w:val="1"/>
    <w:unhideWhenUsed/>
    <w:qFormat/>
    <w:uiPriority w:val="9"/>
    <w:pPr>
      <w:keepNext/>
      <w:keepLines/>
      <w:spacing w:beforeLines="0" w:beforeAutospacing="0" w:afterLines="0" w:afterAutospacing="0" w:line="360" w:lineRule="auto"/>
      <w:outlineLvl w:val="2"/>
    </w:pPr>
    <w:rPr>
      <w:b/>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5"/>
    <w:qFormat/>
    <w:uiPriority w:val="0"/>
    <w:pPr>
      <w:ind w:firstLine="976" w:firstLineChars="200"/>
    </w:pPr>
    <w:rPr>
      <w:rFonts w:eastAsia="仿宋"/>
      <w:sz w:val="28"/>
    </w:rPr>
  </w:style>
  <w:style w:type="paragraph" w:styleId="3">
    <w:name w:val="Body Text"/>
    <w:basedOn w:val="1"/>
    <w:next w:val="4"/>
    <w:qFormat/>
    <w:uiPriority w:val="1"/>
    <w:rPr>
      <w:rFonts w:ascii="仿宋" w:hAnsi="仿宋" w:eastAsia="仿宋" w:cs="仿宋"/>
      <w:sz w:val="28"/>
      <w:szCs w:val="28"/>
      <w:lang w:val="zh-CN" w:eastAsia="zh-CN" w:bidi="zh-CN"/>
    </w:rPr>
  </w:style>
  <w:style w:type="paragraph" w:styleId="4">
    <w:name w:val="Body Text 2"/>
    <w:basedOn w:val="1"/>
    <w:next w:val="3"/>
    <w:qFormat/>
    <w:uiPriority w:val="0"/>
    <w:pPr>
      <w:ind w:left="-45" w:leftChars="-45" w:hanging="132" w:hangingChars="45"/>
    </w:pPr>
    <w:rPr>
      <w:rFonts w:ascii="宋体" w:hAnsi="宋体"/>
      <w:szCs w:val="20"/>
    </w:rPr>
  </w:style>
  <w:style w:type="paragraph" w:styleId="5">
    <w:name w:val="Body Text First Indent 2"/>
    <w:basedOn w:val="6"/>
    <w:qFormat/>
    <w:uiPriority w:val="0"/>
    <w:pPr>
      <w:ind w:firstLine="420"/>
    </w:pPr>
    <w:rPr>
      <w:rFonts w:eastAsia="仿宋"/>
    </w:rPr>
  </w:style>
  <w:style w:type="paragraph" w:styleId="6">
    <w:name w:val="Body Text Indent"/>
    <w:basedOn w:val="1"/>
    <w:qFormat/>
    <w:uiPriority w:val="0"/>
    <w:pPr>
      <w:spacing w:line="560" w:lineRule="exact"/>
      <w:ind w:firstLine="600" w:firstLineChars="200"/>
    </w:pPr>
    <w:rPr>
      <w:rFonts w:ascii="仿宋_GB2312" w:eastAsia="仿宋_GB2312"/>
      <w:sz w:val="30"/>
      <w:szCs w:val="30"/>
    </w:rPr>
  </w:style>
  <w:style w:type="paragraph" w:styleId="10">
    <w:name w:val="table of authorities"/>
    <w:basedOn w:val="1"/>
    <w:next w:val="1"/>
    <w:qFormat/>
    <w:uiPriority w:val="0"/>
    <w:pPr>
      <w:ind w:left="420" w:leftChars="200"/>
    </w:pPr>
  </w:style>
  <w:style w:type="paragraph" w:styleId="11">
    <w:name w:val="caption"/>
    <w:basedOn w:val="1"/>
    <w:next w:val="1"/>
    <w:unhideWhenUsed/>
    <w:qFormat/>
    <w:uiPriority w:val="35"/>
    <w:rPr>
      <w:rFonts w:ascii="等线 Light" w:hAnsi="等线 Light" w:eastAsia="黑体"/>
      <w:sz w:val="20"/>
      <w:szCs w:val="20"/>
    </w:rPr>
  </w:style>
  <w:style w:type="paragraph" w:styleId="12">
    <w:name w:val="Document Map"/>
    <w:basedOn w:val="1"/>
    <w:link w:val="35"/>
    <w:semiHidden/>
    <w:unhideWhenUsed/>
    <w:qFormat/>
    <w:uiPriority w:val="99"/>
    <w:rPr>
      <w:rFonts w:ascii="宋体"/>
      <w:sz w:val="18"/>
      <w:szCs w:val="18"/>
    </w:rPr>
  </w:style>
  <w:style w:type="paragraph" w:styleId="13">
    <w:name w:val="Balloon Text"/>
    <w:basedOn w:val="1"/>
    <w:link w:val="32"/>
    <w:semiHidden/>
    <w:unhideWhenUsed/>
    <w:qFormat/>
    <w:uiPriority w:val="99"/>
    <w:rPr>
      <w:sz w:val="18"/>
      <w:szCs w:val="18"/>
    </w:rPr>
  </w:style>
  <w:style w:type="paragraph" w:styleId="14">
    <w:name w:val="footer"/>
    <w:basedOn w:val="1"/>
    <w:link w:val="27"/>
    <w:unhideWhenUsed/>
    <w:qFormat/>
    <w:uiPriority w:val="99"/>
    <w:pPr>
      <w:tabs>
        <w:tab w:val="center" w:pos="4153"/>
        <w:tab w:val="right" w:pos="8306"/>
      </w:tabs>
      <w:snapToGrid w:val="0"/>
      <w:jc w:val="left"/>
    </w:pPr>
    <w:rPr>
      <w:kern w:val="0"/>
      <w:sz w:val="18"/>
      <w:szCs w:val="18"/>
    </w:rPr>
  </w:style>
  <w:style w:type="paragraph" w:styleId="15">
    <w:name w:val="header"/>
    <w:basedOn w:val="1"/>
    <w:link w:val="26"/>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6">
    <w:name w:val="Subtitle"/>
    <w:basedOn w:val="1"/>
    <w:next w:val="1"/>
    <w:link w:val="39"/>
    <w:qFormat/>
    <w:uiPriority w:val="11"/>
    <w:pPr>
      <w:spacing w:before="240" w:after="60" w:line="312" w:lineRule="auto"/>
      <w:jc w:val="center"/>
      <w:outlineLvl w:val="1"/>
    </w:pPr>
    <w:rPr>
      <w:rFonts w:ascii="Cambria" w:hAnsi="Cambria"/>
      <w:b/>
      <w:bCs/>
      <w:kern w:val="28"/>
      <w:sz w:val="32"/>
      <w:szCs w:val="32"/>
    </w:rPr>
  </w:style>
  <w:style w:type="paragraph" w:styleId="17">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18">
    <w:name w:val="Title"/>
    <w:basedOn w:val="1"/>
    <w:next w:val="1"/>
    <w:link w:val="36"/>
    <w:qFormat/>
    <w:uiPriority w:val="0"/>
    <w:pPr>
      <w:spacing w:before="240" w:after="60" w:line="360" w:lineRule="auto"/>
      <w:jc w:val="center"/>
    </w:pPr>
    <w:rPr>
      <w:rFonts w:ascii="Times New Roman" w:hAnsi="Times New Roman" w:eastAsia="黑体"/>
      <w:bCs/>
      <w:sz w:val="50"/>
      <w:szCs w:val="32"/>
    </w:rPr>
  </w:style>
  <w:style w:type="table" w:styleId="20">
    <w:name w:val="Table Grid"/>
    <w:basedOn w:val="19"/>
    <w:qFormat/>
    <w:uiPriority w:val="59"/>
    <w:rPr>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22">
    <w:name w:val="Strong"/>
    <w:basedOn w:val="21"/>
    <w:qFormat/>
    <w:uiPriority w:val="22"/>
    <w:rPr>
      <w:b/>
    </w:rPr>
  </w:style>
  <w:style w:type="character" w:styleId="23">
    <w:name w:val="FollowedHyperlink"/>
    <w:basedOn w:val="21"/>
    <w:semiHidden/>
    <w:unhideWhenUsed/>
    <w:qFormat/>
    <w:uiPriority w:val="99"/>
    <w:rPr>
      <w:rFonts w:hint="eastAsia" w:ascii="微软雅黑" w:hAnsi="微软雅黑" w:eastAsia="微软雅黑" w:cs="微软雅黑"/>
      <w:color w:val="02396F"/>
      <w:u w:val="single"/>
    </w:rPr>
  </w:style>
  <w:style w:type="character" w:styleId="24">
    <w:name w:val="Emphasis"/>
    <w:qFormat/>
    <w:uiPriority w:val="20"/>
    <w:rPr>
      <w:color w:val="CC0000"/>
    </w:rPr>
  </w:style>
  <w:style w:type="character" w:styleId="25">
    <w:name w:val="Hyperlink"/>
    <w:semiHidden/>
    <w:unhideWhenUsed/>
    <w:qFormat/>
    <w:uiPriority w:val="99"/>
    <w:rPr>
      <w:color w:val="0000FF"/>
      <w:u w:val="single"/>
    </w:rPr>
  </w:style>
  <w:style w:type="character" w:customStyle="1" w:styleId="26">
    <w:name w:val="页眉 Char"/>
    <w:link w:val="15"/>
    <w:qFormat/>
    <w:uiPriority w:val="99"/>
    <w:rPr>
      <w:sz w:val="18"/>
      <w:szCs w:val="18"/>
    </w:rPr>
  </w:style>
  <w:style w:type="character" w:customStyle="1" w:styleId="27">
    <w:name w:val="页脚 Char"/>
    <w:link w:val="14"/>
    <w:qFormat/>
    <w:uiPriority w:val="99"/>
    <w:rPr>
      <w:sz w:val="18"/>
      <w:szCs w:val="18"/>
    </w:rPr>
  </w:style>
  <w:style w:type="character" w:customStyle="1" w:styleId="28">
    <w:name w:val="apple-converted-space"/>
    <w:qFormat/>
    <w:uiPriority w:val="0"/>
  </w:style>
  <w:style w:type="paragraph" w:customStyle="1" w:styleId="29">
    <w:name w:val="Default"/>
    <w:qFormat/>
    <w:uiPriority w:val="0"/>
    <w:pPr>
      <w:widowControl w:val="0"/>
      <w:autoSpaceDE w:val="0"/>
      <w:autoSpaceDN w:val="0"/>
      <w:adjustRightInd w:val="0"/>
    </w:pPr>
    <w:rPr>
      <w:rFonts w:ascii="仿宋" w:hAnsi="Calibri" w:eastAsia="仿宋" w:cs="仿宋"/>
      <w:color w:val="000000"/>
      <w:sz w:val="24"/>
      <w:szCs w:val="24"/>
      <w:lang w:val="en-US" w:eastAsia="zh-CN" w:bidi="ar-SA"/>
    </w:rPr>
  </w:style>
  <w:style w:type="character" w:customStyle="1" w:styleId="30">
    <w:name w:val="列出段落 Char1"/>
    <w:link w:val="31"/>
    <w:qFormat/>
    <w:locked/>
    <w:uiPriority w:val="0"/>
    <w:rPr>
      <w:rFonts w:ascii="Cambria" w:hAnsi="Cambria" w:cs="Cambria"/>
      <w:sz w:val="24"/>
      <w:szCs w:val="24"/>
    </w:rPr>
  </w:style>
  <w:style w:type="paragraph" w:styleId="31">
    <w:name w:val="List Paragraph"/>
    <w:basedOn w:val="1"/>
    <w:link w:val="30"/>
    <w:qFormat/>
    <w:uiPriority w:val="0"/>
    <w:pPr>
      <w:widowControl/>
      <w:ind w:firstLine="420" w:firstLineChars="200"/>
    </w:pPr>
    <w:rPr>
      <w:rFonts w:ascii="Cambria" w:hAnsi="Cambria"/>
      <w:kern w:val="0"/>
      <w:sz w:val="24"/>
      <w:szCs w:val="24"/>
    </w:rPr>
  </w:style>
  <w:style w:type="character" w:customStyle="1" w:styleId="32">
    <w:name w:val="批注框文本 Char"/>
    <w:link w:val="13"/>
    <w:semiHidden/>
    <w:qFormat/>
    <w:uiPriority w:val="99"/>
    <w:rPr>
      <w:kern w:val="2"/>
      <w:sz w:val="18"/>
      <w:szCs w:val="18"/>
    </w:rPr>
  </w:style>
  <w:style w:type="paragraph" w:customStyle="1" w:styleId="33">
    <w:name w:val="封面落款日期"/>
    <w:basedOn w:val="1"/>
    <w:next w:val="1"/>
    <w:link w:val="34"/>
    <w:qFormat/>
    <w:uiPriority w:val="0"/>
    <w:pPr>
      <w:spacing w:line="360" w:lineRule="auto"/>
      <w:jc w:val="center"/>
    </w:pPr>
    <w:rPr>
      <w:rFonts w:ascii="Times New Roman" w:hAnsi="Times New Roman" w:eastAsia="黑体"/>
      <w:sz w:val="36"/>
      <w:szCs w:val="24"/>
    </w:rPr>
  </w:style>
  <w:style w:type="character" w:customStyle="1" w:styleId="34">
    <w:name w:val="封面落款日期 Char"/>
    <w:link w:val="33"/>
    <w:qFormat/>
    <w:uiPriority w:val="0"/>
    <w:rPr>
      <w:rFonts w:ascii="Times New Roman" w:hAnsi="Times New Roman" w:eastAsia="黑体"/>
      <w:kern w:val="2"/>
      <w:sz w:val="36"/>
      <w:szCs w:val="24"/>
    </w:rPr>
  </w:style>
  <w:style w:type="character" w:customStyle="1" w:styleId="35">
    <w:name w:val="文档结构图 Char"/>
    <w:link w:val="12"/>
    <w:semiHidden/>
    <w:qFormat/>
    <w:uiPriority w:val="99"/>
    <w:rPr>
      <w:rFonts w:ascii="宋体"/>
      <w:kern w:val="2"/>
      <w:sz w:val="18"/>
      <w:szCs w:val="18"/>
    </w:rPr>
  </w:style>
  <w:style w:type="character" w:customStyle="1" w:styleId="36">
    <w:name w:val="标题 Char"/>
    <w:link w:val="18"/>
    <w:qFormat/>
    <w:uiPriority w:val="0"/>
    <w:rPr>
      <w:rFonts w:ascii="Times New Roman" w:hAnsi="Times New Roman" w:eastAsia="黑体"/>
      <w:bCs/>
      <w:kern w:val="2"/>
      <w:sz w:val="50"/>
      <w:szCs w:val="32"/>
    </w:rPr>
  </w:style>
  <w:style w:type="character" w:customStyle="1" w:styleId="37">
    <w:name w:val="列出段落 Char"/>
    <w:qFormat/>
    <w:uiPriority w:val="0"/>
    <w:rPr>
      <w:rFonts w:ascii="Times New Roman" w:hAnsi="Times New Roman" w:eastAsia="宋体"/>
      <w:kern w:val="2"/>
      <w:sz w:val="28"/>
      <w:szCs w:val="24"/>
    </w:rPr>
  </w:style>
  <w:style w:type="paragraph" w:customStyle="1" w:styleId="38">
    <w:name w:val="列出段落1"/>
    <w:basedOn w:val="1"/>
    <w:qFormat/>
    <w:uiPriority w:val="34"/>
    <w:pPr>
      <w:ind w:firstLine="420" w:firstLineChars="200"/>
    </w:pPr>
  </w:style>
  <w:style w:type="character" w:customStyle="1" w:styleId="39">
    <w:name w:val="副标题 Char"/>
    <w:link w:val="16"/>
    <w:qFormat/>
    <w:uiPriority w:val="11"/>
    <w:rPr>
      <w:rFonts w:ascii="Cambria" w:hAnsi="Cambria" w:cs="Times New Roman"/>
      <w:b/>
      <w:bCs/>
      <w:kern w:val="28"/>
      <w:sz w:val="32"/>
      <w:szCs w:val="32"/>
    </w:rPr>
  </w:style>
  <w:style w:type="paragraph" w:customStyle="1" w:styleId="40">
    <w:name w:val="Table Paragraph"/>
    <w:basedOn w:val="1"/>
    <w:qFormat/>
    <w:uiPriority w:val="1"/>
    <w:pPr>
      <w:spacing w:before="32"/>
    </w:pPr>
    <w:rPr>
      <w:rFonts w:ascii="Times New Roman" w:hAnsi="Times New Roman" w:eastAsia="Times New Roman" w:cs="Times New Roman"/>
      <w:lang w:val="zh-CN" w:eastAsia="zh-CN" w:bidi="zh-CN"/>
    </w:rPr>
  </w:style>
  <w:style w:type="character" w:customStyle="1" w:styleId="41">
    <w:name w:val="cfdate"/>
    <w:basedOn w:val="21"/>
    <w:qFormat/>
    <w:uiPriority w:val="0"/>
    <w:rPr>
      <w:color w:val="333333"/>
      <w:sz w:val="18"/>
      <w:szCs w:val="18"/>
    </w:rPr>
  </w:style>
  <w:style w:type="character" w:customStyle="1" w:styleId="42">
    <w:name w:val="next"/>
    <w:basedOn w:val="21"/>
    <w:qFormat/>
    <w:uiPriority w:val="0"/>
    <w:rPr>
      <w:rFonts w:ascii="微软雅黑" w:hAnsi="微软雅黑" w:eastAsia="微软雅黑" w:cs="微软雅黑"/>
      <w:sz w:val="21"/>
      <w:szCs w:val="21"/>
    </w:rPr>
  </w:style>
  <w:style w:type="character" w:customStyle="1" w:styleId="43">
    <w:name w:val="next1"/>
    <w:basedOn w:val="21"/>
    <w:qFormat/>
    <w:uiPriority w:val="0"/>
    <w:rPr>
      <w:color w:val="888888"/>
    </w:rPr>
  </w:style>
  <w:style w:type="character" w:customStyle="1" w:styleId="44">
    <w:name w:val="prev"/>
    <w:basedOn w:val="21"/>
    <w:qFormat/>
    <w:uiPriority w:val="0"/>
    <w:rPr>
      <w:rFonts w:hint="eastAsia" w:ascii="微软雅黑" w:hAnsi="微软雅黑" w:eastAsia="微软雅黑" w:cs="微软雅黑"/>
      <w:sz w:val="21"/>
      <w:szCs w:val="21"/>
    </w:rPr>
  </w:style>
  <w:style w:type="character" w:customStyle="1" w:styleId="45">
    <w:name w:val="prev1"/>
    <w:basedOn w:val="21"/>
    <w:qFormat/>
    <w:uiPriority w:val="0"/>
    <w:rPr>
      <w:color w:val="888888"/>
    </w:rPr>
  </w:style>
  <w:style w:type="character" w:customStyle="1" w:styleId="46">
    <w:name w:val="displayarti"/>
    <w:basedOn w:val="21"/>
    <w:qFormat/>
    <w:uiPriority w:val="0"/>
    <w:rPr>
      <w:color w:val="FFFFFF"/>
      <w:shd w:val="clear" w:fill="A00000"/>
    </w:rPr>
  </w:style>
  <w:style w:type="character" w:customStyle="1" w:styleId="47">
    <w:name w:val="redfilenumber"/>
    <w:basedOn w:val="21"/>
    <w:qFormat/>
    <w:uiPriority w:val="0"/>
    <w:rPr>
      <w:color w:val="BA2636"/>
      <w:sz w:val="18"/>
      <w:szCs w:val="18"/>
    </w:rPr>
  </w:style>
  <w:style w:type="character" w:customStyle="1" w:styleId="48">
    <w:name w:val="qxdate"/>
    <w:basedOn w:val="21"/>
    <w:qFormat/>
    <w:uiPriority w:val="0"/>
    <w:rPr>
      <w:color w:val="333333"/>
      <w:sz w:val="18"/>
      <w:szCs w:val="18"/>
    </w:rPr>
  </w:style>
  <w:style w:type="character" w:customStyle="1" w:styleId="49">
    <w:name w:val="gjfg"/>
    <w:basedOn w:val="21"/>
    <w:qFormat/>
    <w:uiPriority w:val="0"/>
  </w:style>
  <w:style w:type="character" w:customStyle="1" w:styleId="50">
    <w:name w:val="redfilefwwh"/>
    <w:basedOn w:val="21"/>
    <w:qFormat/>
    <w:uiPriority w:val="0"/>
    <w:rPr>
      <w:color w:val="BA2636"/>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799</Words>
  <Characters>4555</Characters>
  <Lines>37</Lines>
  <Paragraphs>10</Paragraphs>
  <TotalTime>10</TotalTime>
  <ScaleCrop>false</ScaleCrop>
  <LinksUpToDate>false</LinksUpToDate>
  <CharactersWithSpaces>5344</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2017-08-30T11:15:00Z</dcterms:created>
  <dc:creator>厉达程</dc:creator>
  <cp:lastModifiedBy>baixin</cp:lastModifiedBy>
  <cp:lastPrinted>2021-03-02T10:08:00Z</cp:lastPrinted>
  <dcterms:modified xsi:type="dcterms:W3CDTF">2024-07-25T15:07:36Z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