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wmf" ContentType="image/x-wmf"/>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ind w:firstLine="0" w:firstLineChars="0"/>
        <w:jc w:val="center"/>
        <w:rPr>
          <w:rFonts w:hint="default" w:ascii="Times New Roman" w:hAnsi="Times New Roman" w:cs="Times New Roman" w:eastAsiaTheme="minorEastAsia"/>
          <w:kern w:val="0"/>
          <w:sz w:val="60"/>
          <w:szCs w:val="60"/>
        </w:rPr>
      </w:pPr>
    </w:p>
    <w:p>
      <w:pPr>
        <w:autoSpaceDE w:val="0"/>
        <w:autoSpaceDN w:val="0"/>
        <w:adjustRightInd w:val="0"/>
        <w:snapToGrid w:val="0"/>
        <w:ind w:firstLine="0" w:firstLineChars="0"/>
        <w:jc w:val="center"/>
        <w:rPr>
          <w:rFonts w:hint="default" w:ascii="Times New Roman" w:hAnsi="Times New Roman" w:cs="Times New Roman" w:eastAsiaTheme="minorEastAsia"/>
          <w:kern w:val="0"/>
          <w:sz w:val="60"/>
          <w:szCs w:val="60"/>
        </w:rPr>
      </w:pPr>
    </w:p>
    <w:p>
      <w:pPr>
        <w:autoSpaceDE w:val="0"/>
        <w:autoSpaceDN w:val="0"/>
        <w:adjustRightInd w:val="0"/>
        <w:snapToGrid w:val="0"/>
        <w:ind w:firstLine="0" w:firstLineChars="0"/>
        <w:jc w:val="center"/>
        <w:rPr>
          <w:rFonts w:hint="default" w:ascii="Times New Roman" w:hAnsi="Times New Roman" w:cs="Times New Roman" w:eastAsiaTheme="minorEastAsia"/>
          <w:b/>
          <w:bCs/>
          <w:color w:val="auto"/>
          <w:kern w:val="0"/>
          <w:sz w:val="52"/>
          <w:szCs w:val="52"/>
        </w:rPr>
      </w:pPr>
      <w:r>
        <w:rPr>
          <w:rFonts w:hint="default" w:ascii="Times New Roman" w:hAnsi="Times New Roman" w:cs="Times New Roman" w:eastAsiaTheme="minorEastAsia"/>
          <w:b/>
          <w:bCs/>
          <w:color w:val="auto"/>
          <w:kern w:val="0"/>
          <w:sz w:val="52"/>
          <w:szCs w:val="52"/>
        </w:rPr>
        <w:t>曲 沃 县</w:t>
      </w:r>
    </w:p>
    <w:p>
      <w:pPr>
        <w:autoSpaceDE w:val="0"/>
        <w:autoSpaceDN w:val="0"/>
        <w:adjustRightInd w:val="0"/>
        <w:snapToGrid w:val="0"/>
        <w:ind w:firstLine="0" w:firstLineChars="0"/>
        <w:jc w:val="center"/>
        <w:rPr>
          <w:rFonts w:hint="default" w:ascii="Times New Roman" w:hAnsi="Times New Roman" w:cs="Times New Roman" w:eastAsiaTheme="minorEastAsia"/>
          <w:b/>
          <w:bCs/>
          <w:color w:val="auto"/>
          <w:kern w:val="0"/>
          <w:sz w:val="52"/>
          <w:szCs w:val="52"/>
        </w:rPr>
      </w:pPr>
      <w:r>
        <w:rPr>
          <w:rFonts w:hint="default" w:ascii="Times New Roman" w:hAnsi="Times New Roman" w:cs="Times New Roman" w:eastAsiaTheme="minorEastAsia"/>
          <w:b/>
          <w:bCs/>
          <w:color w:val="auto"/>
          <w:kern w:val="0"/>
          <w:sz w:val="52"/>
          <w:szCs w:val="52"/>
        </w:rPr>
        <w:t>城市区域声环境功能区划</w:t>
      </w:r>
      <w:r>
        <w:rPr>
          <w:rFonts w:hint="eastAsia" w:cs="Times New Roman" w:eastAsiaTheme="minorEastAsia"/>
          <w:b/>
          <w:bCs/>
          <w:color w:val="auto"/>
          <w:kern w:val="0"/>
          <w:sz w:val="52"/>
          <w:szCs w:val="52"/>
          <w:lang w:val="en-US" w:eastAsia="zh-CN"/>
        </w:rPr>
        <w:t>分</w:t>
      </w:r>
      <w:r>
        <w:rPr>
          <w:rFonts w:hint="default" w:ascii="Times New Roman" w:hAnsi="Times New Roman" w:cs="Times New Roman" w:eastAsiaTheme="minorEastAsia"/>
          <w:b/>
          <w:bCs/>
          <w:color w:val="auto"/>
          <w:kern w:val="0"/>
          <w:sz w:val="52"/>
          <w:szCs w:val="52"/>
        </w:rPr>
        <w:t>调整</w:t>
      </w:r>
    </w:p>
    <w:p>
      <w:pPr>
        <w:autoSpaceDE w:val="0"/>
        <w:autoSpaceDN w:val="0"/>
        <w:adjustRightInd w:val="0"/>
        <w:snapToGrid w:val="0"/>
        <w:ind w:firstLine="0" w:firstLineChars="0"/>
        <w:jc w:val="center"/>
        <w:rPr>
          <w:rFonts w:hint="default" w:ascii="Times New Roman" w:hAnsi="Times New Roman" w:cs="Times New Roman" w:eastAsiaTheme="minorEastAsia"/>
          <w:b/>
          <w:bCs/>
          <w:color w:val="auto"/>
          <w:kern w:val="0"/>
          <w:sz w:val="52"/>
          <w:szCs w:val="52"/>
        </w:rPr>
      </w:pPr>
      <w:r>
        <w:rPr>
          <w:rFonts w:hint="default" w:ascii="Times New Roman" w:hAnsi="Times New Roman" w:cs="Times New Roman" w:eastAsiaTheme="minorEastAsia"/>
          <w:b/>
          <w:bCs/>
          <w:color w:val="auto"/>
          <w:kern w:val="0"/>
          <w:sz w:val="52"/>
          <w:szCs w:val="52"/>
        </w:rPr>
        <w:t>技术报告</w:t>
      </w:r>
    </w:p>
    <w:p>
      <w:pPr>
        <w:autoSpaceDE w:val="0"/>
        <w:autoSpaceDN w:val="0"/>
        <w:adjustRightInd w:val="0"/>
        <w:snapToGrid w:val="0"/>
        <w:ind w:firstLine="0" w:firstLineChars="0"/>
        <w:jc w:val="left"/>
        <w:rPr>
          <w:rFonts w:hint="default" w:ascii="Times New Roman" w:hAnsi="Times New Roman" w:cs="Times New Roman" w:eastAsiaTheme="minorEastAsia"/>
          <w:color w:val="auto"/>
          <w:kern w:val="0"/>
          <w:sz w:val="56"/>
          <w:szCs w:val="56"/>
        </w:rPr>
      </w:pPr>
    </w:p>
    <w:p>
      <w:pPr>
        <w:autoSpaceDE w:val="0"/>
        <w:autoSpaceDN w:val="0"/>
        <w:adjustRightInd w:val="0"/>
        <w:snapToGrid w:val="0"/>
        <w:ind w:firstLine="0" w:firstLineChars="0"/>
        <w:jc w:val="left"/>
        <w:rPr>
          <w:rFonts w:hint="default" w:ascii="Times New Roman" w:hAnsi="Times New Roman" w:cs="Times New Roman" w:eastAsiaTheme="minorEastAsia"/>
          <w:color w:val="auto"/>
          <w:kern w:val="0"/>
          <w:sz w:val="56"/>
          <w:szCs w:val="56"/>
        </w:rPr>
      </w:pPr>
    </w:p>
    <w:p>
      <w:pPr>
        <w:autoSpaceDE w:val="0"/>
        <w:autoSpaceDN w:val="0"/>
        <w:adjustRightInd w:val="0"/>
        <w:snapToGrid w:val="0"/>
        <w:ind w:firstLine="0" w:firstLineChars="0"/>
        <w:jc w:val="left"/>
        <w:rPr>
          <w:rFonts w:hint="default" w:ascii="Times New Roman" w:hAnsi="Times New Roman" w:cs="Times New Roman" w:eastAsiaTheme="minorEastAsia"/>
          <w:color w:val="auto"/>
          <w:kern w:val="0"/>
          <w:sz w:val="56"/>
          <w:szCs w:val="56"/>
        </w:rPr>
      </w:pPr>
    </w:p>
    <w:p>
      <w:pPr>
        <w:autoSpaceDE w:val="0"/>
        <w:autoSpaceDN w:val="0"/>
        <w:adjustRightInd w:val="0"/>
        <w:snapToGrid w:val="0"/>
        <w:ind w:firstLine="0" w:firstLineChars="0"/>
        <w:jc w:val="left"/>
        <w:rPr>
          <w:rFonts w:hint="default" w:ascii="Times New Roman" w:hAnsi="Times New Roman" w:cs="Times New Roman" w:eastAsiaTheme="minorEastAsia"/>
          <w:color w:val="auto"/>
          <w:kern w:val="0"/>
          <w:sz w:val="56"/>
          <w:szCs w:val="56"/>
        </w:rPr>
      </w:pPr>
    </w:p>
    <w:p>
      <w:pPr>
        <w:autoSpaceDE w:val="0"/>
        <w:autoSpaceDN w:val="0"/>
        <w:adjustRightInd w:val="0"/>
        <w:snapToGrid w:val="0"/>
        <w:ind w:firstLine="0" w:firstLineChars="0"/>
        <w:jc w:val="left"/>
        <w:rPr>
          <w:rFonts w:hint="default" w:ascii="Times New Roman" w:hAnsi="Times New Roman" w:cs="Times New Roman" w:eastAsiaTheme="minorEastAsia"/>
          <w:color w:val="auto"/>
          <w:kern w:val="0"/>
          <w:sz w:val="56"/>
          <w:szCs w:val="56"/>
        </w:rPr>
      </w:pPr>
    </w:p>
    <w:p>
      <w:pPr>
        <w:autoSpaceDE w:val="0"/>
        <w:autoSpaceDN w:val="0"/>
        <w:adjustRightInd w:val="0"/>
        <w:snapToGrid w:val="0"/>
        <w:ind w:firstLine="0" w:firstLineChars="0"/>
        <w:jc w:val="left"/>
        <w:rPr>
          <w:rFonts w:hint="default" w:ascii="Times New Roman" w:hAnsi="Times New Roman" w:cs="Times New Roman" w:eastAsiaTheme="minorEastAsia"/>
          <w:color w:val="auto"/>
          <w:kern w:val="0"/>
          <w:sz w:val="56"/>
          <w:szCs w:val="56"/>
        </w:rPr>
      </w:pPr>
    </w:p>
    <w:p>
      <w:pPr>
        <w:autoSpaceDE w:val="0"/>
        <w:autoSpaceDN w:val="0"/>
        <w:adjustRightInd w:val="0"/>
        <w:snapToGrid w:val="0"/>
        <w:ind w:firstLine="0" w:firstLineChars="0"/>
        <w:jc w:val="left"/>
        <w:rPr>
          <w:rFonts w:hint="default" w:ascii="Times New Roman" w:hAnsi="Times New Roman" w:cs="Times New Roman" w:eastAsiaTheme="minorEastAsia"/>
          <w:color w:val="auto"/>
          <w:kern w:val="0"/>
          <w:sz w:val="56"/>
          <w:szCs w:val="56"/>
        </w:rPr>
      </w:pPr>
    </w:p>
    <w:p>
      <w:pPr>
        <w:autoSpaceDE w:val="0"/>
        <w:autoSpaceDN w:val="0"/>
        <w:adjustRightInd w:val="0"/>
        <w:snapToGrid w:val="0"/>
        <w:ind w:firstLine="0" w:firstLineChars="0"/>
        <w:jc w:val="center"/>
        <w:rPr>
          <w:rFonts w:hint="default" w:ascii="Times New Roman" w:hAnsi="Times New Roman" w:cs="Times New Roman" w:eastAsiaTheme="minorEastAsia"/>
          <w:b/>
          <w:bCs/>
          <w:color w:val="auto"/>
          <w:kern w:val="0"/>
          <w:sz w:val="36"/>
          <w:szCs w:val="36"/>
        </w:rPr>
      </w:pPr>
    </w:p>
    <w:p>
      <w:pPr>
        <w:pStyle w:val="19"/>
        <w:snapToGrid w:val="0"/>
        <w:rPr>
          <w:rFonts w:hint="default" w:ascii="Times New Roman" w:hAnsi="Times New Roman" w:cs="Times New Roman" w:eastAsiaTheme="minorEastAsia"/>
          <w:b/>
          <w:bCs/>
          <w:color w:val="auto"/>
          <w:kern w:val="0"/>
          <w:sz w:val="36"/>
          <w:szCs w:val="36"/>
        </w:rPr>
      </w:pPr>
      <w:r>
        <w:rPr>
          <w:rFonts w:hint="eastAsia" w:cs="Times New Roman" w:eastAsiaTheme="minorEastAsia"/>
          <w:b/>
          <w:bCs/>
          <w:color w:val="auto"/>
          <w:kern w:val="0"/>
          <w:sz w:val="36"/>
          <w:szCs w:val="36"/>
          <w:lang w:val="en-US" w:eastAsia="zh-CN"/>
        </w:rPr>
        <w:t>2021</w:t>
      </w:r>
      <w:r>
        <w:rPr>
          <w:rFonts w:hint="default" w:ascii="Times New Roman" w:hAnsi="Times New Roman" w:cs="Times New Roman" w:eastAsiaTheme="minorEastAsia"/>
          <w:b/>
          <w:bCs/>
          <w:color w:val="auto"/>
          <w:kern w:val="0"/>
          <w:sz w:val="36"/>
          <w:szCs w:val="36"/>
        </w:rPr>
        <w:t>年</w:t>
      </w:r>
      <w:r>
        <w:rPr>
          <w:rFonts w:hint="eastAsia" w:cs="Times New Roman" w:eastAsiaTheme="minorEastAsia"/>
          <w:b/>
          <w:bCs/>
          <w:color w:val="auto"/>
          <w:kern w:val="0"/>
          <w:sz w:val="36"/>
          <w:szCs w:val="36"/>
          <w:lang w:val="en-US" w:eastAsia="zh-CN"/>
        </w:rPr>
        <w:t>1</w:t>
      </w:r>
      <w:r>
        <w:rPr>
          <w:rFonts w:hint="default" w:ascii="Times New Roman" w:hAnsi="Times New Roman" w:cs="Times New Roman" w:eastAsiaTheme="minorEastAsia"/>
          <w:b/>
          <w:bCs/>
          <w:color w:val="auto"/>
          <w:kern w:val="0"/>
          <w:sz w:val="36"/>
          <w:szCs w:val="36"/>
        </w:rPr>
        <w:t>月</w:t>
      </w:r>
    </w:p>
    <w:p>
      <w:pPr>
        <w:rPr>
          <w:rFonts w:hint="default" w:ascii="Times New Roman" w:hAnsi="Times New Roman" w:cs="Times New Roman" w:eastAsiaTheme="minorEastAsia"/>
          <w:b/>
          <w:bCs/>
          <w:color w:val="auto"/>
          <w:kern w:val="0"/>
          <w:sz w:val="36"/>
          <w:szCs w:val="36"/>
        </w:rPr>
      </w:pPr>
    </w:p>
    <w:p>
      <w:pPr>
        <w:ind w:left="0" w:leftChars="0" w:firstLine="0" w:firstLineChars="0"/>
        <w:rPr>
          <w:rFonts w:hint="default" w:ascii="Times New Roman" w:hAnsi="Times New Roman" w:cs="Times New Roman" w:eastAsiaTheme="minorEastAsia"/>
          <w:b/>
          <w:bCs/>
          <w:color w:val="auto"/>
          <w:kern w:val="0"/>
          <w:sz w:val="36"/>
          <w:szCs w:val="36"/>
        </w:rPr>
      </w:pPr>
      <w:r>
        <w:rPr>
          <w:rFonts w:hint="eastAsia" w:ascii="Times New Roman" w:hAnsi="Times New Roman" w:eastAsia="华文仿宋"/>
          <w:b/>
          <w:sz w:val="36"/>
          <w:szCs w:val="36"/>
          <w:lang w:eastAsia="zh-CN"/>
        </w:rPr>
        <w:drawing>
          <wp:inline distT="0" distB="0" distL="114300" distR="114300">
            <wp:extent cx="6002020" cy="8489950"/>
            <wp:effectExtent l="0" t="0" r="17780" b="6350"/>
            <wp:docPr id="15" name="图片 15" descr="扫描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15" descr="扫描1"/>
                    <pic:cNvPicPr>
                      <a:picLocks noChangeAspect="true"/>
                    </pic:cNvPicPr>
                  </pic:nvPicPr>
                  <pic:blipFill>
                    <a:blip r:embed="rId16"/>
                    <a:stretch>
                      <a:fillRect/>
                    </a:stretch>
                  </pic:blipFill>
                  <pic:spPr>
                    <a:xfrm>
                      <a:off x="0" y="0"/>
                      <a:ext cx="6002020" cy="8489950"/>
                    </a:xfrm>
                    <a:prstGeom prst="rect">
                      <a:avLst/>
                    </a:prstGeom>
                  </pic:spPr>
                </pic:pic>
              </a:graphicData>
            </a:graphic>
          </wp:inline>
        </w:drawing>
      </w:r>
    </w:p>
    <w:p>
      <w:pPr>
        <w:rPr>
          <w:rFonts w:hint="default" w:ascii="Times New Roman" w:hAnsi="Times New Roman" w:cs="Times New Roman" w:eastAsiaTheme="minorEastAsia"/>
          <w:b/>
          <w:bCs/>
          <w:color w:val="auto"/>
          <w:kern w:val="0"/>
          <w:sz w:val="36"/>
          <w:szCs w:val="36"/>
        </w:rPr>
      </w:pPr>
    </w:p>
    <w:p>
      <w:pPr>
        <w:rPr>
          <w:rFonts w:hint="default" w:ascii="Times New Roman" w:hAnsi="Times New Roman" w:cs="Times New Roman" w:eastAsiaTheme="minorEastAsia"/>
          <w:b/>
          <w:bCs/>
          <w:color w:val="auto"/>
          <w:kern w:val="0"/>
          <w:sz w:val="36"/>
          <w:szCs w:val="36"/>
        </w:rPr>
      </w:pP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0" w:firstLineChars="0"/>
        <w:jc w:val="center"/>
        <w:textAlignment w:val="auto"/>
        <w:rPr>
          <w:rFonts w:hint="eastAsia" w:ascii="方正小标宋简体" w:hAnsi="方正小标宋简体" w:eastAsia="方正小标宋简体" w:cs="方正小标宋简体"/>
          <w:b w:val="0"/>
          <w:bCs w:val="0"/>
          <w:color w:val="auto"/>
          <w:kern w:val="0"/>
          <w:sz w:val="44"/>
          <w:szCs w:val="44"/>
        </w:rPr>
      </w:pP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0" w:firstLineChars="0"/>
        <w:jc w:val="center"/>
        <w:textAlignment w:val="auto"/>
        <w:rPr>
          <w:rFonts w:hint="eastAsia" w:ascii="方正小标宋简体" w:hAnsi="方正小标宋简体" w:eastAsia="方正小标宋简体" w:cs="方正小标宋简体"/>
          <w:b w:val="0"/>
          <w:bCs w:val="0"/>
          <w:color w:val="auto"/>
          <w:kern w:val="0"/>
          <w:sz w:val="44"/>
          <w:szCs w:val="44"/>
        </w:rPr>
      </w:pP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0" w:firstLineChars="0"/>
        <w:jc w:val="center"/>
        <w:textAlignment w:val="auto"/>
        <w:rPr>
          <w:rFonts w:hint="eastAsia" w:ascii="方正小标宋简体" w:hAnsi="方正小标宋简体" w:eastAsia="方正小标宋简体" w:cs="方正小标宋简体"/>
          <w:b w:val="0"/>
          <w:bCs w:val="0"/>
          <w:color w:val="auto"/>
          <w:kern w:val="0"/>
          <w:sz w:val="44"/>
          <w:szCs w:val="44"/>
        </w:rPr>
      </w:pP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0" w:firstLineChars="0"/>
        <w:jc w:val="center"/>
        <w:textAlignment w:val="auto"/>
        <w:rPr>
          <w:rFonts w:hint="eastAsia" w:ascii="方正小标宋简体" w:hAnsi="方正小标宋简体" w:eastAsia="方正小标宋简体" w:cs="方正小标宋简体"/>
          <w:b w:val="0"/>
          <w:bCs w:val="0"/>
          <w:color w:val="auto"/>
          <w:kern w:val="0"/>
          <w:sz w:val="44"/>
          <w:szCs w:val="44"/>
        </w:rPr>
      </w:pP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0" w:firstLineChars="0"/>
        <w:jc w:val="center"/>
        <w:textAlignment w:val="auto"/>
        <w:rPr>
          <w:rFonts w:hint="eastAsia" w:ascii="方正小标宋简体" w:hAnsi="方正小标宋简体" w:eastAsia="方正小标宋简体" w:cs="方正小标宋简体"/>
          <w:b w:val="0"/>
          <w:bCs w:val="0"/>
          <w:color w:val="auto"/>
          <w:kern w:val="0"/>
          <w:sz w:val="44"/>
          <w:szCs w:val="44"/>
          <w:lang w:val="en-US" w:eastAsia="zh-CN"/>
        </w:rPr>
      </w:pPr>
      <w:r>
        <w:rPr>
          <w:rFonts w:hint="eastAsia" w:ascii="方正小标宋简体" w:hAnsi="方正小标宋简体" w:eastAsia="方正小标宋简体" w:cs="方正小标宋简体"/>
          <w:b w:val="0"/>
          <w:bCs w:val="0"/>
          <w:color w:val="auto"/>
          <w:kern w:val="0"/>
          <w:sz w:val="44"/>
          <w:szCs w:val="44"/>
        </w:rPr>
        <w:t>曲沃县城市区域声环境功能区划</w:t>
      </w:r>
      <w:r>
        <w:rPr>
          <w:rFonts w:hint="eastAsia" w:ascii="方正小标宋简体" w:hAnsi="方正小标宋简体" w:eastAsia="方正小标宋简体" w:cs="方正小标宋简体"/>
          <w:b w:val="0"/>
          <w:bCs w:val="0"/>
          <w:color w:val="auto"/>
          <w:kern w:val="0"/>
          <w:sz w:val="44"/>
          <w:szCs w:val="44"/>
          <w:lang w:val="en-US" w:eastAsia="zh-CN"/>
        </w:rPr>
        <w:t>分</w:t>
      </w:r>
    </w:p>
    <w:p>
      <w:pPr>
        <w:keepNext w:val="0"/>
        <w:keepLines w:val="0"/>
        <w:pageBreakBefore w:val="0"/>
        <w:widowControl w:val="0"/>
        <w:kinsoku/>
        <w:wordWrap/>
        <w:overflowPunct/>
        <w:topLinePunct w:val="0"/>
        <w:autoSpaceDE w:val="0"/>
        <w:autoSpaceDN w:val="0"/>
        <w:bidi w:val="0"/>
        <w:adjustRightInd w:val="0"/>
        <w:snapToGrid w:val="0"/>
        <w:spacing w:line="640" w:lineRule="exact"/>
        <w:ind w:firstLine="0" w:firstLineChars="0"/>
        <w:jc w:val="center"/>
        <w:textAlignment w:val="auto"/>
        <w:rPr>
          <w:rFonts w:hint="eastAsia" w:ascii="方正小标宋简体" w:hAnsi="方正小标宋简体" w:eastAsia="方正小标宋简体" w:cs="方正小标宋简体"/>
          <w:b w:val="0"/>
          <w:bCs w:val="0"/>
          <w:color w:val="auto"/>
          <w:kern w:val="0"/>
          <w:sz w:val="44"/>
          <w:szCs w:val="44"/>
        </w:rPr>
      </w:pPr>
      <w:r>
        <w:rPr>
          <w:rFonts w:hint="eastAsia" w:ascii="方正小标宋简体" w:hAnsi="方正小标宋简体" w:eastAsia="方正小标宋简体" w:cs="方正小标宋简体"/>
          <w:b w:val="0"/>
          <w:bCs w:val="0"/>
          <w:color w:val="auto"/>
          <w:kern w:val="0"/>
          <w:sz w:val="44"/>
          <w:szCs w:val="44"/>
        </w:rPr>
        <w:t>调整技术报告</w:t>
      </w:r>
    </w:p>
    <w:p>
      <w:pPr>
        <w:spacing w:after="312" w:afterLines="100" w:line="480" w:lineRule="auto"/>
        <w:jc w:val="center"/>
        <w:rPr>
          <w:rFonts w:ascii="Times New Roman" w:hAnsi="Times New Roman" w:eastAsia="黑体"/>
          <w:b/>
          <w:sz w:val="40"/>
          <w:szCs w:val="36"/>
        </w:rPr>
      </w:pPr>
    </w:p>
    <w:p>
      <w:pPr>
        <w:jc w:val="left"/>
        <w:rPr>
          <w:rFonts w:ascii="Times New Roman" w:hAnsi="Times New Roman" w:eastAsia="黑体"/>
          <w:sz w:val="32"/>
          <w:szCs w:val="32"/>
        </w:rPr>
      </w:pPr>
    </w:p>
    <w:p>
      <w:pPr>
        <w:jc w:val="left"/>
        <w:rPr>
          <w:rFonts w:ascii="Times New Roman" w:hAnsi="Times New Roman" w:eastAsia="黑体"/>
          <w:sz w:val="32"/>
          <w:szCs w:val="32"/>
        </w:rPr>
      </w:pPr>
    </w:p>
    <w:p>
      <w:pPr>
        <w:ind w:firstLine="640" w:firstLineChars="200"/>
        <w:jc w:val="left"/>
        <w:rPr>
          <w:rFonts w:ascii="Times New Roman" w:hAnsi="Times New Roman" w:eastAsia="黑体"/>
          <w:sz w:val="32"/>
          <w:szCs w:val="32"/>
        </w:rPr>
      </w:pPr>
      <w:r>
        <w:rPr>
          <w:rFonts w:ascii="Times New Roman" w:hAnsi="Times New Roman" w:eastAsia="黑体"/>
          <w:sz w:val="32"/>
          <w:szCs w:val="32"/>
        </w:rPr>
        <w:t>主持单位：临汾市生态环境局</w:t>
      </w:r>
      <w:r>
        <w:rPr>
          <w:rFonts w:hint="eastAsia" w:ascii="Times New Roman" w:hAnsi="Times New Roman" w:eastAsia="黑体"/>
          <w:sz w:val="32"/>
          <w:szCs w:val="32"/>
        </w:rPr>
        <w:t>曲沃</w:t>
      </w:r>
      <w:r>
        <w:rPr>
          <w:rFonts w:ascii="Times New Roman" w:hAnsi="Times New Roman" w:eastAsia="黑体"/>
          <w:sz w:val="32"/>
          <w:szCs w:val="32"/>
        </w:rPr>
        <w:t>分局</w:t>
      </w:r>
    </w:p>
    <w:p>
      <w:pPr>
        <w:ind w:firstLine="640"/>
        <w:jc w:val="left"/>
        <w:rPr>
          <w:rFonts w:ascii="Times New Roman" w:hAnsi="Times New Roman" w:eastAsia="黑体"/>
          <w:sz w:val="32"/>
          <w:szCs w:val="32"/>
        </w:rPr>
      </w:pPr>
    </w:p>
    <w:p>
      <w:pPr>
        <w:ind w:firstLine="640"/>
        <w:jc w:val="left"/>
        <w:rPr>
          <w:rFonts w:ascii="Times New Roman" w:hAnsi="Times New Roman" w:eastAsia="黑体"/>
          <w:sz w:val="32"/>
          <w:szCs w:val="32"/>
        </w:rPr>
      </w:pPr>
    </w:p>
    <w:p>
      <w:pPr>
        <w:keepNext w:val="0"/>
        <w:keepLines w:val="0"/>
        <w:widowControl/>
        <w:suppressLineNumbers w:val="0"/>
        <w:ind w:firstLine="640" w:firstLineChars="200"/>
        <w:jc w:val="left"/>
        <w:rPr>
          <w:rFonts w:ascii="Times New Roman" w:hAnsi="Times New Roman" w:eastAsia="黑体"/>
          <w:sz w:val="32"/>
          <w:szCs w:val="32"/>
          <w:highlight w:val="yellow"/>
        </w:rPr>
      </w:pPr>
      <w:r>
        <w:rPr>
          <w:rFonts w:ascii="Times New Roman" w:hAnsi="Times New Roman" w:eastAsia="黑体"/>
          <w:sz w:val="32"/>
          <w:szCs w:val="32"/>
        </w:rPr>
        <w:t>技术服务单位：</w:t>
      </w:r>
      <w:r>
        <w:rPr>
          <w:rFonts w:hint="eastAsia" w:ascii="Times New Roman" w:hAnsi="Times New Roman" w:eastAsia="黑体"/>
          <w:sz w:val="32"/>
          <w:szCs w:val="32"/>
          <w:lang w:val="en-US" w:eastAsia="zh-CN"/>
        </w:rPr>
        <w:t>山西智慧环保管家发展有限公司</w:t>
      </w:r>
    </w:p>
    <w:p>
      <w:pPr>
        <w:ind w:firstLine="640"/>
        <w:jc w:val="left"/>
        <w:rPr>
          <w:rFonts w:ascii="Times New Roman" w:hAnsi="Times New Roman" w:eastAsia="黑体"/>
          <w:sz w:val="32"/>
          <w:szCs w:val="32"/>
        </w:rPr>
      </w:pPr>
    </w:p>
    <w:p>
      <w:pPr>
        <w:ind w:firstLine="640"/>
        <w:jc w:val="left"/>
        <w:rPr>
          <w:rFonts w:ascii="Times New Roman" w:hAnsi="Times New Roman" w:eastAsia="黑体"/>
          <w:sz w:val="32"/>
          <w:szCs w:val="32"/>
        </w:rPr>
      </w:pPr>
    </w:p>
    <w:p>
      <w:pPr>
        <w:keepNext w:val="0"/>
        <w:keepLines w:val="0"/>
        <w:widowControl/>
        <w:suppressLineNumbers w:val="0"/>
        <w:ind w:firstLine="640" w:firstLineChars="200"/>
        <w:jc w:val="left"/>
        <w:rPr>
          <w:rFonts w:ascii="Times New Roman" w:hAnsi="Times New Roman" w:eastAsia="黑体"/>
          <w:sz w:val="32"/>
          <w:szCs w:val="32"/>
        </w:rPr>
      </w:pPr>
      <w:r>
        <w:rPr>
          <w:rFonts w:ascii="Times New Roman" w:hAnsi="Times New Roman" w:eastAsia="黑体"/>
          <w:sz w:val="32"/>
          <w:szCs w:val="32"/>
        </w:rPr>
        <w:t>项目负责人：</w:t>
      </w:r>
      <w:r>
        <w:rPr>
          <w:rFonts w:hint="eastAsia" w:ascii="Times New Roman" w:hAnsi="Times New Roman" w:eastAsia="黑体"/>
          <w:sz w:val="32"/>
          <w:szCs w:val="32"/>
          <w:lang w:val="en-US" w:eastAsia="zh-CN"/>
        </w:rPr>
        <w:t>柏明海</w:t>
      </w:r>
    </w:p>
    <w:p>
      <w:pPr>
        <w:ind w:firstLine="640" w:firstLineChars="200"/>
        <w:jc w:val="left"/>
        <w:rPr>
          <w:rFonts w:ascii="Times New Roman" w:hAnsi="Times New Roman" w:eastAsia="黑体"/>
          <w:sz w:val="32"/>
          <w:szCs w:val="32"/>
        </w:rPr>
      </w:pPr>
    </w:p>
    <w:p>
      <w:pPr>
        <w:ind w:firstLine="640" w:firstLineChars="200"/>
        <w:jc w:val="left"/>
        <w:rPr>
          <w:rFonts w:ascii="Times New Roman" w:hAnsi="Times New Roman" w:eastAsia="黑体"/>
          <w:sz w:val="32"/>
          <w:szCs w:val="32"/>
        </w:rPr>
      </w:pPr>
    </w:p>
    <w:p>
      <w:pPr>
        <w:keepNext w:val="0"/>
        <w:keepLines w:val="0"/>
        <w:widowControl/>
        <w:suppressLineNumbers w:val="0"/>
        <w:ind w:firstLine="640" w:firstLineChars="200"/>
        <w:jc w:val="left"/>
        <w:rPr>
          <w:rFonts w:ascii="Times New Roman" w:hAnsi="Times New Roman" w:eastAsia="黑体"/>
          <w:sz w:val="32"/>
          <w:szCs w:val="36"/>
        </w:rPr>
        <w:sectPr>
          <w:footerReference r:id="rId5" w:type="default"/>
          <w:pgSz w:w="11906" w:h="16838"/>
          <w:pgMar w:top="1440" w:right="1800" w:bottom="1440" w:left="1800" w:header="851" w:footer="992" w:gutter="0"/>
          <w:pgNumType w:start="1"/>
          <w:cols w:space="720" w:num="1"/>
          <w:docGrid w:type="lines" w:linePitch="312" w:charSpace="0"/>
        </w:sectPr>
      </w:pPr>
      <w:r>
        <w:rPr>
          <w:rFonts w:hint="eastAsia" w:ascii="Times New Roman" w:hAnsi="Times New Roman" w:eastAsia="黑体"/>
          <w:sz w:val="32"/>
          <w:szCs w:val="32"/>
        </w:rPr>
        <w:t>项目组成员</w:t>
      </w:r>
      <w:r>
        <w:rPr>
          <w:rFonts w:ascii="Times New Roman" w:hAnsi="Times New Roman" w:eastAsia="黑体"/>
          <w:sz w:val="32"/>
          <w:szCs w:val="32"/>
        </w:rPr>
        <w:t>：</w:t>
      </w:r>
      <w:r>
        <w:rPr>
          <w:rFonts w:hint="eastAsia" w:ascii="Times New Roman" w:hAnsi="Times New Roman" w:eastAsia="黑体"/>
          <w:sz w:val="32"/>
          <w:szCs w:val="32"/>
          <w:lang w:val="en-US" w:eastAsia="zh-CN"/>
        </w:rPr>
        <w:t>袁 娇  裴晓峥  杨 蕊  白兴权</w:t>
      </w:r>
    </w:p>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Times New Roman" w:hAnsi="Times New Roman" w:cs="Times New Roman" w:eastAsiaTheme="minorEastAsia"/>
          <w:color w:val="auto"/>
          <w:sz w:val="24"/>
          <w:szCs w:val="24"/>
        </w:rPr>
      </w:pPr>
      <w:r>
        <w:rPr>
          <w:rFonts w:hint="eastAsia" w:ascii="Times New Roman" w:hAnsi="Times New Roman" w:cs="Times New Roman" w:eastAsiaTheme="minorEastAsia"/>
          <w:color w:val="auto"/>
          <w:sz w:val="24"/>
          <w:szCs w:val="24"/>
          <w:lang w:val="en-US" w:eastAsia="zh-CN"/>
        </w:rPr>
        <w:t>曲沃县</w:t>
      </w:r>
      <w:r>
        <w:rPr>
          <w:rFonts w:hint="eastAsia" w:ascii="Times New Roman" w:hAnsi="Times New Roman" w:cs="Times New Roman" w:eastAsiaTheme="minorEastAsia"/>
          <w:color w:val="auto"/>
          <w:sz w:val="24"/>
          <w:szCs w:val="24"/>
        </w:rPr>
        <w:t>城市区域声环境功能区划分调整技术报告技术审查意见修改单</w:t>
      </w:r>
    </w:p>
    <w:tbl>
      <w:tblPr>
        <w:tblStyle w:val="25"/>
        <w:tblW w:w="850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54"/>
        <w:gridCol w:w="3447"/>
        <w:gridCol w:w="3077"/>
        <w:gridCol w:w="132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54"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center"/>
              <w:textAlignment w:val="auto"/>
              <w:outlineLvl w:val="9"/>
              <w:rPr>
                <w:rFonts w:hint="eastAsia" w:ascii="Times New Roman" w:hAnsi="Times New Roman"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序号</w:t>
            </w:r>
          </w:p>
        </w:tc>
        <w:tc>
          <w:tcPr>
            <w:tcW w:w="3447"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center"/>
              <w:textAlignment w:val="auto"/>
              <w:outlineLvl w:val="9"/>
              <w:rPr>
                <w:rFonts w:hint="eastAsia" w:ascii="Times New Roman" w:hAnsi="Times New Roman"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技术审查意见</w:t>
            </w:r>
          </w:p>
        </w:tc>
        <w:tc>
          <w:tcPr>
            <w:tcW w:w="3077"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outlineLvl w:val="9"/>
              <w:rPr>
                <w:rFonts w:hint="eastAsia" w:ascii="Times New Roman" w:hAnsi="Times New Roman"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修改内容</w:t>
            </w:r>
          </w:p>
        </w:tc>
        <w:tc>
          <w:tcPr>
            <w:tcW w:w="1322"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center"/>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页码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54"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center"/>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1</w:t>
            </w:r>
          </w:p>
        </w:tc>
        <w:tc>
          <w:tcPr>
            <w:tcW w:w="3447"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依据《曲沃县县城总体规划（2014~2030年)》明确建成区及土地利用规划范围及面积，进一步核实噪声功能区划范围及确定依据。</w:t>
            </w:r>
          </w:p>
        </w:tc>
        <w:tc>
          <w:tcPr>
            <w:tcW w:w="3077"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依据《曲沃县县城总体规划（2014~2030年)》明确了建成区及土地利用规划范围及面积，进一步核实了噪声功能区划范围及确定依据。</w:t>
            </w:r>
          </w:p>
        </w:tc>
        <w:tc>
          <w:tcPr>
            <w:tcW w:w="1322"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center"/>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见正文P5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64" w:hRule="atLeast"/>
        </w:trPr>
        <w:tc>
          <w:tcPr>
            <w:tcW w:w="654" w:type="dxa"/>
            <w:vMerge w:val="restart"/>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center"/>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2</w:t>
            </w:r>
          </w:p>
        </w:tc>
        <w:tc>
          <w:tcPr>
            <w:tcW w:w="3447" w:type="dxa"/>
            <w:vMerge w:val="restart"/>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进一步调查基准年2019年中心城区现状建设用地规模及功能，核实噪声现状监测网格布设及网格面积，分析利用2014年噪声监测网格的合理性，分析现状噪声不达标区域噪声超标范围及原因。</w:t>
            </w:r>
          </w:p>
        </w:tc>
        <w:tc>
          <w:tcPr>
            <w:tcW w:w="3077"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已对基准年2019年中心城区现状建设用地规模和功能进行了核实。</w:t>
            </w:r>
          </w:p>
        </w:tc>
        <w:tc>
          <w:tcPr>
            <w:tcW w:w="1322"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center"/>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见正文P47-59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30" w:hRule="atLeast"/>
        </w:trPr>
        <w:tc>
          <w:tcPr>
            <w:tcW w:w="654" w:type="dxa"/>
            <w:vMerge w:val="continue"/>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default"/>
              </w:rPr>
            </w:pPr>
          </w:p>
        </w:tc>
        <w:tc>
          <w:tcPr>
            <w:tcW w:w="3447" w:type="dxa"/>
            <w:vMerge w:val="continue"/>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default"/>
              </w:rPr>
            </w:pPr>
          </w:p>
        </w:tc>
        <w:tc>
          <w:tcPr>
            <w:tcW w:w="3077"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已核实了噪声现状监测网格面积布设及网格面积。</w:t>
            </w:r>
          </w:p>
        </w:tc>
        <w:tc>
          <w:tcPr>
            <w:tcW w:w="1322"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center"/>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见正文P20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30" w:hRule="atLeast"/>
        </w:trPr>
        <w:tc>
          <w:tcPr>
            <w:tcW w:w="654" w:type="dxa"/>
            <w:vMerge w:val="continue"/>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p>
        </w:tc>
        <w:tc>
          <w:tcPr>
            <w:tcW w:w="3447" w:type="dxa"/>
            <w:vMerge w:val="continue"/>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p>
        </w:tc>
        <w:tc>
          <w:tcPr>
            <w:tcW w:w="3077"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分析了利用2014年噪声监测网格的合理性，分析了现状噪声不达标区域噪声超标范围及原因。</w:t>
            </w:r>
          </w:p>
        </w:tc>
        <w:tc>
          <w:tcPr>
            <w:tcW w:w="1322"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见正文P101-105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54"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center"/>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3</w:t>
            </w:r>
          </w:p>
        </w:tc>
        <w:tc>
          <w:tcPr>
            <w:tcW w:w="3447"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完善声环境功能区划单元合并、融合和调整依据，单元调整要充分考虑声环境区划单元用地比例、实际用地功能、现状监测结果和相关管理部门意见。</w:t>
            </w:r>
          </w:p>
        </w:tc>
        <w:tc>
          <w:tcPr>
            <w:tcW w:w="3077"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完善了声环境功能区划单元合并、融合和调整依据，单元调整已充分考虑声环境区划单元用地比例、实际用地功能、现状监测结果。</w:t>
            </w:r>
          </w:p>
        </w:tc>
        <w:tc>
          <w:tcPr>
            <w:tcW w:w="1322"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center"/>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见正文P83-88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54"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center"/>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4</w:t>
            </w:r>
          </w:p>
        </w:tc>
        <w:tc>
          <w:tcPr>
            <w:tcW w:w="3447"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结合现状工业用地情况、近期工业发展布局、工业用地类型、道路分布及规划情况，合理调整功能区划定结果，补充划定3类声环境功能区范围的依据。</w:t>
            </w:r>
          </w:p>
        </w:tc>
        <w:tc>
          <w:tcPr>
            <w:tcW w:w="3077"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已结合现状工业用地情况、近期工业发展布局、工业用地类型、道路分布及规划情况，合理调整了功能区划定结果，补充了划定3类声环境功能区范围的依据。</w:t>
            </w:r>
          </w:p>
        </w:tc>
        <w:tc>
          <w:tcPr>
            <w:tcW w:w="1322"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center"/>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见正文P92-96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654" w:type="dxa"/>
            <w:vMerge w:val="restart"/>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center"/>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5</w:t>
            </w:r>
          </w:p>
        </w:tc>
        <w:tc>
          <w:tcPr>
            <w:tcW w:w="3447" w:type="dxa"/>
            <w:vMerge w:val="restart"/>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进一步完善噪声区划结果的可达性分析；按照3类区声环境功能区划结果和噪声超标分布特点，提出针对性的噪声控制措施。核实各功能区具体边界范围，给出各区域的边界范围说明；按要求规范成果图件及噪声现状监测报告。</w:t>
            </w:r>
          </w:p>
        </w:tc>
        <w:tc>
          <w:tcPr>
            <w:tcW w:w="3077"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进一步完善了噪声区划结果的可达性分析。</w:t>
            </w:r>
          </w:p>
        </w:tc>
        <w:tc>
          <w:tcPr>
            <w:tcW w:w="1322"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center"/>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详见第六章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654" w:type="dxa"/>
            <w:vMerge w:val="continue"/>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center"/>
              <w:textAlignment w:val="auto"/>
              <w:outlineLvl w:val="9"/>
              <w:rPr>
                <w:rFonts w:hint="eastAsia" w:cs="Times New Roman" w:eastAsiaTheme="minorEastAsia"/>
                <w:color w:val="auto"/>
                <w:sz w:val="28"/>
                <w:szCs w:val="28"/>
                <w:vertAlign w:val="baseline"/>
                <w:lang w:val="en-US" w:eastAsia="zh-CN"/>
              </w:rPr>
            </w:pPr>
          </w:p>
        </w:tc>
        <w:tc>
          <w:tcPr>
            <w:tcW w:w="3447" w:type="dxa"/>
            <w:vMerge w:val="continue"/>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p>
        </w:tc>
        <w:tc>
          <w:tcPr>
            <w:tcW w:w="3077"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已按照3类区声环境功能区划结果和噪声超标分布特点，提出了针对性的噪声控制措施。</w:t>
            </w:r>
          </w:p>
        </w:tc>
        <w:tc>
          <w:tcPr>
            <w:tcW w:w="1322"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center"/>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见正文P107-108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654" w:type="dxa"/>
            <w:vMerge w:val="continue"/>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default"/>
              </w:rPr>
            </w:pPr>
          </w:p>
        </w:tc>
        <w:tc>
          <w:tcPr>
            <w:tcW w:w="3447" w:type="dxa"/>
            <w:vMerge w:val="continue"/>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default"/>
              </w:rPr>
            </w:pPr>
          </w:p>
        </w:tc>
        <w:tc>
          <w:tcPr>
            <w:tcW w:w="3077"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核实了各功能区具体边界范围，给出了各区域的边界范围说明。</w:t>
            </w:r>
          </w:p>
        </w:tc>
        <w:tc>
          <w:tcPr>
            <w:tcW w:w="1322"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见正文P112-116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654" w:type="dxa"/>
            <w:vMerge w:val="continue"/>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p>
        </w:tc>
        <w:tc>
          <w:tcPr>
            <w:tcW w:w="3447" w:type="dxa"/>
            <w:vMerge w:val="continue"/>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p>
        </w:tc>
        <w:tc>
          <w:tcPr>
            <w:tcW w:w="3077"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按要求规范了成果图件及噪声现状监测报告。</w:t>
            </w:r>
          </w:p>
        </w:tc>
        <w:tc>
          <w:tcPr>
            <w:tcW w:w="1322" w:type="dxa"/>
            <w:tcBorders>
              <w:tl2br w:val="nil"/>
              <w:tr2bl w:val="nil"/>
            </w:tcBorders>
            <w:vAlign w:val="center"/>
          </w:tcPr>
          <w:p>
            <w:pPr>
              <w:pStyle w:val="4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outlineLvl w:val="9"/>
              <w:rPr>
                <w:rFonts w:hint="eastAsia" w:cs="Times New Roman" w:eastAsiaTheme="minorEastAsia"/>
                <w:color w:val="auto"/>
                <w:sz w:val="28"/>
                <w:szCs w:val="28"/>
                <w:vertAlign w:val="baseline"/>
                <w:lang w:val="en-US" w:eastAsia="zh-CN"/>
              </w:rPr>
            </w:pPr>
            <w:r>
              <w:rPr>
                <w:rFonts w:hint="eastAsia" w:cs="Times New Roman" w:eastAsiaTheme="minorEastAsia"/>
                <w:color w:val="auto"/>
                <w:sz w:val="28"/>
                <w:szCs w:val="28"/>
                <w:vertAlign w:val="baseline"/>
                <w:lang w:val="en-US" w:eastAsia="zh-CN"/>
              </w:rPr>
              <w:t>见图集及附件</w:t>
            </w:r>
          </w:p>
        </w:tc>
      </w:tr>
    </w:tbl>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Times New Roman" w:hAnsi="Times New Roman" w:cs="Times New Roman" w:eastAsiaTheme="minorEastAsia"/>
          <w:color w:val="auto"/>
          <w:sz w:val="24"/>
          <w:szCs w:val="24"/>
        </w:rPr>
      </w:pPr>
    </w:p>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sectPr>
          <w:headerReference r:id="rId8" w:type="first"/>
          <w:footerReference r:id="rId11" w:type="first"/>
          <w:headerReference r:id="rId6" w:type="default"/>
          <w:footerReference r:id="rId9" w:type="default"/>
          <w:headerReference r:id="rId7" w:type="even"/>
          <w:footerReference r:id="rId10" w:type="even"/>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19"/>
        <w:snapToGrid w:val="0"/>
        <w:rPr>
          <w:rFonts w:hint="default" w:ascii="Times New Roman" w:hAnsi="Times New Roman" w:cs="Times New Roman" w:eastAsiaTheme="minorEastAsia"/>
          <w:sz w:val="30"/>
          <w:szCs w:val="30"/>
        </w:rPr>
      </w:pPr>
      <w:r>
        <w:rPr>
          <w:rFonts w:hint="default" w:ascii="Times New Roman" w:hAnsi="Times New Roman" w:cs="Times New Roman" w:eastAsiaTheme="minorEastAsia"/>
          <w:sz w:val="30"/>
          <w:szCs w:val="30"/>
        </w:rPr>
        <w:t>目</w:t>
      </w:r>
      <w:r>
        <w:rPr>
          <w:rFonts w:hint="eastAsia" w:cs="Times New Roman" w:eastAsiaTheme="minorEastAsia"/>
          <w:sz w:val="30"/>
          <w:szCs w:val="30"/>
          <w:lang w:val="en-US" w:eastAsia="zh-CN"/>
        </w:rPr>
        <w:t xml:space="preserve">  </w:t>
      </w:r>
      <w:r>
        <w:rPr>
          <w:rFonts w:hint="default" w:ascii="Times New Roman" w:hAnsi="Times New Roman" w:cs="Times New Roman" w:eastAsiaTheme="minorEastAsia"/>
          <w:sz w:val="30"/>
          <w:szCs w:val="30"/>
        </w:rPr>
        <w:t>录</w:t>
      </w:r>
    </w:p>
    <w:p>
      <w:pPr>
        <w:pStyle w:val="19"/>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 w:val="28"/>
          <w:szCs w:val="28"/>
          <w:highlight w:val="yellow"/>
        </w:rPr>
        <w:fldChar w:fldCharType="begin"/>
      </w:r>
      <w:r>
        <w:rPr>
          <w:rFonts w:hint="default" w:ascii="Times New Roman" w:hAnsi="Times New Roman" w:cs="Times New Roman" w:eastAsiaTheme="minorEastAsia"/>
          <w:sz w:val="28"/>
          <w:szCs w:val="28"/>
          <w:highlight w:val="yellow"/>
        </w:rPr>
        <w:instrText xml:space="preserve">TOC \o "1-2" \h \z \u</w:instrText>
      </w:r>
      <w:r>
        <w:rPr>
          <w:rFonts w:hint="default" w:ascii="Times New Roman" w:hAnsi="Times New Roman" w:cs="Times New Roman" w:eastAsiaTheme="minorEastAsia"/>
          <w:sz w:val="28"/>
          <w:szCs w:val="28"/>
          <w:highlight w:val="yellow"/>
        </w:rPr>
        <w:fldChar w:fldCharType="separate"/>
      </w: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_Toc4907 </w:instrText>
      </w:r>
      <w:r>
        <w:rPr>
          <w:rFonts w:hint="default" w:ascii="Times New Roman" w:hAnsi="Times New Roman" w:cs="Times New Roman" w:eastAsiaTheme="minorEastAsia"/>
          <w:szCs w:val="28"/>
          <w:highlight w:val="yellow"/>
        </w:rPr>
        <w:fldChar w:fldCharType="separate"/>
      </w:r>
      <w:r>
        <w:rPr>
          <w:rFonts w:hint="default" w:ascii="Times New Roman" w:hAnsi="Times New Roman" w:cs="Times New Roman" w:eastAsiaTheme="minorEastAsia"/>
          <w:szCs w:val="32"/>
          <w:highlight w:val="none"/>
          <w:lang w:val="en-US" w:eastAsia="zh-CN"/>
        </w:rPr>
        <w:t>1</w:t>
      </w:r>
      <w:r>
        <w:rPr>
          <w:rFonts w:hint="default" w:ascii="Times New Roman" w:hAnsi="Times New Roman" w:cs="Times New Roman" w:eastAsiaTheme="minorEastAsia"/>
          <w:szCs w:val="32"/>
          <w:highlight w:val="none"/>
        </w:rPr>
        <w:t>总论</w:t>
      </w:r>
      <w:r>
        <w:tab/>
      </w:r>
      <w:r>
        <w:fldChar w:fldCharType="begin"/>
      </w:r>
      <w:r>
        <w:instrText xml:space="preserve"> PAGEREF _Toc4907 </w:instrText>
      </w:r>
      <w:r>
        <w:fldChar w:fldCharType="separate"/>
      </w:r>
      <w:r>
        <w:t>3</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_Toc25883 </w:instrText>
      </w:r>
      <w:r>
        <w:rPr>
          <w:rFonts w:hint="default" w:ascii="Times New Roman" w:hAnsi="Times New Roman" w:cs="Times New Roman" w:eastAsiaTheme="minorEastAsia"/>
          <w:szCs w:val="28"/>
          <w:highlight w:val="yellow"/>
        </w:rPr>
        <w:fldChar w:fldCharType="separate"/>
      </w:r>
      <w:r>
        <w:rPr>
          <w:rFonts w:hint="default" w:ascii="Times New Roman" w:hAnsi="Times New Roman" w:cs="Times New Roman" w:eastAsiaTheme="minorEastAsia"/>
          <w:szCs w:val="30"/>
          <w:highlight w:val="none"/>
          <w:lang w:val="en-US" w:eastAsia="zh-CN"/>
        </w:rPr>
        <w:t>1.1</w:t>
      </w:r>
      <w:r>
        <w:rPr>
          <w:rFonts w:hint="default" w:ascii="Times New Roman" w:hAnsi="Times New Roman" w:cs="Times New Roman" w:eastAsiaTheme="minorEastAsia"/>
          <w:szCs w:val="30"/>
          <w:highlight w:val="none"/>
        </w:rPr>
        <w:t>背景</w:t>
      </w:r>
      <w:r>
        <w:tab/>
      </w:r>
      <w:r>
        <w:fldChar w:fldCharType="begin"/>
      </w:r>
      <w:r>
        <w:instrText xml:space="preserve"> PAGEREF _Toc25883 </w:instrText>
      </w:r>
      <w:r>
        <w:fldChar w:fldCharType="separate"/>
      </w:r>
      <w:r>
        <w:t>3</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_Toc14919 </w:instrText>
      </w:r>
      <w:r>
        <w:rPr>
          <w:rFonts w:hint="default" w:ascii="Times New Roman" w:hAnsi="Times New Roman" w:cs="Times New Roman" w:eastAsiaTheme="minorEastAsia"/>
          <w:szCs w:val="28"/>
          <w:highlight w:val="yellow"/>
        </w:rPr>
        <w:fldChar w:fldCharType="separate"/>
      </w:r>
      <w:r>
        <w:rPr>
          <w:rFonts w:hint="default" w:ascii="Times New Roman" w:hAnsi="Times New Roman" w:cs="Times New Roman" w:eastAsiaTheme="minorEastAsia"/>
          <w:szCs w:val="30"/>
          <w:highlight w:val="none"/>
          <w:lang w:val="en-US" w:eastAsia="zh-CN"/>
        </w:rPr>
        <w:t>1.2区划依据</w:t>
      </w:r>
      <w:r>
        <w:tab/>
      </w:r>
      <w:r>
        <w:fldChar w:fldCharType="begin"/>
      </w:r>
      <w:r>
        <w:instrText xml:space="preserve"> PAGEREF _Toc14919 </w:instrText>
      </w:r>
      <w:r>
        <w:fldChar w:fldCharType="separate"/>
      </w:r>
      <w:r>
        <w:t>4</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_Toc10876 </w:instrText>
      </w:r>
      <w:r>
        <w:rPr>
          <w:rFonts w:hint="default" w:ascii="Times New Roman" w:hAnsi="Times New Roman" w:cs="Times New Roman" w:eastAsiaTheme="minorEastAsia"/>
          <w:szCs w:val="28"/>
          <w:highlight w:val="yellow"/>
        </w:rPr>
        <w:fldChar w:fldCharType="separate"/>
      </w:r>
      <w:r>
        <w:rPr>
          <w:rFonts w:hint="default" w:ascii="Times New Roman" w:hAnsi="Times New Roman" w:cs="Times New Roman" w:eastAsiaTheme="minorEastAsia"/>
          <w:szCs w:val="30"/>
          <w:highlight w:val="none"/>
          <w:lang w:val="en-US" w:eastAsia="zh-CN"/>
        </w:rPr>
        <w:t>1.3区划适用范围</w:t>
      </w:r>
      <w:r>
        <w:rPr>
          <w:rFonts w:hint="eastAsia" w:ascii="Times New Roman" w:hAnsi="Times New Roman" w:cs="Times New Roman" w:eastAsiaTheme="minorEastAsia"/>
          <w:szCs w:val="30"/>
          <w:highlight w:val="none"/>
          <w:lang w:val="en-US" w:eastAsia="zh-CN"/>
        </w:rPr>
        <w:t>及适用时限</w:t>
      </w:r>
      <w:r>
        <w:tab/>
      </w:r>
      <w:r>
        <w:fldChar w:fldCharType="begin"/>
      </w:r>
      <w:r>
        <w:instrText xml:space="preserve"> PAGEREF _Toc10876 </w:instrText>
      </w:r>
      <w:r>
        <w:fldChar w:fldCharType="separate"/>
      </w:r>
      <w:r>
        <w:t>5</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_Toc22687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0"/>
          <w:highlight w:val="none"/>
          <w:lang w:val="en-US" w:eastAsia="zh-CN"/>
        </w:rPr>
        <w:t>1.4</w:t>
      </w:r>
      <w:r>
        <w:rPr>
          <w:rFonts w:hint="eastAsia" w:ascii="Times New Roman" w:hAnsi="Times New Roman" w:cs="Times New Roman" w:eastAsiaTheme="minorEastAsia"/>
          <w:szCs w:val="30"/>
          <w:highlight w:val="none"/>
          <w:lang w:val="en-US" w:eastAsia="zh-CN"/>
        </w:rPr>
        <w:t>区划工作的目的和意义</w:t>
      </w:r>
      <w:r>
        <w:tab/>
      </w:r>
      <w:r>
        <w:fldChar w:fldCharType="begin"/>
      </w:r>
      <w:r>
        <w:instrText xml:space="preserve"> PAGEREF _Toc22687 </w:instrText>
      </w:r>
      <w:r>
        <w:fldChar w:fldCharType="separate"/>
      </w:r>
      <w:r>
        <w:t>5</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_Toc10278 </w:instrText>
      </w:r>
      <w:r>
        <w:rPr>
          <w:rFonts w:hint="default" w:ascii="Times New Roman" w:hAnsi="Times New Roman" w:cs="Times New Roman" w:eastAsiaTheme="minorEastAsia"/>
          <w:szCs w:val="28"/>
          <w:highlight w:val="yellow"/>
        </w:rPr>
        <w:fldChar w:fldCharType="separate"/>
      </w:r>
      <w:r>
        <w:rPr>
          <w:rFonts w:hint="default" w:ascii="Times New Roman" w:hAnsi="Times New Roman" w:cs="Times New Roman" w:eastAsiaTheme="minorEastAsia"/>
          <w:szCs w:val="30"/>
          <w:highlight w:val="none"/>
          <w:lang w:val="en-US" w:eastAsia="zh-CN"/>
        </w:rPr>
        <w:t>1.</w:t>
      </w:r>
      <w:r>
        <w:rPr>
          <w:rFonts w:hint="eastAsia" w:cs="Times New Roman" w:eastAsiaTheme="minorEastAsia"/>
          <w:szCs w:val="30"/>
          <w:highlight w:val="none"/>
          <w:lang w:val="en-US" w:eastAsia="zh-CN"/>
        </w:rPr>
        <w:t>5</w:t>
      </w:r>
      <w:r>
        <w:rPr>
          <w:rFonts w:hint="default" w:ascii="Times New Roman" w:hAnsi="Times New Roman" w:cs="Times New Roman" w:eastAsiaTheme="minorEastAsia"/>
          <w:szCs w:val="30"/>
          <w:highlight w:val="none"/>
          <w:lang w:val="en-US" w:eastAsia="zh-CN"/>
        </w:rPr>
        <w:t>区划的原则</w:t>
      </w:r>
      <w:r>
        <w:tab/>
      </w:r>
      <w:r>
        <w:fldChar w:fldCharType="begin"/>
      </w:r>
      <w:r>
        <w:instrText xml:space="preserve"> PAGEREF _Toc10278 </w:instrText>
      </w:r>
      <w:r>
        <w:fldChar w:fldCharType="separate"/>
      </w:r>
      <w:r>
        <w:t>6</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_Toc26927 </w:instrText>
      </w:r>
      <w:r>
        <w:rPr>
          <w:rFonts w:hint="default" w:ascii="Times New Roman" w:hAnsi="Times New Roman" w:cs="Times New Roman" w:eastAsiaTheme="minorEastAsia"/>
          <w:szCs w:val="28"/>
          <w:highlight w:val="yellow"/>
        </w:rPr>
        <w:fldChar w:fldCharType="separate"/>
      </w:r>
      <w:r>
        <w:rPr>
          <w:rFonts w:hint="default" w:ascii="Times New Roman" w:hAnsi="Times New Roman" w:cs="Times New Roman" w:eastAsiaTheme="minorEastAsia"/>
          <w:szCs w:val="30"/>
          <w:highlight w:val="none"/>
          <w:lang w:val="en-US" w:eastAsia="zh-CN"/>
        </w:rPr>
        <w:t>1.</w:t>
      </w:r>
      <w:r>
        <w:rPr>
          <w:rFonts w:hint="eastAsia" w:cs="Times New Roman" w:eastAsiaTheme="minorEastAsia"/>
          <w:szCs w:val="30"/>
          <w:highlight w:val="none"/>
          <w:lang w:val="en-US" w:eastAsia="zh-CN"/>
        </w:rPr>
        <w:t>6</w:t>
      </w:r>
      <w:r>
        <w:rPr>
          <w:rFonts w:hint="default" w:ascii="Times New Roman" w:hAnsi="Times New Roman" w:cs="Times New Roman" w:eastAsiaTheme="minorEastAsia"/>
          <w:szCs w:val="30"/>
          <w:highlight w:val="none"/>
          <w:lang w:val="en-US" w:eastAsia="zh-CN"/>
        </w:rPr>
        <w:t>区划的技术路线</w:t>
      </w:r>
      <w:r>
        <w:tab/>
      </w:r>
      <w:r>
        <w:fldChar w:fldCharType="begin"/>
      </w:r>
      <w:r>
        <w:instrText xml:space="preserve"> PAGEREF _Toc26927 </w:instrText>
      </w:r>
      <w:r>
        <w:fldChar w:fldCharType="separate"/>
      </w:r>
      <w:r>
        <w:t>7</w:t>
      </w:r>
      <w:r>
        <w:fldChar w:fldCharType="end"/>
      </w:r>
      <w:r>
        <w:rPr>
          <w:rFonts w:hint="default" w:ascii="Times New Roman" w:hAnsi="Times New Roman" w:cs="Times New Roman" w:eastAsiaTheme="minorEastAsia"/>
          <w:szCs w:val="28"/>
          <w:highlight w:val="yellow"/>
        </w:rPr>
        <w:fldChar w:fldCharType="end"/>
      </w:r>
    </w:p>
    <w:p>
      <w:pPr>
        <w:pStyle w:val="19"/>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_Toc7914 </w:instrText>
      </w:r>
      <w:r>
        <w:rPr>
          <w:rFonts w:hint="default" w:ascii="Times New Roman" w:hAnsi="Times New Roman" w:cs="Times New Roman" w:eastAsiaTheme="minorEastAsia"/>
          <w:szCs w:val="28"/>
          <w:highlight w:val="yellow"/>
        </w:rPr>
        <w:fldChar w:fldCharType="separate"/>
      </w:r>
      <w:r>
        <w:rPr>
          <w:rFonts w:hint="default" w:ascii="Times New Roman" w:hAnsi="Times New Roman" w:cs="Times New Roman" w:eastAsiaTheme="minorEastAsia"/>
          <w:szCs w:val="32"/>
          <w:highlight w:val="none"/>
          <w:lang w:val="en-US" w:eastAsia="zh-CN"/>
        </w:rPr>
        <w:t>2区域自然、社会经济环境概况</w:t>
      </w:r>
      <w:r>
        <w:tab/>
      </w:r>
      <w:r>
        <w:fldChar w:fldCharType="begin"/>
      </w:r>
      <w:r>
        <w:instrText xml:space="preserve"> PAGEREF _Toc7914 </w:instrText>
      </w:r>
      <w:r>
        <w:fldChar w:fldCharType="separate"/>
      </w:r>
      <w:r>
        <w:t>9</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_Toc15401 </w:instrText>
      </w:r>
      <w:r>
        <w:rPr>
          <w:rFonts w:hint="default" w:ascii="Times New Roman" w:hAnsi="Times New Roman" w:cs="Times New Roman" w:eastAsiaTheme="minorEastAsia"/>
          <w:szCs w:val="28"/>
          <w:highlight w:val="yellow"/>
        </w:rPr>
        <w:fldChar w:fldCharType="separate"/>
      </w:r>
      <w:r>
        <w:rPr>
          <w:rFonts w:hint="default" w:ascii="Times New Roman" w:hAnsi="Times New Roman" w:cs="Times New Roman" w:eastAsiaTheme="minorEastAsia"/>
          <w:szCs w:val="30"/>
          <w:highlight w:val="none"/>
          <w:lang w:val="en-US" w:eastAsia="zh-CN"/>
        </w:rPr>
        <w:t>2.1自然环境概况</w:t>
      </w:r>
      <w:r>
        <w:tab/>
      </w:r>
      <w:r>
        <w:fldChar w:fldCharType="begin"/>
      </w:r>
      <w:r>
        <w:instrText xml:space="preserve"> PAGEREF _Toc15401 </w:instrText>
      </w:r>
      <w:r>
        <w:fldChar w:fldCharType="separate"/>
      </w:r>
      <w:r>
        <w:t>9</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_Toc28237 </w:instrText>
      </w:r>
      <w:r>
        <w:rPr>
          <w:rFonts w:hint="default" w:ascii="Times New Roman" w:hAnsi="Times New Roman" w:cs="Times New Roman" w:eastAsiaTheme="minorEastAsia"/>
          <w:szCs w:val="28"/>
          <w:highlight w:val="yellow"/>
        </w:rPr>
        <w:fldChar w:fldCharType="separate"/>
      </w:r>
      <w:r>
        <w:rPr>
          <w:rFonts w:hint="default" w:ascii="Times New Roman" w:hAnsi="Times New Roman" w:cs="Times New Roman" w:eastAsiaTheme="minorEastAsia"/>
          <w:szCs w:val="30"/>
          <w:highlight w:val="none"/>
          <w:lang w:val="en-US" w:eastAsia="zh-CN"/>
        </w:rPr>
        <w:t>2.2社会经济概况</w:t>
      </w:r>
      <w:r>
        <w:tab/>
      </w:r>
      <w:r>
        <w:fldChar w:fldCharType="begin"/>
      </w:r>
      <w:r>
        <w:instrText xml:space="preserve"> PAGEREF _Toc28237 </w:instrText>
      </w:r>
      <w:r>
        <w:fldChar w:fldCharType="separate"/>
      </w:r>
      <w:r>
        <w:t>16</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_Toc10923 </w:instrText>
      </w:r>
      <w:r>
        <w:rPr>
          <w:rFonts w:hint="default" w:ascii="Times New Roman" w:hAnsi="Times New Roman" w:cs="Times New Roman" w:eastAsiaTheme="minorEastAsia"/>
          <w:szCs w:val="28"/>
          <w:highlight w:val="yellow"/>
        </w:rPr>
        <w:fldChar w:fldCharType="separate"/>
      </w:r>
      <w:r>
        <w:rPr>
          <w:rFonts w:hint="default" w:ascii="Times New Roman" w:hAnsi="Times New Roman" w:cs="Times New Roman" w:eastAsiaTheme="minorEastAsia"/>
          <w:szCs w:val="30"/>
          <w:highlight w:val="none"/>
          <w:lang w:val="en-US" w:eastAsia="zh-CN"/>
        </w:rPr>
        <w:t>2.3区域环境质量现状</w:t>
      </w:r>
      <w:r>
        <w:tab/>
      </w:r>
      <w:r>
        <w:fldChar w:fldCharType="begin"/>
      </w:r>
      <w:r>
        <w:instrText xml:space="preserve"> PAGEREF _Toc10923 </w:instrText>
      </w:r>
      <w:r>
        <w:fldChar w:fldCharType="separate"/>
      </w:r>
      <w:r>
        <w:t>20</w:t>
      </w:r>
      <w:r>
        <w:fldChar w:fldCharType="end"/>
      </w:r>
      <w:r>
        <w:rPr>
          <w:rFonts w:hint="default" w:ascii="Times New Roman" w:hAnsi="Times New Roman" w:cs="Times New Roman" w:eastAsiaTheme="minorEastAsia"/>
          <w:szCs w:val="28"/>
          <w:highlight w:val="yellow"/>
        </w:rPr>
        <w:fldChar w:fldCharType="end"/>
      </w:r>
    </w:p>
    <w:p>
      <w:pPr>
        <w:pStyle w:val="19"/>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_Toc27613 </w:instrText>
      </w:r>
      <w:r>
        <w:rPr>
          <w:rFonts w:hint="default" w:ascii="Times New Roman" w:hAnsi="Times New Roman" w:cs="Times New Roman" w:eastAsiaTheme="minorEastAsia"/>
          <w:szCs w:val="28"/>
          <w:highlight w:val="yellow"/>
        </w:rPr>
        <w:fldChar w:fldCharType="separate"/>
      </w:r>
      <w:r>
        <w:rPr>
          <w:rFonts w:hint="eastAsia" w:ascii="Times New Roman" w:hAnsi="Times New Roman" w:cs="Times New Roman" w:eastAsiaTheme="minorEastAsia"/>
          <w:szCs w:val="32"/>
          <w:highlight w:val="none"/>
          <w:lang w:val="en-US" w:eastAsia="zh-CN"/>
        </w:rPr>
        <w:t>3</w:t>
      </w:r>
      <w:r>
        <w:rPr>
          <w:rFonts w:hint="default" w:ascii="Times New Roman" w:hAnsi="Times New Roman" w:cs="Times New Roman" w:eastAsiaTheme="minorEastAsia"/>
          <w:szCs w:val="32"/>
          <w:highlight w:val="none"/>
          <w:lang w:val="en-US" w:eastAsia="zh-CN"/>
        </w:rPr>
        <w:t>城市规划及现行声环境功能区划</w:t>
      </w:r>
      <w:r>
        <w:tab/>
      </w:r>
      <w:r>
        <w:fldChar w:fldCharType="begin"/>
      </w:r>
      <w:r>
        <w:instrText xml:space="preserve"> PAGEREF _Toc27613 </w:instrText>
      </w:r>
      <w:r>
        <w:fldChar w:fldCharType="separate"/>
      </w:r>
      <w:r>
        <w:t>22</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_Toc14676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0"/>
          <w:highlight w:val="none"/>
          <w:lang w:val="en-US" w:eastAsia="zh-CN"/>
        </w:rPr>
        <w:t>3.1</w:t>
      </w:r>
      <w:r>
        <w:rPr>
          <w:rFonts w:hint="default" w:ascii="Times New Roman" w:hAnsi="Times New Roman" w:cs="Times New Roman" w:eastAsiaTheme="minorEastAsia"/>
          <w:szCs w:val="30"/>
          <w:highlight w:val="none"/>
          <w:lang w:val="en-US" w:eastAsia="zh-CN"/>
        </w:rPr>
        <w:t>城市总体规划概况</w:t>
      </w:r>
      <w:r>
        <w:tab/>
      </w:r>
      <w:r>
        <w:fldChar w:fldCharType="begin"/>
      </w:r>
      <w:r>
        <w:instrText xml:space="preserve"> PAGEREF _Toc14676 </w:instrText>
      </w:r>
      <w:r>
        <w:fldChar w:fldCharType="separate"/>
      </w:r>
      <w:r>
        <w:t>22</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_Toc508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0"/>
          <w:highlight w:val="none"/>
          <w:lang w:val="en-US" w:eastAsia="zh-CN"/>
        </w:rPr>
        <w:t>3.2</w:t>
      </w:r>
      <w:r>
        <w:rPr>
          <w:rFonts w:hint="default" w:cs="Times New Roman" w:eastAsiaTheme="minorEastAsia"/>
          <w:szCs w:val="30"/>
          <w:highlight w:val="none"/>
          <w:lang w:val="en-US" w:eastAsia="zh-CN"/>
        </w:rPr>
        <w:t>现行</w:t>
      </w:r>
      <w:r>
        <w:rPr>
          <w:rFonts w:hint="eastAsia" w:cs="Times New Roman" w:eastAsiaTheme="minorEastAsia"/>
          <w:szCs w:val="30"/>
          <w:highlight w:val="none"/>
          <w:lang w:val="en-US" w:eastAsia="zh-CN"/>
        </w:rPr>
        <w:t>声环境功能区划</w:t>
      </w:r>
      <w:r>
        <w:tab/>
      </w:r>
      <w:r>
        <w:fldChar w:fldCharType="begin"/>
      </w:r>
      <w:r>
        <w:instrText xml:space="preserve"> PAGEREF _Toc508 </w:instrText>
      </w:r>
      <w:r>
        <w:fldChar w:fldCharType="separate"/>
      </w:r>
      <w:r>
        <w:t>31</w:t>
      </w:r>
      <w:r>
        <w:fldChar w:fldCharType="end"/>
      </w:r>
      <w:r>
        <w:rPr>
          <w:rFonts w:hint="default" w:ascii="Times New Roman" w:hAnsi="Times New Roman" w:cs="Times New Roman" w:eastAsiaTheme="minorEastAsia"/>
          <w:szCs w:val="28"/>
          <w:highlight w:val="yellow"/>
        </w:rPr>
        <w:fldChar w:fldCharType="end"/>
      </w:r>
    </w:p>
    <w:p>
      <w:pPr>
        <w:pStyle w:val="19"/>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_Toc10314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2"/>
          <w:highlight w:val="none"/>
          <w:lang w:val="en-US" w:eastAsia="zh-CN"/>
        </w:rPr>
        <w:t>4</w:t>
      </w:r>
      <w:r>
        <w:rPr>
          <w:rFonts w:hint="default" w:ascii="Times New Roman" w:hAnsi="Times New Roman" w:cs="Times New Roman" w:eastAsiaTheme="minorEastAsia"/>
          <w:szCs w:val="32"/>
          <w:highlight w:val="none"/>
          <w:lang w:val="en-US" w:eastAsia="zh-CN"/>
        </w:rPr>
        <w:t>城市噪声环境现状调查与分析</w:t>
      </w:r>
      <w:r>
        <w:tab/>
      </w:r>
      <w:r>
        <w:fldChar w:fldCharType="begin"/>
      </w:r>
      <w:r>
        <w:instrText xml:space="preserve"> PAGEREF _Toc10314 </w:instrText>
      </w:r>
      <w:r>
        <w:fldChar w:fldCharType="separate"/>
      </w:r>
      <w:r>
        <w:t>33</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_Toc14913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0"/>
          <w:highlight w:val="none"/>
          <w:lang w:val="en-US" w:eastAsia="zh-CN"/>
        </w:rPr>
        <w:t>4.1</w:t>
      </w:r>
      <w:r>
        <w:rPr>
          <w:rFonts w:hint="default" w:cs="Times New Roman" w:eastAsiaTheme="minorEastAsia"/>
          <w:szCs w:val="30"/>
          <w:highlight w:val="none"/>
          <w:lang w:val="en-US" w:eastAsia="zh-CN"/>
        </w:rPr>
        <w:t>现状调查的目的</w:t>
      </w:r>
      <w:r>
        <w:tab/>
      </w:r>
      <w:r>
        <w:fldChar w:fldCharType="begin"/>
      </w:r>
      <w:r>
        <w:instrText xml:space="preserve"> PAGEREF _Toc14913 </w:instrText>
      </w:r>
      <w:r>
        <w:fldChar w:fldCharType="separate"/>
      </w:r>
      <w:r>
        <w:t>33</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_Toc9391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0"/>
          <w:highlight w:val="none"/>
          <w:lang w:val="en-US" w:eastAsia="zh-CN"/>
        </w:rPr>
        <w:t>4.2现状调查资料来源</w:t>
      </w:r>
      <w:r>
        <w:tab/>
      </w:r>
      <w:r>
        <w:fldChar w:fldCharType="begin"/>
      </w:r>
      <w:r>
        <w:instrText xml:space="preserve"> PAGEREF _Toc9391 </w:instrText>
      </w:r>
      <w:r>
        <w:fldChar w:fldCharType="separate"/>
      </w:r>
      <w:r>
        <w:t>33</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_Toc14235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0"/>
          <w:highlight w:val="none"/>
          <w:lang w:val="en-US" w:eastAsia="zh-CN"/>
        </w:rPr>
        <w:t>4.2</w:t>
      </w:r>
      <w:r>
        <w:rPr>
          <w:rFonts w:hint="default" w:cs="Times New Roman" w:eastAsiaTheme="minorEastAsia"/>
          <w:szCs w:val="30"/>
          <w:highlight w:val="none"/>
          <w:lang w:val="en-US" w:eastAsia="zh-CN"/>
        </w:rPr>
        <w:t>区域环境噪声现状监测</w:t>
      </w:r>
      <w:r>
        <w:tab/>
      </w:r>
      <w:r>
        <w:fldChar w:fldCharType="begin"/>
      </w:r>
      <w:r>
        <w:instrText xml:space="preserve"> PAGEREF _Toc14235 </w:instrText>
      </w:r>
      <w:r>
        <w:fldChar w:fldCharType="separate"/>
      </w:r>
      <w:r>
        <w:t>33</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_Toc11936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0"/>
          <w:highlight w:val="none"/>
          <w:lang w:val="en-US" w:eastAsia="zh-CN"/>
        </w:rPr>
        <w:t>4.3</w:t>
      </w:r>
      <w:r>
        <w:rPr>
          <w:rFonts w:hint="default" w:cs="Times New Roman" w:eastAsiaTheme="minorEastAsia"/>
          <w:szCs w:val="30"/>
          <w:highlight w:val="none"/>
          <w:lang w:val="en-US" w:eastAsia="zh-CN"/>
        </w:rPr>
        <w:t>道路交通噪声现状监测</w:t>
      </w:r>
      <w:r>
        <w:tab/>
      </w:r>
      <w:r>
        <w:fldChar w:fldCharType="begin"/>
      </w:r>
      <w:r>
        <w:instrText xml:space="preserve"> PAGEREF _Toc11936 </w:instrText>
      </w:r>
      <w:r>
        <w:fldChar w:fldCharType="separate"/>
      </w:r>
      <w:r>
        <w:t>38</w:t>
      </w:r>
      <w:r>
        <w:fldChar w:fldCharType="end"/>
      </w:r>
      <w:r>
        <w:rPr>
          <w:rFonts w:hint="default" w:ascii="Times New Roman" w:hAnsi="Times New Roman" w:cs="Times New Roman" w:eastAsiaTheme="minorEastAsia"/>
          <w:szCs w:val="28"/>
          <w:highlight w:val="yellow"/>
        </w:rPr>
        <w:fldChar w:fldCharType="end"/>
      </w:r>
    </w:p>
    <w:p>
      <w:pPr>
        <w:pStyle w:val="19"/>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_Toc1759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2"/>
          <w:highlight w:val="none"/>
          <w:lang w:val="en-US" w:eastAsia="zh-CN"/>
        </w:rPr>
        <w:t>5</w:t>
      </w:r>
      <w:r>
        <w:rPr>
          <w:rFonts w:hint="default" w:cs="Times New Roman" w:eastAsiaTheme="minorEastAsia"/>
          <w:szCs w:val="32"/>
          <w:highlight w:val="none"/>
          <w:lang w:val="en-US" w:eastAsia="zh-CN"/>
        </w:rPr>
        <w:t>城乡区域环境噪声适用区划分方案</w:t>
      </w:r>
      <w:r>
        <w:tab/>
      </w:r>
      <w:r>
        <w:fldChar w:fldCharType="begin"/>
      </w:r>
      <w:r>
        <w:instrText xml:space="preserve"> PAGEREF _Toc1759 </w:instrText>
      </w:r>
      <w:r>
        <w:fldChar w:fldCharType="separate"/>
      </w:r>
      <w:r>
        <w:t>42</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_Toc8235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0"/>
          <w:highlight w:val="none"/>
          <w:lang w:val="en-US" w:eastAsia="zh-CN"/>
        </w:rPr>
        <w:t>5.1</w:t>
      </w:r>
      <w:r>
        <w:rPr>
          <w:rFonts w:hint="default" w:cs="Times New Roman" w:eastAsiaTheme="minorEastAsia"/>
          <w:szCs w:val="30"/>
          <w:highlight w:val="none"/>
          <w:lang w:val="en-US" w:eastAsia="zh-CN"/>
        </w:rPr>
        <w:t>声环境功能区分类</w:t>
      </w:r>
      <w:r>
        <w:tab/>
      </w:r>
      <w:r>
        <w:fldChar w:fldCharType="begin"/>
      </w:r>
      <w:r>
        <w:instrText xml:space="preserve"> PAGEREF _Toc8235 </w:instrText>
      </w:r>
      <w:r>
        <w:fldChar w:fldCharType="separate"/>
      </w:r>
      <w:r>
        <w:t>42</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_Toc8291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0"/>
          <w:highlight w:val="none"/>
          <w:lang w:val="en-US" w:eastAsia="zh-CN"/>
        </w:rPr>
        <w:t>5.2</w:t>
      </w:r>
      <w:r>
        <w:rPr>
          <w:rFonts w:hint="default" w:cs="Times New Roman" w:eastAsiaTheme="minorEastAsia"/>
          <w:szCs w:val="30"/>
          <w:highlight w:val="none"/>
          <w:lang w:val="en-US" w:eastAsia="zh-CN"/>
        </w:rPr>
        <w:t>噪声区划的用地指标</w:t>
      </w:r>
      <w:r>
        <w:tab/>
      </w:r>
      <w:r>
        <w:fldChar w:fldCharType="begin"/>
      </w:r>
      <w:r>
        <w:instrText xml:space="preserve"> PAGEREF _Toc8291 </w:instrText>
      </w:r>
      <w:r>
        <w:fldChar w:fldCharType="separate"/>
      </w:r>
      <w:r>
        <w:t>42</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_Toc25815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0"/>
          <w:highlight w:val="none"/>
          <w:lang w:val="en-US" w:eastAsia="zh-CN"/>
        </w:rPr>
        <w:t>5.3</w:t>
      </w:r>
      <w:r>
        <w:rPr>
          <w:rFonts w:hint="default" w:cs="Times New Roman" w:eastAsiaTheme="minorEastAsia"/>
          <w:szCs w:val="30"/>
          <w:highlight w:val="none"/>
          <w:lang w:val="en-US" w:eastAsia="zh-CN"/>
        </w:rPr>
        <w:t>城乡声环境功能区的划分要求</w:t>
      </w:r>
      <w:r>
        <w:tab/>
      </w:r>
      <w:r>
        <w:fldChar w:fldCharType="begin"/>
      </w:r>
      <w:r>
        <w:instrText xml:space="preserve"> PAGEREF _Toc25815 </w:instrText>
      </w:r>
      <w:r>
        <w:fldChar w:fldCharType="separate"/>
      </w:r>
      <w:r>
        <w:t>43</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_Toc3028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0"/>
          <w:highlight w:val="none"/>
          <w:lang w:val="en-US" w:eastAsia="zh-CN"/>
        </w:rPr>
        <w:t>5.4</w:t>
      </w:r>
      <w:r>
        <w:rPr>
          <w:rFonts w:hint="default" w:cs="Times New Roman" w:eastAsiaTheme="minorEastAsia"/>
          <w:szCs w:val="30"/>
          <w:highlight w:val="none"/>
          <w:lang w:val="en-US" w:eastAsia="zh-CN"/>
        </w:rPr>
        <w:t>噪声功能区区划方法</w:t>
      </w:r>
      <w:r>
        <w:tab/>
      </w:r>
      <w:r>
        <w:fldChar w:fldCharType="begin"/>
      </w:r>
      <w:r>
        <w:instrText xml:space="preserve"> PAGEREF _Toc3028 </w:instrText>
      </w:r>
      <w:r>
        <w:fldChar w:fldCharType="separate"/>
      </w:r>
      <w:r>
        <w:t>43</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_Toc11972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0"/>
          <w:highlight w:val="none"/>
          <w:lang w:val="en-US" w:eastAsia="zh-CN"/>
        </w:rPr>
        <w:t>5.5</w:t>
      </w:r>
      <w:r>
        <w:rPr>
          <w:rFonts w:hint="default" w:cs="Times New Roman" w:eastAsiaTheme="minorEastAsia"/>
          <w:szCs w:val="30"/>
          <w:highlight w:val="none"/>
          <w:lang w:val="en-US" w:eastAsia="zh-CN"/>
        </w:rPr>
        <w:t>声环境功能区划分步骤</w:t>
      </w:r>
      <w:r>
        <w:tab/>
      </w:r>
      <w:r>
        <w:fldChar w:fldCharType="begin"/>
      </w:r>
      <w:r>
        <w:instrText xml:space="preserve"> PAGEREF _Toc11972 </w:instrText>
      </w:r>
      <w:r>
        <w:fldChar w:fldCharType="separate"/>
      </w:r>
      <w:r>
        <w:t>47</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_Toc24432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0"/>
          <w:highlight w:val="none"/>
          <w:lang w:val="en-US" w:eastAsia="zh-CN"/>
        </w:rPr>
        <w:t>5.6城市主要交通干道划分</w:t>
      </w:r>
      <w:r>
        <w:tab/>
      </w:r>
      <w:r>
        <w:fldChar w:fldCharType="begin"/>
      </w:r>
      <w:r>
        <w:instrText xml:space="preserve"> PAGEREF _Toc24432 </w:instrText>
      </w:r>
      <w:r>
        <w:fldChar w:fldCharType="separate"/>
      </w:r>
      <w:r>
        <w:t>89</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_Toc7527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0"/>
          <w:highlight w:val="none"/>
          <w:lang w:val="en-US" w:eastAsia="zh-CN"/>
        </w:rPr>
        <w:t>5.7声环境功能区划分结果</w:t>
      </w:r>
      <w:r>
        <w:tab/>
      </w:r>
      <w:r>
        <w:fldChar w:fldCharType="begin"/>
      </w:r>
      <w:r>
        <w:instrText xml:space="preserve"> PAGEREF _Toc7527 </w:instrText>
      </w:r>
      <w:r>
        <w:fldChar w:fldCharType="separate"/>
      </w:r>
      <w:r>
        <w:t>89</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_Toc24129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0"/>
          <w:highlight w:val="none"/>
          <w:lang w:val="en-US" w:eastAsia="zh-CN"/>
        </w:rPr>
        <w:t>5.8本次区划结果与上期区划结果对比</w:t>
      </w:r>
      <w:r>
        <w:tab/>
      </w:r>
      <w:r>
        <w:fldChar w:fldCharType="begin"/>
      </w:r>
      <w:r>
        <w:instrText xml:space="preserve"> PAGEREF _Toc24129 </w:instrText>
      </w:r>
      <w:r>
        <w:fldChar w:fldCharType="separate"/>
      </w:r>
      <w:r>
        <w:t>96</w:t>
      </w:r>
      <w:r>
        <w:fldChar w:fldCharType="end"/>
      </w:r>
      <w:r>
        <w:rPr>
          <w:rFonts w:hint="default" w:ascii="Times New Roman" w:hAnsi="Times New Roman" w:cs="Times New Roman" w:eastAsiaTheme="minorEastAsia"/>
          <w:szCs w:val="28"/>
          <w:highlight w:val="yellow"/>
        </w:rPr>
        <w:fldChar w:fldCharType="end"/>
      </w:r>
    </w:p>
    <w:p>
      <w:pPr>
        <w:pStyle w:val="19"/>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_Toc11107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2"/>
          <w:highlight w:val="none"/>
          <w:lang w:val="en-US" w:eastAsia="zh-CN"/>
        </w:rPr>
        <w:t>6 声环境功能区划定结果的可行性分析</w:t>
      </w:r>
      <w:r>
        <w:tab/>
      </w:r>
      <w:r>
        <w:fldChar w:fldCharType="begin"/>
      </w:r>
      <w:r>
        <w:instrText xml:space="preserve"> PAGEREF _Toc11107 </w:instrText>
      </w:r>
      <w:r>
        <w:fldChar w:fldCharType="separate"/>
      </w:r>
      <w:r>
        <w:t>101</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_Toc21783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0"/>
          <w:highlight w:val="none"/>
          <w:lang w:val="en-US" w:eastAsia="zh-CN"/>
        </w:rPr>
        <w:t>6.1 与县城总体规划的协调性分析</w:t>
      </w:r>
      <w:r>
        <w:tab/>
      </w:r>
      <w:r>
        <w:fldChar w:fldCharType="begin"/>
      </w:r>
      <w:r>
        <w:instrText xml:space="preserve"> PAGEREF _Toc21783 </w:instrText>
      </w:r>
      <w:r>
        <w:fldChar w:fldCharType="separate"/>
      </w:r>
      <w:r>
        <w:t>101</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_Toc9249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0"/>
          <w:highlight w:val="none"/>
          <w:lang w:val="en-US" w:eastAsia="zh-CN"/>
        </w:rPr>
        <w:t>6.2 区划目标的可达性分析</w:t>
      </w:r>
      <w:r>
        <w:tab/>
      </w:r>
      <w:r>
        <w:fldChar w:fldCharType="begin"/>
      </w:r>
      <w:r>
        <w:instrText xml:space="preserve"> PAGEREF _Toc9249 </w:instrText>
      </w:r>
      <w:r>
        <w:fldChar w:fldCharType="separate"/>
      </w:r>
      <w:r>
        <w:t>101</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_Toc5189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0"/>
          <w:highlight w:val="none"/>
          <w:lang w:val="en-US" w:eastAsia="zh-CN"/>
        </w:rPr>
        <w:t>6.3 环境管理的可操作性分析</w:t>
      </w:r>
      <w:r>
        <w:tab/>
      </w:r>
      <w:r>
        <w:fldChar w:fldCharType="begin"/>
      </w:r>
      <w:r>
        <w:instrText xml:space="preserve"> PAGEREF _Toc5189 </w:instrText>
      </w:r>
      <w:r>
        <w:fldChar w:fldCharType="separate"/>
      </w:r>
      <w:r>
        <w:t>105</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_Toc9987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0"/>
          <w:highlight w:val="none"/>
          <w:lang w:val="en-US" w:eastAsia="zh-CN"/>
        </w:rPr>
        <w:t>6.3.1可行性分析的结论</w:t>
      </w:r>
      <w:r>
        <w:tab/>
      </w:r>
      <w:r>
        <w:fldChar w:fldCharType="begin"/>
      </w:r>
      <w:r>
        <w:instrText xml:space="preserve"> PAGEREF _Toc9987 </w:instrText>
      </w:r>
      <w:r>
        <w:fldChar w:fldCharType="separate"/>
      </w:r>
      <w:r>
        <w:t>105</w:t>
      </w:r>
      <w:r>
        <w:fldChar w:fldCharType="end"/>
      </w:r>
      <w:r>
        <w:rPr>
          <w:rFonts w:hint="default" w:ascii="Times New Roman" w:hAnsi="Times New Roman" w:cs="Times New Roman" w:eastAsiaTheme="minorEastAsia"/>
          <w:szCs w:val="28"/>
          <w:highlight w:val="yellow"/>
        </w:rPr>
        <w:fldChar w:fldCharType="end"/>
      </w:r>
    </w:p>
    <w:p>
      <w:pPr>
        <w:pStyle w:val="19"/>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_Toc5241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2"/>
          <w:highlight w:val="none"/>
          <w:lang w:val="en-US" w:eastAsia="zh-CN"/>
        </w:rPr>
        <w:t>7 城市噪声控制措施及对策</w:t>
      </w:r>
      <w:r>
        <w:tab/>
      </w:r>
      <w:r>
        <w:fldChar w:fldCharType="begin"/>
      </w:r>
      <w:r>
        <w:instrText xml:space="preserve"> PAGEREF _Toc5241 </w:instrText>
      </w:r>
      <w:r>
        <w:fldChar w:fldCharType="separate"/>
      </w:r>
      <w:r>
        <w:t>106</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_Toc11634 </w:instrText>
      </w:r>
      <w:r>
        <w:rPr>
          <w:rFonts w:hint="default" w:ascii="Times New Roman" w:hAnsi="Times New Roman" w:cs="Times New Roman" w:eastAsiaTheme="minorEastAsia"/>
          <w:szCs w:val="28"/>
          <w:highlight w:val="yellow"/>
        </w:rPr>
        <w:fldChar w:fldCharType="separate"/>
      </w:r>
      <w:r>
        <w:rPr>
          <w:rFonts w:hint="default" w:cs="Times New Roman" w:eastAsiaTheme="minorEastAsia"/>
          <w:szCs w:val="30"/>
          <w:highlight w:val="none"/>
          <w:lang w:val="en-US" w:eastAsia="zh-CN"/>
        </w:rPr>
        <w:t xml:space="preserve">7.1 </w:t>
      </w:r>
      <w:r>
        <w:rPr>
          <w:rFonts w:hint="eastAsia" w:cs="Times New Roman" w:eastAsiaTheme="minorEastAsia"/>
          <w:szCs w:val="30"/>
          <w:highlight w:val="none"/>
          <w:lang w:val="en-US" w:eastAsia="zh-CN"/>
        </w:rPr>
        <w:t>“十四五”期间存在的问题及原因分析</w:t>
      </w:r>
      <w:r>
        <w:tab/>
      </w:r>
      <w:r>
        <w:fldChar w:fldCharType="begin"/>
      </w:r>
      <w:r>
        <w:instrText xml:space="preserve"> PAGEREF _Toc11634 </w:instrText>
      </w:r>
      <w:r>
        <w:fldChar w:fldCharType="separate"/>
      </w:r>
      <w:r>
        <w:t>106</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_Toc1832 </w:instrText>
      </w:r>
      <w:r>
        <w:rPr>
          <w:rFonts w:hint="default" w:ascii="Times New Roman" w:hAnsi="Times New Roman" w:cs="Times New Roman" w:eastAsiaTheme="minorEastAsia"/>
          <w:szCs w:val="28"/>
          <w:highlight w:val="yellow"/>
        </w:rPr>
        <w:fldChar w:fldCharType="separate"/>
      </w:r>
      <w:r>
        <w:rPr>
          <w:rFonts w:hint="default" w:cs="Times New Roman" w:eastAsiaTheme="minorEastAsia"/>
          <w:szCs w:val="30"/>
          <w:highlight w:val="none"/>
          <w:lang w:val="en-US" w:eastAsia="zh-CN"/>
        </w:rPr>
        <w:t xml:space="preserve">7.2 </w:t>
      </w:r>
      <w:r>
        <w:rPr>
          <w:rFonts w:hint="eastAsia" w:cs="Times New Roman" w:eastAsiaTheme="minorEastAsia"/>
          <w:szCs w:val="30"/>
          <w:highlight w:val="none"/>
          <w:lang w:val="en-US" w:eastAsia="zh-CN"/>
        </w:rPr>
        <w:t>具体控制措施及对策</w:t>
      </w:r>
      <w:r>
        <w:tab/>
      </w:r>
      <w:r>
        <w:fldChar w:fldCharType="begin"/>
      </w:r>
      <w:r>
        <w:instrText xml:space="preserve"> PAGEREF _Toc1832 </w:instrText>
      </w:r>
      <w:r>
        <w:fldChar w:fldCharType="separate"/>
      </w:r>
      <w:r>
        <w:t>106</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_Toc29203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0"/>
          <w:highlight w:val="none"/>
          <w:lang w:val="en-US" w:eastAsia="zh-CN"/>
        </w:rPr>
        <w:t>7.3 建议</w:t>
      </w:r>
      <w:r>
        <w:tab/>
      </w:r>
      <w:r>
        <w:fldChar w:fldCharType="begin"/>
      </w:r>
      <w:r>
        <w:instrText xml:space="preserve"> PAGEREF _Toc29203 </w:instrText>
      </w:r>
      <w:r>
        <w:fldChar w:fldCharType="separate"/>
      </w:r>
      <w:r>
        <w:t>109</w:t>
      </w:r>
      <w:r>
        <w:fldChar w:fldCharType="end"/>
      </w:r>
      <w:r>
        <w:rPr>
          <w:rFonts w:hint="default" w:ascii="Times New Roman" w:hAnsi="Times New Roman" w:cs="Times New Roman" w:eastAsiaTheme="minorEastAsia"/>
          <w:szCs w:val="28"/>
          <w:highlight w:val="yellow"/>
        </w:rPr>
        <w:fldChar w:fldCharType="end"/>
      </w:r>
    </w:p>
    <w:p>
      <w:pPr>
        <w:pStyle w:val="19"/>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_Toc22360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2"/>
          <w:highlight w:val="none"/>
          <w:lang w:val="en-US" w:eastAsia="zh-CN"/>
        </w:rPr>
        <w:t>8 成果汇总</w:t>
      </w:r>
      <w:r>
        <w:tab/>
      </w:r>
      <w:r>
        <w:fldChar w:fldCharType="begin"/>
      </w:r>
      <w:r>
        <w:instrText xml:space="preserve"> PAGEREF _Toc22360 </w:instrText>
      </w:r>
      <w:r>
        <w:fldChar w:fldCharType="separate"/>
      </w:r>
      <w:r>
        <w:t>111</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_Toc19174 </w:instrText>
      </w:r>
      <w:r>
        <w:rPr>
          <w:rFonts w:hint="default" w:ascii="Times New Roman" w:hAnsi="Times New Roman" w:cs="Times New Roman" w:eastAsiaTheme="minorEastAsia"/>
          <w:szCs w:val="28"/>
          <w:highlight w:val="yellow"/>
        </w:rPr>
        <w:fldChar w:fldCharType="separate"/>
      </w:r>
      <w:r>
        <w:rPr>
          <w:rFonts w:hint="eastAsia" w:cs="Times New Roman" w:eastAsiaTheme="minorEastAsia"/>
          <w:szCs w:val="30"/>
          <w:highlight w:val="none"/>
          <w:lang w:val="en-US" w:eastAsia="zh-CN"/>
        </w:rPr>
        <w:t>8.1 曲沃县城市区域声环境功能区</w:t>
      </w:r>
      <w:r>
        <w:tab/>
      </w:r>
      <w:r>
        <w:fldChar w:fldCharType="begin"/>
      </w:r>
      <w:r>
        <w:instrText xml:space="preserve"> PAGEREF _Toc19174 </w:instrText>
      </w:r>
      <w:r>
        <w:fldChar w:fldCharType="separate"/>
      </w:r>
      <w:r>
        <w:t>111</w:t>
      </w:r>
      <w:r>
        <w:fldChar w:fldCharType="end"/>
      </w:r>
      <w:r>
        <w:rPr>
          <w:rFonts w:hint="default" w:ascii="Times New Roman" w:hAnsi="Times New Roman" w:cs="Times New Roman" w:eastAsiaTheme="minorEastAsia"/>
          <w:szCs w:val="28"/>
          <w:highlight w:val="yellow"/>
        </w:rPr>
        <w:fldChar w:fldCharType="end"/>
      </w:r>
    </w:p>
    <w:p>
      <w:pPr>
        <w:pStyle w:val="21"/>
        <w:pageBreakBefore w:val="0"/>
        <w:widowControl w:val="0"/>
        <w:tabs>
          <w:tab w:val="right" w:leader="dot" w:pos="8306"/>
          <w:tab w:val="clear" w:pos="8296"/>
        </w:tabs>
        <w:kinsoku/>
        <w:wordWrap/>
        <w:overflowPunct/>
        <w:topLinePunct w:val="0"/>
        <w:autoSpaceDE/>
        <w:autoSpaceDN/>
        <w:bidi w:val="0"/>
        <w:adjustRightInd/>
        <w:snapToGrid/>
        <w:spacing w:line="480" w:lineRule="auto"/>
        <w:textAlignment w:val="auto"/>
        <w:rPr>
          <w:rFonts w:hint="default" w:ascii="Times New Roman" w:hAnsi="Times New Roman" w:cs="Times New Roman" w:eastAsiaTheme="minorEastAsia"/>
          <w:szCs w:val="28"/>
          <w:highlight w:val="yellow"/>
        </w:rPr>
      </w:pPr>
      <w:r>
        <w:rPr>
          <w:rFonts w:hint="default" w:ascii="Times New Roman" w:hAnsi="Times New Roman" w:cs="Times New Roman" w:eastAsiaTheme="minorEastAsia"/>
          <w:szCs w:val="28"/>
          <w:highlight w:val="yellow"/>
        </w:rPr>
        <w:fldChar w:fldCharType="begin"/>
      </w:r>
      <w:r>
        <w:rPr>
          <w:rFonts w:hint="default" w:ascii="Times New Roman" w:hAnsi="Times New Roman" w:cs="Times New Roman" w:eastAsiaTheme="minorEastAsia"/>
          <w:szCs w:val="28"/>
          <w:highlight w:val="yellow"/>
        </w:rPr>
        <w:instrText xml:space="preserve"> HYPERLINK \l _Toc1497 </w:instrText>
      </w:r>
      <w:r>
        <w:rPr>
          <w:rFonts w:hint="default" w:ascii="Times New Roman" w:hAnsi="Times New Roman" w:cs="Times New Roman" w:eastAsiaTheme="minorEastAsia"/>
          <w:szCs w:val="28"/>
          <w:highlight w:val="yellow"/>
        </w:rPr>
        <w:fldChar w:fldCharType="separate"/>
      </w:r>
      <w:r>
        <w:rPr>
          <w:rFonts w:hint="default" w:cs="Times New Roman" w:eastAsiaTheme="minorEastAsia"/>
          <w:szCs w:val="30"/>
          <w:highlight w:val="none"/>
          <w:lang w:val="en-US" w:eastAsia="zh-CN"/>
        </w:rPr>
        <w:t xml:space="preserve">8.2 </w:t>
      </w:r>
      <w:r>
        <w:rPr>
          <w:rFonts w:hint="eastAsia" w:cs="Times New Roman" w:eastAsiaTheme="minorEastAsia"/>
          <w:szCs w:val="30"/>
          <w:highlight w:val="none"/>
          <w:lang w:val="en-US" w:eastAsia="zh-CN"/>
        </w:rPr>
        <w:t>划分结果说明</w:t>
      </w:r>
      <w:r>
        <w:tab/>
      </w:r>
      <w:r>
        <w:fldChar w:fldCharType="begin"/>
      </w:r>
      <w:r>
        <w:instrText xml:space="preserve"> PAGEREF _Toc1497 </w:instrText>
      </w:r>
      <w:r>
        <w:fldChar w:fldCharType="separate"/>
      </w:r>
      <w:r>
        <w:t>112</w:t>
      </w:r>
      <w:r>
        <w:fldChar w:fldCharType="end"/>
      </w:r>
      <w:r>
        <w:rPr>
          <w:rFonts w:hint="default" w:ascii="Times New Roman" w:hAnsi="Times New Roman" w:cs="Times New Roman" w:eastAsiaTheme="minorEastAsia"/>
          <w:szCs w:val="28"/>
          <w:highlight w:val="yellow"/>
        </w:rPr>
        <w:fldChar w:fldCharType="end"/>
      </w:r>
    </w:p>
    <w:p/>
    <w:p>
      <w:pPr>
        <w:pStyle w:val="2"/>
        <w:keepNext/>
        <w:keepLines/>
        <w:pageBreakBefore w:val="0"/>
        <w:widowControl w:val="0"/>
        <w:numPr>
          <w:ilvl w:val="0"/>
          <w:numId w:val="0"/>
        </w:numPr>
        <w:kinsoku/>
        <w:wordWrap/>
        <w:overflowPunct/>
        <w:topLinePunct w:val="0"/>
        <w:autoSpaceDE/>
        <w:autoSpaceDN/>
        <w:bidi w:val="0"/>
        <w:adjustRightInd/>
        <w:snapToGrid/>
        <w:spacing w:before="0" w:beforeLines="0" w:line="480" w:lineRule="auto"/>
        <w:ind w:leftChars="0"/>
        <w:jc w:val="both"/>
        <w:textAlignment w:val="auto"/>
        <w:rPr>
          <w:rFonts w:hint="default" w:ascii="Times New Roman" w:hAnsi="Times New Roman" w:cs="Times New Roman" w:eastAsiaTheme="minorEastAsia"/>
          <w:sz w:val="32"/>
          <w:szCs w:val="32"/>
          <w:highlight w:val="none"/>
        </w:rPr>
      </w:pPr>
      <w:r>
        <w:rPr>
          <w:rFonts w:hint="default" w:ascii="Times New Roman" w:hAnsi="Times New Roman" w:cs="Times New Roman" w:eastAsiaTheme="minorEastAsia"/>
          <w:szCs w:val="28"/>
          <w:highlight w:val="yellow"/>
        </w:rPr>
        <w:fldChar w:fldCharType="end"/>
      </w:r>
      <w:bookmarkStart w:id="0" w:name="_Toc4907"/>
      <w:r>
        <w:rPr>
          <w:rFonts w:hint="default" w:ascii="Times New Roman" w:hAnsi="Times New Roman" w:cs="Times New Roman" w:eastAsiaTheme="minorEastAsia"/>
          <w:sz w:val="32"/>
          <w:szCs w:val="32"/>
          <w:highlight w:val="none"/>
          <w:lang w:val="en-US" w:eastAsia="zh-CN"/>
        </w:rPr>
        <w:t>1</w:t>
      </w:r>
      <w:r>
        <w:rPr>
          <w:rFonts w:hint="default" w:ascii="Times New Roman" w:hAnsi="Times New Roman" w:cs="Times New Roman" w:eastAsiaTheme="minorEastAsia"/>
          <w:sz w:val="32"/>
          <w:szCs w:val="32"/>
          <w:highlight w:val="none"/>
        </w:rPr>
        <w:t>总论</w:t>
      </w:r>
      <w:bookmarkEnd w:id="0"/>
    </w:p>
    <w:p>
      <w:pPr>
        <w:pStyle w:val="3"/>
        <w:keepNext/>
        <w:keepLines/>
        <w:pageBreakBefore w:val="0"/>
        <w:widowControl w:val="0"/>
        <w:numPr>
          <w:ilvl w:val="1"/>
          <w:numId w:val="0"/>
        </w:numPr>
        <w:kinsoku/>
        <w:wordWrap/>
        <w:overflowPunct/>
        <w:topLinePunct w:val="0"/>
        <w:autoSpaceDE/>
        <w:autoSpaceDN/>
        <w:bidi w:val="0"/>
        <w:adjustRightInd/>
        <w:snapToGrid/>
        <w:ind w:leftChars="0"/>
        <w:textAlignment w:val="auto"/>
        <w:rPr>
          <w:rFonts w:hint="default" w:ascii="Times New Roman" w:hAnsi="Times New Roman" w:cs="Times New Roman" w:eastAsiaTheme="minorEastAsia"/>
          <w:color w:val="auto"/>
          <w:sz w:val="30"/>
          <w:szCs w:val="30"/>
          <w:highlight w:val="none"/>
        </w:rPr>
      </w:pPr>
      <w:bookmarkStart w:id="1" w:name="_Toc25883"/>
      <w:r>
        <w:rPr>
          <w:rFonts w:hint="default" w:ascii="Times New Roman" w:hAnsi="Times New Roman" w:cs="Times New Roman" w:eastAsiaTheme="minorEastAsia"/>
          <w:color w:val="auto"/>
          <w:sz w:val="30"/>
          <w:szCs w:val="30"/>
          <w:highlight w:val="none"/>
          <w:lang w:val="en-US" w:eastAsia="zh-CN"/>
        </w:rPr>
        <w:t>1.1</w:t>
      </w:r>
      <w:r>
        <w:rPr>
          <w:rFonts w:hint="default" w:ascii="Times New Roman" w:hAnsi="Times New Roman" w:cs="Times New Roman" w:eastAsiaTheme="minorEastAsia"/>
          <w:color w:val="auto"/>
          <w:sz w:val="30"/>
          <w:szCs w:val="30"/>
          <w:highlight w:val="none"/>
        </w:rPr>
        <w:t>背景</w:t>
      </w:r>
      <w:bookmarkEnd w:id="1"/>
    </w:p>
    <w:p>
      <w:pPr>
        <w:pStyle w:val="43"/>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近年来，随着社会经济的发展及城市化进程的加快，城市工商业、交通运输业的发展，环境噪声污染问题日益突出，破坏了人们正常的工作、生活环境，明显危害人类健康。由噪声污染引发的纠纷频发，扰民投诉居高不下，解决环境噪声污染问题迫在眉睫。此外，加强声环境的治理是贯彻落实科学发展观、建设生态文明的必然要求，也是探索中国环保新道路的重要内容。</w:t>
      </w:r>
    </w:p>
    <w:p>
      <w:pPr>
        <w:pStyle w:val="43"/>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为加强噪声污染防治工作，改善城市和乡村的声环境质量，国家先后发布了《中华人民共和国噪声污染防治法》、《关于加强噪声污染防治工作改善城乡声环境质量的指导意见》、《关于加强和规范声环境功能区划分管理工作的通知》（环办大气函</w:t>
      </w:r>
      <w:r>
        <w:rPr>
          <w:rFonts w:hint="eastAsia" w:ascii="方正小标宋简体" w:hAnsi="方正小标宋简体" w:eastAsia="方正小标宋简体" w:cs="方正小标宋简体"/>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2017</w:t>
      </w:r>
      <w:r>
        <w:rPr>
          <w:rFonts w:hint="eastAsia" w:ascii="方正小标宋简体" w:hAnsi="方正小标宋简体" w:eastAsia="方正小标宋简体" w:cs="方正小标宋简体"/>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1709号）等一系列法律法规或相关文件。</w:t>
      </w:r>
    </w:p>
    <w:p>
      <w:pPr>
        <w:pStyle w:val="43"/>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highlight w:val="none"/>
          <w:lang w:eastAsia="zh-CN"/>
        </w:rPr>
      </w:pPr>
      <w:r>
        <w:rPr>
          <w:rFonts w:hint="eastAsia" w:ascii="Times New Roman" w:hAnsi="Times New Roman" w:cs="Times New Roman" w:eastAsiaTheme="minorEastAsia"/>
          <w:color w:val="auto"/>
          <w:sz w:val="24"/>
          <w:szCs w:val="24"/>
          <w:highlight w:val="none"/>
        </w:rPr>
        <w:t>为了严格执行国家《声环境质量标准》（</w:t>
      </w:r>
      <w:r>
        <w:rPr>
          <w:rFonts w:hint="default" w:ascii="Times New Roman" w:hAnsi="Times New Roman" w:cs="Times New Roman" w:eastAsiaTheme="minorEastAsia"/>
          <w:color w:val="auto"/>
          <w:sz w:val="24"/>
          <w:szCs w:val="24"/>
          <w:highlight w:val="none"/>
        </w:rPr>
        <w:t>GB3096-2008</w:t>
      </w:r>
      <w:r>
        <w:rPr>
          <w:rFonts w:hint="eastAsia" w:ascii="Times New Roman" w:hAnsi="Times New Roman" w:cs="Times New Roman" w:eastAsiaTheme="minorEastAsia"/>
          <w:color w:val="auto"/>
          <w:sz w:val="24"/>
          <w:szCs w:val="24"/>
          <w:highlight w:val="none"/>
        </w:rPr>
        <w:t>），落实国家、省厅的相关工作通知，强化城市环境噪声的管理和控制，保证科学监测、合理布点、掌握噪声动态，以达到对城市噪声污染分区监测、分区控制、分区管理、分区治理，使噪声防治工作从单一的点源治理走向区域性的综合管理，有效地控制城市噪声污染的范围和程度，改善居民声环境质量，原</w:t>
      </w:r>
      <w:r>
        <w:rPr>
          <w:rFonts w:hint="eastAsia" w:cs="Times New Roman" w:eastAsiaTheme="minorEastAsia"/>
          <w:color w:val="auto"/>
          <w:sz w:val="24"/>
          <w:szCs w:val="24"/>
          <w:highlight w:val="none"/>
          <w:lang w:val="en-US" w:eastAsia="zh-CN"/>
        </w:rPr>
        <w:t>曲沃</w:t>
      </w:r>
      <w:r>
        <w:rPr>
          <w:rFonts w:hint="eastAsia" w:ascii="Times New Roman" w:hAnsi="Times New Roman" w:cs="Times New Roman" w:eastAsiaTheme="minorEastAsia"/>
          <w:color w:val="auto"/>
          <w:sz w:val="24"/>
          <w:szCs w:val="24"/>
          <w:highlight w:val="none"/>
        </w:rPr>
        <w:t>县环境保护局于20</w:t>
      </w:r>
      <w:r>
        <w:rPr>
          <w:rFonts w:hint="eastAsia" w:cs="Times New Roman" w:eastAsiaTheme="minorEastAsia"/>
          <w:color w:val="auto"/>
          <w:sz w:val="24"/>
          <w:szCs w:val="24"/>
          <w:highlight w:val="none"/>
          <w:lang w:val="en-US" w:eastAsia="zh-CN"/>
        </w:rPr>
        <w:t>14</w:t>
      </w:r>
      <w:r>
        <w:rPr>
          <w:rFonts w:hint="eastAsia" w:ascii="Times New Roman" w:hAnsi="Times New Roman" w:cs="Times New Roman" w:eastAsiaTheme="minorEastAsia"/>
          <w:color w:val="auto"/>
          <w:sz w:val="24"/>
          <w:szCs w:val="24"/>
          <w:highlight w:val="none"/>
        </w:rPr>
        <w:t>年</w:t>
      </w:r>
      <w:r>
        <w:rPr>
          <w:rFonts w:hint="eastAsia" w:cs="Times New Roman" w:eastAsiaTheme="minorEastAsia"/>
          <w:color w:val="auto"/>
          <w:sz w:val="24"/>
          <w:szCs w:val="24"/>
          <w:highlight w:val="none"/>
          <w:lang w:val="en-US" w:eastAsia="zh-CN"/>
        </w:rPr>
        <w:t>12</w:t>
      </w:r>
      <w:r>
        <w:rPr>
          <w:rFonts w:hint="eastAsia" w:ascii="Times New Roman" w:hAnsi="Times New Roman" w:cs="Times New Roman" w:eastAsiaTheme="minorEastAsia"/>
          <w:color w:val="auto"/>
          <w:sz w:val="24"/>
          <w:szCs w:val="24"/>
          <w:highlight w:val="none"/>
        </w:rPr>
        <w:t>月编制完成的《</w:t>
      </w:r>
      <w:r>
        <w:rPr>
          <w:rFonts w:hint="eastAsia" w:cs="Times New Roman" w:eastAsiaTheme="minorEastAsia"/>
          <w:color w:val="auto"/>
          <w:sz w:val="24"/>
          <w:szCs w:val="24"/>
          <w:highlight w:val="none"/>
          <w:lang w:val="en-US" w:eastAsia="zh-CN"/>
        </w:rPr>
        <w:t>曲沃</w:t>
      </w:r>
      <w:r>
        <w:rPr>
          <w:rFonts w:hint="eastAsia" w:ascii="Times New Roman" w:hAnsi="Times New Roman" w:cs="Times New Roman" w:eastAsiaTheme="minorEastAsia"/>
          <w:color w:val="auto"/>
          <w:sz w:val="24"/>
          <w:szCs w:val="24"/>
          <w:highlight w:val="none"/>
        </w:rPr>
        <w:t>县城市区域声环境功能区划分技术报告》已到期</w:t>
      </w:r>
      <w:r>
        <w:rPr>
          <w:rFonts w:hint="eastAsia" w:cs="Times New Roman" w:eastAsiaTheme="minorEastAsia"/>
          <w:color w:val="auto"/>
          <w:sz w:val="24"/>
          <w:szCs w:val="24"/>
          <w:highlight w:val="none"/>
          <w:lang w:eastAsia="zh-CN"/>
        </w:rPr>
        <w:t>。</w:t>
      </w:r>
    </w:p>
    <w:p>
      <w:pPr>
        <w:pStyle w:val="43"/>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lang w:val="en-US" w:eastAsia="zh-CN"/>
        </w:rPr>
        <w:t>山西省环保厅下发《关于全省声环境功能区划情况的通报》（晋环车函</w:t>
      </w:r>
      <w:r>
        <w:rPr>
          <w:rFonts w:hint="eastAsia" w:ascii="方正小标宋简体" w:hAnsi="方正小标宋简体" w:eastAsia="方正小标宋简体" w:cs="方正小标宋简体"/>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2018</w:t>
      </w:r>
      <w:r>
        <w:rPr>
          <w:rFonts w:hint="eastAsia" w:ascii="方正小标宋简体" w:hAnsi="方正小标宋简体" w:eastAsia="方正小标宋简体" w:cs="方正小标宋简体"/>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220号），该文件对全省区划进展工作进行了通报并要求相关地区严格按照要求完成区划工作。</w:t>
      </w:r>
      <w:r>
        <w:rPr>
          <w:rFonts w:hint="default" w:ascii="Times New Roman" w:hAnsi="Times New Roman" w:cs="Times New Roman" w:eastAsiaTheme="minorEastAsia"/>
          <w:color w:val="auto"/>
          <w:sz w:val="24"/>
          <w:szCs w:val="24"/>
          <w:highlight w:val="none"/>
        </w:rPr>
        <w:t>2020年3月3日，山西省生态环境厅办公室以晋环办机动车〔2020〕3号文发布了《山西省生态环境厅办公室关于做好机动车和噪声环境管理2020年重点工作的通知》，针对环境噪声污染防治工作，提出“尚未启动声功能区划的、区划超过5年需要调整的市、县（市、区）需尽快开展区划和调整”。曲沃县于201</w:t>
      </w:r>
      <w:r>
        <w:rPr>
          <w:rFonts w:hint="eastAsia" w:cs="Times New Roman" w:eastAsiaTheme="minorEastAsia"/>
          <w:color w:val="auto"/>
          <w:sz w:val="24"/>
          <w:szCs w:val="24"/>
          <w:highlight w:val="none"/>
          <w:lang w:val="en-US" w:eastAsia="zh-CN"/>
        </w:rPr>
        <w:t>4</w:t>
      </w:r>
      <w:r>
        <w:rPr>
          <w:rFonts w:hint="default" w:ascii="Times New Roman" w:hAnsi="Times New Roman" w:cs="Times New Roman" w:eastAsiaTheme="minorEastAsia"/>
          <w:color w:val="auto"/>
          <w:sz w:val="24"/>
          <w:szCs w:val="24"/>
          <w:highlight w:val="none"/>
        </w:rPr>
        <w:t>年</w:t>
      </w:r>
      <w:r>
        <w:rPr>
          <w:rFonts w:hint="eastAsia" w:cs="Times New Roman" w:eastAsiaTheme="minorEastAsia"/>
          <w:color w:val="auto"/>
          <w:sz w:val="24"/>
          <w:szCs w:val="24"/>
          <w:highlight w:val="none"/>
          <w:lang w:val="en-US" w:eastAsia="zh-CN"/>
        </w:rPr>
        <w:t>12月</w:t>
      </w:r>
      <w:r>
        <w:rPr>
          <w:rFonts w:hint="default" w:ascii="Times New Roman" w:hAnsi="Times New Roman" w:cs="Times New Roman" w:eastAsiaTheme="minorEastAsia"/>
          <w:color w:val="auto"/>
          <w:sz w:val="24"/>
          <w:szCs w:val="24"/>
          <w:highlight w:val="none"/>
        </w:rPr>
        <w:t>完成了其城区声环境区的划定，区划即将超过5年。</w:t>
      </w:r>
    </w:p>
    <w:p>
      <w:pPr>
        <w:pStyle w:val="43"/>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highlight w:val="none"/>
        </w:rPr>
      </w:pPr>
      <w:r>
        <w:rPr>
          <w:rFonts w:hint="eastAsia" w:ascii="Times New Roman" w:hAnsi="Times New Roman" w:cs="Times New Roman" w:eastAsiaTheme="minorEastAsia"/>
          <w:color w:val="auto"/>
          <w:sz w:val="24"/>
          <w:szCs w:val="24"/>
          <w:highlight w:val="none"/>
        </w:rPr>
        <w:t>2020年</w:t>
      </w:r>
      <w:r>
        <w:rPr>
          <w:rFonts w:hint="eastAsia" w:cs="Times New Roman" w:eastAsiaTheme="minorEastAsia"/>
          <w:color w:val="auto"/>
          <w:sz w:val="24"/>
          <w:szCs w:val="24"/>
          <w:highlight w:val="none"/>
          <w:lang w:val="en-US" w:eastAsia="zh-CN"/>
        </w:rPr>
        <w:t>6</w:t>
      </w:r>
      <w:r>
        <w:rPr>
          <w:rFonts w:hint="eastAsia" w:ascii="Times New Roman" w:hAnsi="Times New Roman" w:cs="Times New Roman" w:eastAsiaTheme="minorEastAsia"/>
          <w:color w:val="auto"/>
          <w:sz w:val="24"/>
          <w:szCs w:val="24"/>
          <w:highlight w:val="none"/>
        </w:rPr>
        <w:t>月，</w:t>
      </w:r>
      <w:r>
        <w:rPr>
          <w:rFonts w:hint="eastAsia" w:cs="Times New Roman" w:eastAsiaTheme="minorEastAsia"/>
          <w:color w:val="auto"/>
          <w:sz w:val="24"/>
          <w:szCs w:val="24"/>
          <w:highlight w:val="none"/>
          <w:lang w:val="en-US" w:eastAsia="zh-CN"/>
        </w:rPr>
        <w:t>临汾</w:t>
      </w:r>
      <w:r>
        <w:rPr>
          <w:rFonts w:hint="eastAsia" w:ascii="Times New Roman" w:hAnsi="Times New Roman" w:cs="Times New Roman" w:eastAsiaTheme="minorEastAsia"/>
          <w:color w:val="auto"/>
          <w:sz w:val="24"/>
          <w:szCs w:val="24"/>
          <w:highlight w:val="none"/>
        </w:rPr>
        <w:t>市生态环境局</w:t>
      </w:r>
      <w:r>
        <w:rPr>
          <w:rFonts w:hint="eastAsia" w:cs="Times New Roman" w:eastAsiaTheme="minorEastAsia"/>
          <w:color w:val="auto"/>
          <w:sz w:val="24"/>
          <w:szCs w:val="24"/>
          <w:highlight w:val="none"/>
          <w:lang w:val="en-US" w:eastAsia="zh-CN"/>
        </w:rPr>
        <w:t>曲沃</w:t>
      </w:r>
      <w:r>
        <w:rPr>
          <w:rFonts w:hint="eastAsia" w:ascii="Times New Roman" w:hAnsi="Times New Roman" w:cs="Times New Roman" w:eastAsiaTheme="minorEastAsia"/>
          <w:color w:val="auto"/>
          <w:sz w:val="24"/>
          <w:szCs w:val="24"/>
          <w:highlight w:val="none"/>
        </w:rPr>
        <w:t>县分局委托山西</w:t>
      </w:r>
      <w:r>
        <w:rPr>
          <w:rFonts w:hint="eastAsia" w:cs="Times New Roman" w:eastAsiaTheme="minorEastAsia"/>
          <w:color w:val="auto"/>
          <w:sz w:val="24"/>
          <w:szCs w:val="24"/>
          <w:highlight w:val="none"/>
          <w:lang w:val="en-US" w:eastAsia="zh-CN"/>
        </w:rPr>
        <w:t>智慧环保管家发展有限公司</w:t>
      </w:r>
      <w:r>
        <w:rPr>
          <w:rFonts w:hint="eastAsia" w:ascii="Times New Roman" w:hAnsi="Times New Roman" w:cs="Times New Roman" w:eastAsiaTheme="minorEastAsia"/>
          <w:color w:val="auto"/>
          <w:sz w:val="24"/>
          <w:szCs w:val="24"/>
          <w:highlight w:val="none"/>
        </w:rPr>
        <w:t>编制《</w:t>
      </w:r>
      <w:r>
        <w:rPr>
          <w:rFonts w:hint="eastAsia" w:cs="Times New Roman" w:eastAsiaTheme="minorEastAsia"/>
          <w:color w:val="auto"/>
          <w:sz w:val="24"/>
          <w:szCs w:val="24"/>
          <w:highlight w:val="none"/>
          <w:lang w:val="en-US" w:eastAsia="zh-CN"/>
        </w:rPr>
        <w:t>曲沃</w:t>
      </w:r>
      <w:r>
        <w:rPr>
          <w:rFonts w:hint="eastAsia" w:ascii="Times New Roman" w:hAnsi="Times New Roman" w:cs="Times New Roman" w:eastAsiaTheme="minorEastAsia"/>
          <w:color w:val="auto"/>
          <w:sz w:val="24"/>
          <w:szCs w:val="24"/>
          <w:highlight w:val="none"/>
        </w:rPr>
        <w:t>县城市区域声环境功能区划调整技术报告》，以下简称“区划”。</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eastAsiaTheme="minorEastAsia"/>
          <w:color w:val="auto"/>
          <w:sz w:val="30"/>
          <w:szCs w:val="30"/>
          <w:highlight w:val="none"/>
          <w:lang w:val="en-US" w:eastAsia="zh-CN"/>
        </w:rPr>
      </w:pPr>
      <w:bookmarkStart w:id="2" w:name="_Toc14919"/>
      <w:r>
        <w:rPr>
          <w:rFonts w:hint="default" w:ascii="Times New Roman" w:hAnsi="Times New Roman" w:cs="Times New Roman" w:eastAsiaTheme="minorEastAsia"/>
          <w:color w:val="auto"/>
          <w:sz w:val="30"/>
          <w:szCs w:val="30"/>
          <w:highlight w:val="none"/>
          <w:lang w:val="en-US" w:eastAsia="zh-CN"/>
        </w:rPr>
        <w:t>1.2区划依据</w:t>
      </w:r>
      <w:bookmarkEnd w:id="2"/>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lang w:val="en-US" w:eastAsia="zh-CN"/>
        </w:rPr>
        <w:t>1.2.1</w:t>
      </w:r>
      <w:r>
        <w:rPr>
          <w:rFonts w:hint="default" w:ascii="Times New Roman" w:hAnsi="Times New Roman" w:cs="Times New Roman" w:eastAsiaTheme="minorEastAsia"/>
          <w:color w:val="auto"/>
          <w:sz w:val="28"/>
          <w:szCs w:val="28"/>
        </w:rPr>
        <w:t>任务依据</w:t>
      </w:r>
    </w:p>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（1）环境保护部“关于加强环境噪声污染防治工作改善城乡声环境质量的指导意见”，环发〔2010〕144号；</w:t>
      </w:r>
    </w:p>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w:t>
      </w:r>
      <w:r>
        <w:rPr>
          <w:rFonts w:hint="eastAsia" w:ascii="Times New Roman" w:hAnsi="Times New Roman" w:cs="Times New Roman" w:eastAsiaTheme="minorEastAsia"/>
          <w:color w:val="auto"/>
          <w:sz w:val="24"/>
          <w:szCs w:val="24"/>
        </w:rPr>
        <w:t>环境保护部办公厅“关于加强和规范声环境功能区划管理工作的通知”，环办大气函</w:t>
      </w:r>
      <w:r>
        <w:rPr>
          <w:rFonts w:hint="eastAsia" w:ascii="方正小标宋简体" w:hAnsi="方正小标宋简体" w:eastAsia="方正小标宋简体" w:cs="方正小标宋简体"/>
          <w:color w:val="auto"/>
          <w:sz w:val="24"/>
          <w:szCs w:val="24"/>
        </w:rPr>
        <w:t>〔</w:t>
      </w:r>
      <w:r>
        <w:rPr>
          <w:rFonts w:hint="eastAsia" w:ascii="Times New Roman" w:hAnsi="Times New Roman" w:cs="Times New Roman" w:eastAsiaTheme="minorEastAsia"/>
          <w:color w:val="auto"/>
          <w:sz w:val="24"/>
          <w:szCs w:val="24"/>
        </w:rPr>
        <w:t>2017</w:t>
      </w:r>
      <w:r>
        <w:rPr>
          <w:rFonts w:hint="eastAsia" w:ascii="方正小标宋简体" w:hAnsi="方正小标宋简体" w:eastAsia="方正小标宋简体" w:cs="方正小标宋简体"/>
          <w:color w:val="auto"/>
          <w:sz w:val="24"/>
          <w:szCs w:val="24"/>
        </w:rPr>
        <w:t>〕</w:t>
      </w:r>
      <w:r>
        <w:rPr>
          <w:rFonts w:hint="eastAsia" w:ascii="Times New Roman" w:hAnsi="Times New Roman" w:cs="Times New Roman" w:eastAsiaTheme="minorEastAsia"/>
          <w:color w:val="auto"/>
          <w:sz w:val="24"/>
          <w:szCs w:val="24"/>
        </w:rPr>
        <w:t>1709号；</w:t>
      </w:r>
    </w:p>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eastAsia" w:cs="Times New Roman" w:eastAsiaTheme="minorEastAsia"/>
          <w:color w:val="auto"/>
          <w:sz w:val="24"/>
          <w:szCs w:val="24"/>
          <w:lang w:eastAsia="zh-CN"/>
        </w:rPr>
        <w:t>（</w:t>
      </w:r>
      <w:r>
        <w:rPr>
          <w:rFonts w:hint="eastAsia" w:cs="Times New Roman" w:eastAsiaTheme="minorEastAsia"/>
          <w:color w:val="auto"/>
          <w:sz w:val="24"/>
          <w:szCs w:val="24"/>
          <w:lang w:val="en-US" w:eastAsia="zh-CN"/>
        </w:rPr>
        <w:t>3</w:t>
      </w:r>
      <w:r>
        <w:rPr>
          <w:rFonts w:hint="eastAsia"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山西省生态环境厅办公室“关于做好机动车和噪声环境管理2020年重点工作的通知”，晋环办机动车〔2020〕3号；</w:t>
      </w:r>
    </w:p>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w:t>
      </w:r>
      <w:r>
        <w:rPr>
          <w:rFonts w:hint="eastAsia" w:ascii="Times New Roman" w:hAnsi="Times New Roman" w:cs="Times New Roman" w:eastAsiaTheme="minorEastAsia"/>
          <w:color w:val="auto"/>
          <w:sz w:val="24"/>
          <w:szCs w:val="24"/>
          <w:lang w:val="en-US" w:eastAsia="zh-CN"/>
        </w:rPr>
        <w:t>4</w:t>
      </w:r>
      <w:r>
        <w:rPr>
          <w:rFonts w:hint="default" w:ascii="Times New Roman" w:hAnsi="Times New Roman" w:cs="Times New Roman" w:eastAsiaTheme="minorEastAsia"/>
          <w:color w:val="auto"/>
          <w:sz w:val="24"/>
          <w:szCs w:val="24"/>
        </w:rPr>
        <w:t>）曲沃县城市区域声环境功能区划调整技术报告委托书。</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default" w:ascii="Times New Roman" w:hAnsi="Times New Roman" w:cs="Times New Roman" w:eastAsiaTheme="minorEastAsia"/>
          <w:color w:val="auto"/>
          <w:sz w:val="28"/>
          <w:szCs w:val="28"/>
          <w:lang w:val="en-US" w:eastAsia="zh-CN"/>
        </w:rPr>
        <w:t>1.2.2法律法规</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（1）《中华人民共和国环境保护法》（2014年4月24日修订），2015年1月1日施行；</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（2）《中华人民共和国环境噪声污染防治法》，2018年修正；</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（3）《建设项目环境保护管理条例》，国务院令第682号发布，2017年10月1日施行；</w:t>
      </w:r>
    </w:p>
    <w:p>
      <w:pPr>
        <w:pStyle w:val="43"/>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（4）《国务院关于落实科学发展观、加强环境保护的决定》，国发〔2005〕35号，2005年12月3日；</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（5）关于发布《地面交通噪声污染防治技术政策》的通知，环发〔2010〕7号，2010年1月11日；</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（6）《山西省环境保护条例》，山西省人民政府令第270号，2020年3月15日实施。</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default" w:ascii="Times New Roman" w:hAnsi="Times New Roman" w:cs="Times New Roman" w:eastAsiaTheme="minorEastAsia"/>
          <w:color w:val="auto"/>
          <w:sz w:val="28"/>
          <w:szCs w:val="28"/>
          <w:lang w:val="en-US" w:eastAsia="zh-CN"/>
        </w:rPr>
        <w:t>1.2.3技术依据</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（1）《声环境质量标准》（GB3096-2008），国家环境保护部，2008年10月1日执行；</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（2）《城市区域环境噪声使用区划技术规范》（GB/T15190-2014）；</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（3）《城市用地分类与规划建设用地标准》（GB50137-2011）；</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（4）《环境影响评价技术导则 声环境》，（HJ2.4-2009），国家环境保护部，2010年4月1日执行；</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（5）《工业企业厂界环境噪声排放标准》，（GB12348-2008），国家环境保护部，2008年10月1日执行；</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（6）《社会生活环境噪声排放标准》，（GB22337-2008），国家环境保护部，2008年10月1日执行；</w:t>
      </w:r>
    </w:p>
    <w:p>
      <w:pPr>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snapToGrid w:val="0"/>
          <w:color w:val="auto"/>
          <w:kern w:val="28"/>
          <w:sz w:val="24"/>
          <w:szCs w:val="24"/>
        </w:rPr>
      </w:pPr>
      <w:r>
        <w:rPr>
          <w:rFonts w:hint="default" w:ascii="Times New Roman" w:hAnsi="Times New Roman" w:cs="Times New Roman" w:eastAsiaTheme="minorEastAsia"/>
          <w:color w:val="auto"/>
          <w:sz w:val="24"/>
          <w:szCs w:val="24"/>
        </w:rPr>
        <w:t>（7）</w:t>
      </w:r>
      <w:r>
        <w:rPr>
          <w:rFonts w:hint="default" w:ascii="Times New Roman" w:hAnsi="Times New Roman" w:cs="Times New Roman" w:eastAsiaTheme="minorEastAsia"/>
          <w:snapToGrid w:val="0"/>
          <w:color w:val="auto"/>
          <w:kern w:val="28"/>
          <w:sz w:val="24"/>
          <w:szCs w:val="24"/>
        </w:rPr>
        <w:t>《建筑施工场界环境噪声排放标准》（GB12523-2011），2012年7月1日实施;</w:t>
      </w:r>
    </w:p>
    <w:p>
      <w:pPr>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snapToGrid w:val="0"/>
          <w:color w:val="auto"/>
          <w:kern w:val="28"/>
          <w:sz w:val="24"/>
          <w:szCs w:val="24"/>
        </w:rPr>
      </w:pPr>
      <w:r>
        <w:rPr>
          <w:rFonts w:hint="default" w:ascii="Times New Roman" w:hAnsi="Times New Roman" w:cs="Times New Roman" w:eastAsiaTheme="minorEastAsia"/>
          <w:color w:val="auto"/>
          <w:sz w:val="24"/>
          <w:szCs w:val="24"/>
        </w:rPr>
        <w:t>（8）《环境噪声监测技术规范城市声环境常规监测》（HJ640-2012）。</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（9）《声学环境噪声测量方法》（GB3222-94），原国家环保总局，1994年3月1日执行；</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（10）《城市区域环境噪声测量方法》（GB/T14623-93）。</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default" w:ascii="Times New Roman" w:hAnsi="Times New Roman" w:cs="Times New Roman" w:eastAsiaTheme="minorEastAsia"/>
          <w:color w:val="auto"/>
          <w:sz w:val="28"/>
          <w:szCs w:val="28"/>
          <w:lang w:val="en-US" w:eastAsia="zh-CN"/>
        </w:rPr>
        <w:t>1.2.4其他依据</w:t>
      </w:r>
    </w:p>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（1）《曲沃县城市总体规划》（2014-2030）；</w:t>
      </w:r>
    </w:p>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w:t>
      </w:r>
      <w:r>
        <w:rPr>
          <w:rFonts w:hint="eastAsia" w:cs="Times New Roman" w:eastAsiaTheme="minorEastAsia"/>
          <w:color w:val="auto"/>
          <w:sz w:val="24"/>
          <w:szCs w:val="24"/>
          <w:highlight w:val="none"/>
          <w:lang w:val="en-US" w:eastAsia="zh-CN"/>
        </w:rPr>
        <w:t>2</w:t>
      </w:r>
      <w:r>
        <w:rPr>
          <w:rFonts w:hint="default" w:ascii="Times New Roman" w:hAnsi="Times New Roman" w:cs="Times New Roman" w:eastAsiaTheme="minorEastAsia"/>
          <w:color w:val="auto"/>
          <w:sz w:val="24"/>
          <w:szCs w:val="24"/>
          <w:highlight w:val="none"/>
        </w:rPr>
        <w:t>）</w:t>
      </w:r>
      <w:r>
        <w:rPr>
          <w:rFonts w:hint="default" w:ascii="Times New Roman" w:hAnsi="Times New Roman" w:cs="Times New Roman" w:eastAsiaTheme="minorEastAsia"/>
          <w:color w:val="auto"/>
          <w:sz w:val="24"/>
          <w:szCs w:val="24"/>
          <w:highlight w:val="none"/>
          <w:lang w:eastAsia="zh-CN"/>
        </w:rPr>
        <w:t>《曲沃县城市区域声环境功能区划分技术报告》（</w:t>
      </w:r>
      <w:r>
        <w:rPr>
          <w:rFonts w:hint="default" w:ascii="Times New Roman" w:hAnsi="Times New Roman" w:cs="Times New Roman" w:eastAsiaTheme="minorEastAsia"/>
          <w:color w:val="auto"/>
          <w:sz w:val="24"/>
          <w:szCs w:val="24"/>
          <w:highlight w:val="none"/>
          <w:lang w:val="en-US" w:eastAsia="zh-CN"/>
        </w:rPr>
        <w:t>2014年12月</w:t>
      </w:r>
      <w:r>
        <w:rPr>
          <w:rFonts w:hint="default" w:ascii="Times New Roman" w:hAnsi="Times New Roman" w:cs="Times New Roman" w:eastAsiaTheme="minorEastAsia"/>
          <w:color w:val="auto"/>
          <w:sz w:val="24"/>
          <w:szCs w:val="24"/>
          <w:highlight w:val="none"/>
          <w:lang w:eastAsia="zh-CN"/>
        </w:rPr>
        <w:t>）</w:t>
      </w:r>
      <w:r>
        <w:rPr>
          <w:rFonts w:hint="default" w:ascii="Times New Roman" w:hAnsi="Times New Roman" w:cs="Times New Roman" w:eastAsiaTheme="minorEastAsia"/>
          <w:color w:val="auto"/>
          <w:sz w:val="24"/>
          <w:szCs w:val="24"/>
          <w:highlight w:val="none"/>
        </w:rPr>
        <w:t>。</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eastAsiaTheme="minorEastAsia"/>
          <w:color w:val="auto"/>
          <w:sz w:val="30"/>
          <w:szCs w:val="30"/>
          <w:highlight w:val="none"/>
          <w:lang w:val="en-US" w:eastAsia="zh-CN"/>
        </w:rPr>
      </w:pPr>
      <w:bookmarkStart w:id="3" w:name="_Toc10876"/>
      <w:r>
        <w:rPr>
          <w:rFonts w:hint="default" w:ascii="Times New Roman" w:hAnsi="Times New Roman" w:cs="Times New Roman" w:eastAsiaTheme="minorEastAsia"/>
          <w:color w:val="auto"/>
          <w:sz w:val="30"/>
          <w:szCs w:val="30"/>
          <w:highlight w:val="none"/>
          <w:lang w:val="en-US" w:eastAsia="zh-CN"/>
        </w:rPr>
        <w:t>1.3区划适用范围</w:t>
      </w:r>
      <w:r>
        <w:rPr>
          <w:rFonts w:hint="eastAsia" w:ascii="Times New Roman" w:hAnsi="Times New Roman" w:cs="Times New Roman" w:eastAsiaTheme="minorEastAsia"/>
          <w:color w:val="auto"/>
          <w:sz w:val="30"/>
          <w:szCs w:val="30"/>
          <w:highlight w:val="none"/>
          <w:lang w:val="en-US" w:eastAsia="zh-CN"/>
        </w:rPr>
        <w:t>及适用时限</w:t>
      </w:r>
      <w:bookmarkEnd w:id="3"/>
    </w:p>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rPr>
        <w:t>区划范围为曲沃县城市区域。本次区划范围以《曲沃县县城总体规划（2014~2030）》范围为主要依据，结合曲沃县现行声功能区划范围、曲沃县建成区进行修正，最终确定此次区划总面积</w:t>
      </w:r>
      <w:r>
        <w:rPr>
          <w:rFonts w:hint="default" w:ascii="Times New Roman" w:hAnsi="Times New Roman" w:cs="Times New Roman" w:eastAsiaTheme="minorEastAsia"/>
          <w:color w:val="auto"/>
          <w:sz w:val="24"/>
          <w:szCs w:val="24"/>
          <w:highlight w:val="none"/>
        </w:rPr>
        <w:t>为1</w:t>
      </w:r>
      <w:r>
        <w:rPr>
          <w:rFonts w:hint="eastAsia" w:cs="Times New Roman" w:eastAsiaTheme="minorEastAsia"/>
          <w:color w:val="auto"/>
          <w:sz w:val="24"/>
          <w:szCs w:val="24"/>
          <w:highlight w:val="none"/>
          <w:lang w:val="en-US" w:eastAsia="zh-CN"/>
        </w:rPr>
        <w:t>5.18</w:t>
      </w:r>
      <w:r>
        <w:rPr>
          <w:rFonts w:hint="default" w:ascii="Times New Roman" w:hAnsi="Times New Roman" w:cs="Times New Roman" w:eastAsiaTheme="minorEastAsia"/>
          <w:color w:val="auto"/>
          <w:sz w:val="24"/>
          <w:szCs w:val="24"/>
          <w:highlight w:val="none"/>
        </w:rPr>
        <w:t>km</w:t>
      </w:r>
      <w:r>
        <w:rPr>
          <w:rFonts w:hint="default" w:ascii="Times New Roman" w:hAnsi="Times New Roman" w:cs="Times New Roman" w:eastAsiaTheme="minorEastAsia"/>
          <w:color w:val="auto"/>
          <w:sz w:val="24"/>
          <w:szCs w:val="24"/>
          <w:highlight w:val="none"/>
          <w:vertAlign w:val="superscript"/>
        </w:rPr>
        <w:t>2</w:t>
      </w:r>
      <w:r>
        <w:rPr>
          <w:rFonts w:hint="default" w:ascii="Times New Roman" w:hAnsi="Times New Roman" w:cs="Times New Roman" w:eastAsiaTheme="minorEastAsia"/>
          <w:color w:val="auto"/>
          <w:sz w:val="24"/>
          <w:szCs w:val="24"/>
          <w:highlight w:val="none"/>
        </w:rPr>
        <w:t>。具体范围为：东至曲绛线，南至浍河沿岸，西南至曲沃古城，西至曲沃县行政区划边界，北至县城北侧地质断裂带（苏村附近）。总面积15.18平方公里。</w:t>
      </w:r>
    </w:p>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rPr>
        <w:t>区划基准年为2019 年</w:t>
      </w:r>
      <w:r>
        <w:rPr>
          <w:rFonts w:hint="eastAsia" w:ascii="Times New Roman" w:hAnsi="Times New Roman" w:cs="Times New Roman" w:eastAsiaTheme="minorEastAsia"/>
          <w:color w:val="auto"/>
          <w:sz w:val="24"/>
          <w:szCs w:val="24"/>
          <w:lang w:eastAsia="zh-CN"/>
        </w:rPr>
        <w:t>。</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eastAsiaTheme="minorEastAsia"/>
          <w:color w:val="auto"/>
          <w:sz w:val="30"/>
          <w:szCs w:val="30"/>
          <w:highlight w:val="none"/>
          <w:lang w:val="en-US" w:eastAsia="zh-CN"/>
        </w:rPr>
      </w:pPr>
      <w:bookmarkStart w:id="4" w:name="_Toc22687"/>
      <w:bookmarkStart w:id="5" w:name="_Toc56782966"/>
      <w:r>
        <w:rPr>
          <w:rFonts w:hint="eastAsia" w:cs="Times New Roman" w:eastAsiaTheme="minorEastAsia"/>
          <w:color w:val="auto"/>
          <w:sz w:val="30"/>
          <w:szCs w:val="30"/>
          <w:highlight w:val="none"/>
          <w:lang w:val="en-US" w:eastAsia="zh-CN"/>
        </w:rPr>
        <w:t>1.4</w:t>
      </w:r>
      <w:r>
        <w:rPr>
          <w:rFonts w:hint="eastAsia" w:ascii="Times New Roman" w:hAnsi="Times New Roman" w:cs="Times New Roman" w:eastAsiaTheme="minorEastAsia"/>
          <w:color w:val="auto"/>
          <w:sz w:val="30"/>
          <w:szCs w:val="30"/>
          <w:highlight w:val="none"/>
          <w:lang w:val="en-US" w:eastAsia="zh-CN"/>
        </w:rPr>
        <w:t>区划工作的目的和意义</w:t>
      </w:r>
      <w:bookmarkEnd w:id="4"/>
      <w:bookmarkEnd w:id="5"/>
    </w:p>
    <w:p>
      <w:pPr>
        <w:pStyle w:val="4"/>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outlineLvl w:val="2"/>
        <w:rPr>
          <w:rFonts w:hint="default" w:ascii="Times New Roman" w:hAnsi="Times New Roman" w:cs="Times New Roman" w:eastAsiaTheme="minorEastAsia"/>
          <w:color w:val="auto"/>
          <w:sz w:val="30"/>
          <w:szCs w:val="30"/>
          <w:highlight w:val="none"/>
          <w:lang w:val="en-US" w:eastAsia="zh-CN"/>
        </w:rPr>
      </w:pPr>
      <w:r>
        <w:rPr>
          <w:rFonts w:hint="eastAsia" w:cs="Times New Roman" w:eastAsiaTheme="minorEastAsia"/>
          <w:color w:val="auto"/>
          <w:sz w:val="30"/>
          <w:szCs w:val="30"/>
          <w:highlight w:val="none"/>
          <w:lang w:val="en-US" w:eastAsia="zh-CN"/>
        </w:rPr>
        <w:t>1.4.1</w:t>
      </w:r>
      <w:r>
        <w:rPr>
          <w:rFonts w:hint="eastAsia" w:ascii="Times New Roman" w:hAnsi="Times New Roman" w:cs="Times New Roman" w:eastAsiaTheme="minorEastAsia"/>
          <w:color w:val="auto"/>
          <w:sz w:val="30"/>
          <w:szCs w:val="30"/>
          <w:highlight w:val="none"/>
          <w:lang w:val="en-US" w:eastAsia="zh-CN"/>
        </w:rPr>
        <w:t>区划工作的目的</w:t>
      </w:r>
    </w:p>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eastAsia" w:ascii="Times New Roman" w:hAnsi="Times New Roman" w:cs="Times New Roman" w:eastAsiaTheme="minorEastAsia"/>
          <w:color w:val="auto"/>
          <w:sz w:val="24"/>
          <w:szCs w:val="24"/>
        </w:rPr>
        <w:t>（</w:t>
      </w:r>
      <w:r>
        <w:rPr>
          <w:rFonts w:hint="default" w:ascii="Times New Roman" w:hAnsi="Times New Roman" w:cs="Times New Roman" w:eastAsiaTheme="minorEastAsia"/>
          <w:color w:val="auto"/>
          <w:sz w:val="24"/>
          <w:szCs w:val="24"/>
        </w:rPr>
        <w:t>1</w:t>
      </w:r>
      <w:r>
        <w:rPr>
          <w:rFonts w:hint="eastAsia" w:ascii="Times New Roman" w:hAnsi="Times New Roman" w:cs="Times New Roman" w:eastAsiaTheme="minorEastAsia"/>
          <w:color w:val="auto"/>
          <w:sz w:val="24"/>
          <w:szCs w:val="24"/>
        </w:rPr>
        <w:t>）以习近平新时代中国特色社会主义思想为指导，提升</w:t>
      </w:r>
      <w:r>
        <w:rPr>
          <w:rFonts w:hint="eastAsia" w:cs="Times New Roman" w:eastAsiaTheme="minorEastAsia"/>
          <w:color w:val="auto"/>
          <w:sz w:val="24"/>
          <w:szCs w:val="24"/>
          <w:lang w:val="en-US" w:eastAsia="zh-CN"/>
        </w:rPr>
        <w:t>曲沃</w:t>
      </w:r>
      <w:r>
        <w:rPr>
          <w:rFonts w:hint="eastAsia" w:ascii="Times New Roman" w:hAnsi="Times New Roman" w:cs="Times New Roman" w:eastAsiaTheme="minorEastAsia"/>
          <w:color w:val="auto"/>
          <w:sz w:val="24"/>
          <w:szCs w:val="24"/>
        </w:rPr>
        <w:t>县噪声环境污染防治和声环境质量管理水平，强化噪声排放源监督管理，切实解决噪声扰民等突出问题，不断改善城市声环境质量，努力建设安静舒适的城市环境，保护居民身体健康，促进和谐社会的建设。</w:t>
      </w:r>
    </w:p>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eastAsia" w:ascii="Times New Roman" w:hAnsi="Times New Roman" w:cs="Times New Roman" w:eastAsiaTheme="minorEastAsia"/>
          <w:color w:val="auto"/>
          <w:sz w:val="24"/>
          <w:szCs w:val="24"/>
        </w:rPr>
        <w:t>（</w:t>
      </w:r>
      <w:r>
        <w:rPr>
          <w:rFonts w:hint="default" w:ascii="Times New Roman" w:hAnsi="Times New Roman" w:cs="Times New Roman" w:eastAsiaTheme="minorEastAsia"/>
          <w:color w:val="auto"/>
          <w:sz w:val="24"/>
          <w:szCs w:val="24"/>
        </w:rPr>
        <w:t>2</w:t>
      </w:r>
      <w:r>
        <w:rPr>
          <w:rFonts w:hint="eastAsia" w:ascii="Times New Roman" w:hAnsi="Times New Roman" w:cs="Times New Roman" w:eastAsiaTheme="minorEastAsia"/>
          <w:color w:val="auto"/>
          <w:sz w:val="24"/>
          <w:szCs w:val="24"/>
        </w:rPr>
        <w:t>）坚持城市、乡村环境噪声的污染与防治相结合，促进声环境质量的全面改善；坚持促进噪声达标排放和减少扰民纠纷相结合，减轻噪声污染对居民生活、工作、学习的影响；坚持环境噪声污染防治和声环境质量管理相结合，健全环境噪声管理制度和政策措施；坚持统一监督与部门分工负责相结合，形成环境噪声污染防治分工联动的工作机制。</w:t>
      </w:r>
    </w:p>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eastAsia" w:ascii="Times New Roman" w:hAnsi="Times New Roman" w:cs="Times New Roman" w:eastAsiaTheme="minorEastAsia"/>
          <w:color w:val="auto"/>
          <w:sz w:val="24"/>
          <w:szCs w:val="24"/>
        </w:rPr>
        <w:t>（</w:t>
      </w:r>
      <w:r>
        <w:rPr>
          <w:rFonts w:hint="default" w:ascii="Times New Roman" w:hAnsi="Times New Roman" w:cs="Times New Roman" w:eastAsiaTheme="minorEastAsia"/>
          <w:color w:val="auto"/>
          <w:sz w:val="24"/>
          <w:szCs w:val="24"/>
        </w:rPr>
        <w:t>3</w:t>
      </w:r>
      <w:r>
        <w:rPr>
          <w:rFonts w:hint="eastAsia" w:ascii="Times New Roman" w:hAnsi="Times New Roman" w:cs="Times New Roman" w:eastAsiaTheme="minorEastAsia"/>
          <w:color w:val="auto"/>
          <w:sz w:val="24"/>
          <w:szCs w:val="24"/>
        </w:rPr>
        <w:t>）“十四五”期间，</w:t>
      </w:r>
      <w:r>
        <w:rPr>
          <w:rFonts w:hint="eastAsia" w:cs="Times New Roman" w:eastAsiaTheme="minorEastAsia"/>
          <w:color w:val="auto"/>
          <w:sz w:val="24"/>
          <w:szCs w:val="24"/>
          <w:lang w:val="en-US" w:eastAsia="zh-CN"/>
        </w:rPr>
        <w:t>曲沃</w:t>
      </w:r>
      <w:r>
        <w:rPr>
          <w:rFonts w:hint="eastAsia" w:ascii="Times New Roman" w:hAnsi="Times New Roman" w:cs="Times New Roman" w:eastAsiaTheme="minorEastAsia"/>
          <w:color w:val="auto"/>
          <w:sz w:val="24"/>
          <w:szCs w:val="24"/>
        </w:rPr>
        <w:t>县环境噪声污染防治能力得到进一步加强，工业、交通、建筑施工和社会生活噪声污染排放全面达标，居民噪声污染投诉、信访和纠纷事件大幅减少；声环境质量管理体系不断完善，城市声环境功能区达标率明显提高，国家环境保护重点城市声环境质量符合国家标准，农村地区声环境进一步改善。</w:t>
      </w:r>
    </w:p>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eastAsia" w:ascii="Times New Roman" w:hAnsi="Times New Roman" w:cs="Times New Roman" w:eastAsiaTheme="minorEastAsia"/>
          <w:color w:val="auto"/>
          <w:sz w:val="24"/>
          <w:szCs w:val="24"/>
        </w:rPr>
        <w:t>（</w:t>
      </w:r>
      <w:r>
        <w:rPr>
          <w:rFonts w:hint="default" w:ascii="Times New Roman" w:hAnsi="Times New Roman" w:cs="Times New Roman" w:eastAsiaTheme="minorEastAsia"/>
          <w:color w:val="auto"/>
          <w:sz w:val="24"/>
          <w:szCs w:val="24"/>
        </w:rPr>
        <w:t>4</w:t>
      </w:r>
      <w:r>
        <w:rPr>
          <w:rFonts w:hint="eastAsia" w:ascii="Times New Roman" w:hAnsi="Times New Roman" w:cs="Times New Roman" w:eastAsiaTheme="minorEastAsia"/>
          <w:color w:val="auto"/>
          <w:sz w:val="24"/>
          <w:szCs w:val="24"/>
        </w:rPr>
        <w:t>）加强</w:t>
      </w:r>
      <w:r>
        <w:rPr>
          <w:rFonts w:hint="eastAsia" w:cs="Times New Roman" w:eastAsiaTheme="minorEastAsia"/>
          <w:color w:val="auto"/>
          <w:sz w:val="24"/>
          <w:szCs w:val="24"/>
          <w:lang w:eastAsia="zh-CN"/>
        </w:rPr>
        <w:t>曲沃县</w:t>
      </w:r>
      <w:r>
        <w:rPr>
          <w:rFonts w:hint="eastAsia" w:ascii="Times New Roman" w:hAnsi="Times New Roman" w:cs="Times New Roman" w:eastAsiaTheme="minorEastAsia"/>
          <w:color w:val="auto"/>
          <w:sz w:val="24"/>
          <w:szCs w:val="24"/>
        </w:rPr>
        <w:t>交通、施工、社会生活、工业生产的噪声污染防治。</w:t>
      </w:r>
    </w:p>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eastAsia" w:ascii="Times New Roman" w:hAnsi="Times New Roman" w:cs="Times New Roman" w:eastAsiaTheme="minorEastAsia"/>
          <w:color w:val="auto"/>
          <w:sz w:val="24"/>
          <w:szCs w:val="24"/>
        </w:rPr>
        <w:t>（5）强化</w:t>
      </w:r>
      <w:r>
        <w:rPr>
          <w:rFonts w:hint="eastAsia" w:cs="Times New Roman" w:eastAsiaTheme="minorEastAsia"/>
          <w:color w:val="auto"/>
          <w:sz w:val="24"/>
          <w:szCs w:val="24"/>
          <w:lang w:eastAsia="zh-CN"/>
        </w:rPr>
        <w:t>曲沃县</w:t>
      </w:r>
      <w:r>
        <w:rPr>
          <w:rFonts w:hint="eastAsia" w:ascii="Times New Roman" w:hAnsi="Times New Roman" w:cs="Times New Roman" w:eastAsiaTheme="minorEastAsia"/>
          <w:color w:val="auto"/>
          <w:sz w:val="24"/>
          <w:szCs w:val="24"/>
        </w:rPr>
        <w:t>各部门协调联动。各级</w:t>
      </w:r>
      <w:r>
        <w:rPr>
          <w:rFonts w:hint="eastAsia" w:cs="Times New Roman" w:eastAsiaTheme="minorEastAsia"/>
          <w:color w:val="auto"/>
          <w:sz w:val="24"/>
          <w:szCs w:val="24"/>
          <w:lang w:val="en-US" w:eastAsia="zh-CN"/>
        </w:rPr>
        <w:t>生态环境保护</w:t>
      </w:r>
      <w:r>
        <w:rPr>
          <w:rFonts w:hint="eastAsia" w:ascii="Times New Roman" w:hAnsi="Times New Roman" w:cs="Times New Roman" w:eastAsiaTheme="minorEastAsia"/>
          <w:color w:val="auto"/>
          <w:sz w:val="24"/>
          <w:szCs w:val="24"/>
        </w:rPr>
        <w:t>、公安、</w:t>
      </w:r>
      <w:r>
        <w:rPr>
          <w:rFonts w:hint="eastAsia" w:cs="Times New Roman" w:eastAsiaTheme="minorEastAsia"/>
          <w:color w:val="auto"/>
          <w:sz w:val="24"/>
          <w:szCs w:val="24"/>
          <w:lang w:val="en-US" w:eastAsia="zh-CN"/>
        </w:rPr>
        <w:t>文旅</w:t>
      </w:r>
      <w:r>
        <w:rPr>
          <w:rFonts w:hint="eastAsia" w:ascii="Times New Roman" w:hAnsi="Times New Roman" w:cs="Times New Roman" w:eastAsiaTheme="minorEastAsia"/>
          <w:color w:val="auto"/>
          <w:sz w:val="24"/>
          <w:szCs w:val="24"/>
        </w:rPr>
        <w:t>、交通、铁路、</w:t>
      </w:r>
      <w:r>
        <w:rPr>
          <w:rFonts w:hint="eastAsia" w:cs="Times New Roman" w:eastAsiaTheme="minorEastAsia"/>
          <w:color w:val="auto"/>
          <w:sz w:val="24"/>
          <w:szCs w:val="24"/>
          <w:lang w:val="en-US" w:eastAsia="zh-CN"/>
        </w:rPr>
        <w:t>住建</w:t>
      </w:r>
      <w:r>
        <w:rPr>
          <w:rFonts w:hint="eastAsia" w:ascii="Times New Roman" w:hAnsi="Times New Roman" w:cs="Times New Roman" w:eastAsiaTheme="minorEastAsia"/>
          <w:color w:val="auto"/>
          <w:sz w:val="24"/>
          <w:szCs w:val="24"/>
        </w:rPr>
        <w:t>、</w:t>
      </w:r>
      <w:r>
        <w:rPr>
          <w:rFonts w:hint="eastAsia" w:cs="Times New Roman" w:eastAsiaTheme="minorEastAsia"/>
          <w:color w:val="auto"/>
          <w:sz w:val="24"/>
          <w:szCs w:val="24"/>
          <w:lang w:val="en-US" w:eastAsia="zh-CN"/>
        </w:rPr>
        <w:t>市场监督管理</w:t>
      </w:r>
      <w:r>
        <w:rPr>
          <w:rFonts w:hint="eastAsia" w:ascii="Times New Roman" w:hAnsi="Times New Roman" w:cs="Times New Roman" w:eastAsiaTheme="minorEastAsia"/>
          <w:color w:val="auto"/>
          <w:sz w:val="24"/>
          <w:szCs w:val="24"/>
        </w:rPr>
        <w:t>等部门应协调配合，加强噪声污染防治。各级</w:t>
      </w:r>
      <w:r>
        <w:rPr>
          <w:rFonts w:hint="eastAsia" w:cs="Times New Roman" w:eastAsiaTheme="minorEastAsia"/>
          <w:color w:val="auto"/>
          <w:sz w:val="24"/>
          <w:szCs w:val="24"/>
          <w:lang w:val="en-US" w:eastAsia="zh-CN"/>
        </w:rPr>
        <w:t>生态环境保护</w:t>
      </w:r>
      <w:r>
        <w:rPr>
          <w:rFonts w:hint="eastAsia" w:ascii="Times New Roman" w:hAnsi="Times New Roman" w:cs="Times New Roman" w:eastAsiaTheme="minorEastAsia"/>
          <w:color w:val="auto"/>
          <w:sz w:val="24"/>
          <w:szCs w:val="24"/>
        </w:rPr>
        <w:t>、</w:t>
      </w:r>
      <w:r>
        <w:rPr>
          <w:rFonts w:hint="eastAsia" w:cs="Times New Roman" w:eastAsiaTheme="minorEastAsia"/>
          <w:color w:val="auto"/>
          <w:sz w:val="24"/>
          <w:szCs w:val="24"/>
          <w:lang w:val="en-US" w:eastAsia="zh-CN"/>
        </w:rPr>
        <w:t>自然资源</w:t>
      </w:r>
      <w:r>
        <w:rPr>
          <w:rFonts w:hint="eastAsia" w:ascii="Times New Roman" w:hAnsi="Times New Roman" w:cs="Times New Roman" w:eastAsiaTheme="minorEastAsia"/>
          <w:color w:val="auto"/>
          <w:sz w:val="24"/>
          <w:szCs w:val="24"/>
        </w:rPr>
        <w:t>、</w:t>
      </w:r>
      <w:r>
        <w:rPr>
          <w:rFonts w:hint="eastAsia" w:cs="Times New Roman" w:eastAsiaTheme="minorEastAsia"/>
          <w:color w:val="auto"/>
          <w:sz w:val="24"/>
          <w:szCs w:val="24"/>
          <w:lang w:val="en-US" w:eastAsia="zh-CN"/>
        </w:rPr>
        <w:t>住建</w:t>
      </w:r>
      <w:r>
        <w:rPr>
          <w:rFonts w:hint="eastAsia" w:ascii="Times New Roman" w:hAnsi="Times New Roman" w:cs="Times New Roman" w:eastAsiaTheme="minorEastAsia"/>
          <w:color w:val="auto"/>
          <w:sz w:val="24"/>
          <w:szCs w:val="24"/>
        </w:rPr>
        <w:t>、</w:t>
      </w:r>
      <w:r>
        <w:rPr>
          <w:rFonts w:hint="eastAsia" w:cs="Times New Roman" w:eastAsiaTheme="minorEastAsia"/>
          <w:color w:val="auto"/>
          <w:sz w:val="24"/>
          <w:szCs w:val="24"/>
          <w:lang w:val="en-US" w:eastAsia="zh-CN"/>
        </w:rPr>
        <w:t>市场监督管理</w:t>
      </w:r>
      <w:r>
        <w:rPr>
          <w:rFonts w:hint="eastAsia" w:ascii="Times New Roman" w:hAnsi="Times New Roman" w:cs="Times New Roman" w:eastAsiaTheme="minorEastAsia"/>
          <w:color w:val="auto"/>
          <w:sz w:val="24"/>
          <w:szCs w:val="24"/>
        </w:rPr>
        <w:t>等部门应明确噪声违法行为的执法程序和处罚机构。定期组织联合执法专项行动。</w:t>
      </w:r>
    </w:p>
    <w:p>
      <w:pPr>
        <w:pStyle w:val="4"/>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outlineLvl w:val="2"/>
        <w:rPr>
          <w:rFonts w:hint="default" w:ascii="Times New Roman" w:hAnsi="Times New Roman" w:cs="Times New Roman" w:eastAsiaTheme="minorEastAsia"/>
          <w:color w:val="auto"/>
          <w:sz w:val="30"/>
          <w:szCs w:val="30"/>
          <w:highlight w:val="none"/>
          <w:lang w:val="en-US" w:eastAsia="zh-CN"/>
        </w:rPr>
      </w:pPr>
      <w:r>
        <w:rPr>
          <w:rFonts w:hint="eastAsia" w:ascii="Times New Roman" w:hAnsi="Times New Roman" w:cs="Times New Roman" w:eastAsiaTheme="minorEastAsia"/>
          <w:color w:val="auto"/>
          <w:sz w:val="30"/>
          <w:szCs w:val="30"/>
          <w:highlight w:val="none"/>
          <w:lang w:val="en-US" w:eastAsia="zh-CN"/>
        </w:rPr>
        <w:t>1.4.2区划工作的意义</w:t>
      </w:r>
    </w:p>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eastAsia" w:ascii="Times New Roman" w:hAnsi="Times New Roman" w:cs="Times New Roman" w:eastAsiaTheme="minorEastAsia"/>
          <w:color w:val="auto"/>
          <w:sz w:val="24"/>
          <w:szCs w:val="24"/>
        </w:rPr>
        <w:t>本次声环境功能区划和调整工作，对改善和提高城市声环境质量，保障人民身体健康，促进城市社会经济的快速发展具有重要意义。</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eastAsiaTheme="minorEastAsia"/>
          <w:color w:val="auto"/>
          <w:sz w:val="30"/>
          <w:szCs w:val="30"/>
          <w:highlight w:val="none"/>
          <w:lang w:val="en-US" w:eastAsia="zh-CN"/>
        </w:rPr>
      </w:pPr>
      <w:bookmarkStart w:id="6" w:name="_Toc10278"/>
      <w:r>
        <w:rPr>
          <w:rFonts w:hint="default" w:ascii="Times New Roman" w:hAnsi="Times New Roman" w:cs="Times New Roman" w:eastAsiaTheme="minorEastAsia"/>
          <w:color w:val="auto"/>
          <w:sz w:val="30"/>
          <w:szCs w:val="30"/>
          <w:highlight w:val="none"/>
          <w:lang w:val="en-US" w:eastAsia="zh-CN"/>
        </w:rPr>
        <w:t>1.</w:t>
      </w:r>
      <w:r>
        <w:rPr>
          <w:rFonts w:hint="eastAsia" w:cs="Times New Roman" w:eastAsiaTheme="minorEastAsia"/>
          <w:color w:val="auto"/>
          <w:sz w:val="30"/>
          <w:szCs w:val="30"/>
          <w:highlight w:val="none"/>
          <w:lang w:val="en-US" w:eastAsia="zh-CN"/>
        </w:rPr>
        <w:t>5</w:t>
      </w:r>
      <w:r>
        <w:rPr>
          <w:rFonts w:hint="default" w:ascii="Times New Roman" w:hAnsi="Times New Roman" w:cs="Times New Roman" w:eastAsiaTheme="minorEastAsia"/>
          <w:color w:val="auto"/>
          <w:sz w:val="30"/>
          <w:szCs w:val="30"/>
          <w:highlight w:val="none"/>
          <w:lang w:val="en-US" w:eastAsia="zh-CN"/>
        </w:rPr>
        <w:t>区划的原则</w:t>
      </w:r>
      <w:bookmarkEnd w:id="6"/>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区划以有效地控制噪声污染的程度和范围，有利于提高声环境质量为宗旨。区划应遵循以下基本原则。</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（1）区划应以城市规划为指导，按区域规划用地的主导功能、用地现状确定。应覆盖整个城市规划区面积。</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（2）区划应便于城市噪声管理和促进噪声治理。</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（3）单块的声环境功能区面积，原则上不小于0.5km</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。山区等地形特殊的城市，可根据城市的地形特征确定适宜的区域面积。</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（4）调整声环境功能区类别需进行充分的说明。严格控制4类声环境功能区范围。</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（5）根据城市规模和用地变化情况，噪声区划可适时调整，原则上不超过5年调整一次。</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（6）协调一致原则。城市区域声环境功能区划分要充分考虑城市的经济、社会发展，要有利于城市规划的实施和城市改造，做到区划科学合理，促进环境、经济、社会协调一致发展。</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（7）相邻适用区达标原则。工业企业及固定源设备排放噪声影响到相邻噪声适用区内的噪声敏感建筑物时，其排放的噪声在敏感建筑物应达到该区域的声环境质量标准。</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eastAsiaTheme="minorEastAsia"/>
          <w:color w:val="auto"/>
          <w:sz w:val="30"/>
          <w:szCs w:val="30"/>
          <w:highlight w:val="none"/>
          <w:lang w:val="en-US" w:eastAsia="zh-CN"/>
        </w:rPr>
      </w:pPr>
      <w:bookmarkStart w:id="7" w:name="_Toc26927"/>
      <w:r>
        <w:rPr>
          <w:rFonts w:hint="default" w:ascii="Times New Roman" w:hAnsi="Times New Roman" w:cs="Times New Roman" w:eastAsiaTheme="minorEastAsia"/>
          <w:color w:val="auto"/>
          <w:sz w:val="30"/>
          <w:szCs w:val="30"/>
          <w:highlight w:val="none"/>
          <w:lang w:val="en-US" w:eastAsia="zh-CN"/>
        </w:rPr>
        <w:t>1.</w:t>
      </w:r>
      <w:r>
        <w:rPr>
          <w:rFonts w:hint="eastAsia" w:cs="Times New Roman" w:eastAsiaTheme="minorEastAsia"/>
          <w:color w:val="auto"/>
          <w:sz w:val="30"/>
          <w:szCs w:val="30"/>
          <w:highlight w:val="none"/>
          <w:lang w:val="en-US" w:eastAsia="zh-CN"/>
        </w:rPr>
        <w:t>6</w:t>
      </w:r>
      <w:r>
        <w:rPr>
          <w:rFonts w:hint="default" w:ascii="Times New Roman" w:hAnsi="Times New Roman" w:cs="Times New Roman" w:eastAsiaTheme="minorEastAsia"/>
          <w:color w:val="auto"/>
          <w:sz w:val="30"/>
          <w:szCs w:val="30"/>
          <w:highlight w:val="none"/>
          <w:lang w:val="en-US" w:eastAsia="zh-CN"/>
        </w:rPr>
        <w:t>区划的技术路线</w:t>
      </w:r>
      <w:bookmarkEnd w:id="7"/>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（1）准备噪声区划工作资料：城市总体规划、</w:t>
      </w:r>
      <w:r>
        <w:rPr>
          <w:rFonts w:hint="default" w:ascii="Times New Roman" w:hAnsi="Times New Roman" w:cs="Times New Roman" w:eastAsiaTheme="minorEastAsia"/>
          <w:color w:val="auto"/>
          <w:sz w:val="24"/>
          <w:szCs w:val="24"/>
          <w:lang w:val="en-US" w:eastAsia="zh-CN"/>
        </w:rPr>
        <w:t>控制性详规</w:t>
      </w:r>
      <w:r>
        <w:rPr>
          <w:rFonts w:hint="default" w:ascii="Times New Roman" w:hAnsi="Times New Roman" w:cs="Times New Roman" w:eastAsiaTheme="minorEastAsia"/>
          <w:color w:val="auto"/>
          <w:sz w:val="24"/>
          <w:szCs w:val="24"/>
        </w:rPr>
        <w:t>、城市用地统计资料、声环境质量状况统计资料和比例适当的工作地图。</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（2）现状用地调查。</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（3）制定监测方案，开展噪声监测。</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w:t>
      </w:r>
      <w:r>
        <w:rPr>
          <w:rFonts w:hint="default" w:ascii="Times New Roman" w:hAnsi="Times New Roman" w:cs="Times New Roman" w:eastAsiaTheme="minorEastAsia"/>
          <w:color w:val="auto"/>
          <w:sz w:val="24"/>
          <w:szCs w:val="24"/>
          <w:lang w:val="en-US" w:eastAsia="zh-CN"/>
        </w:rPr>
        <w:t>4</w:t>
      </w:r>
      <w:r>
        <w:rPr>
          <w:rFonts w:hint="default" w:ascii="Times New Roman" w:hAnsi="Times New Roman" w:cs="Times New Roman" w:eastAsiaTheme="minorEastAsia"/>
          <w:color w:val="auto"/>
          <w:sz w:val="24"/>
          <w:szCs w:val="24"/>
        </w:rPr>
        <w:t>）确立噪声区划单元，划定各区划单元的区域类型。</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（5）合并与融合：多个区域类型相同且相邻的单元连成片，充分利用街、区行政边界、规划小区边界、道路、河流、沟壑、绿地等自然地形作为区域边界。</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（6）分析噪声监测结果对区划结果指导性。</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（7）结合现状监测、环境管理要求对初步划定的区划方案进行分析、调整。</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（8）征求</w:t>
      </w:r>
      <w:r>
        <w:rPr>
          <w:rFonts w:hint="eastAsia" w:cs="Times New Roman" w:eastAsiaTheme="minorEastAsia"/>
          <w:color w:val="auto"/>
          <w:sz w:val="24"/>
          <w:szCs w:val="24"/>
          <w:lang w:val="en-US" w:eastAsia="zh-CN"/>
        </w:rPr>
        <w:t>生态环境</w:t>
      </w:r>
      <w:r>
        <w:rPr>
          <w:rFonts w:hint="default" w:ascii="Times New Roman" w:hAnsi="Times New Roman" w:cs="Times New Roman" w:eastAsiaTheme="minorEastAsia"/>
          <w:color w:val="auto"/>
          <w:sz w:val="24"/>
          <w:szCs w:val="24"/>
          <w:lang w:val="en-US" w:eastAsia="zh-CN"/>
        </w:rPr>
        <w:t>、住建、交通、</w:t>
      </w:r>
      <w:r>
        <w:rPr>
          <w:rFonts w:hint="eastAsia" w:cs="Times New Roman" w:eastAsiaTheme="minorEastAsia"/>
          <w:color w:val="auto"/>
          <w:sz w:val="24"/>
          <w:szCs w:val="24"/>
          <w:lang w:val="en-US" w:eastAsia="zh-CN"/>
        </w:rPr>
        <w:t>自然资源</w:t>
      </w:r>
      <w:r>
        <w:rPr>
          <w:rFonts w:hint="default" w:ascii="Times New Roman" w:hAnsi="Times New Roman" w:cs="Times New Roman" w:eastAsiaTheme="minorEastAsia"/>
          <w:color w:val="auto"/>
          <w:sz w:val="24"/>
          <w:szCs w:val="24"/>
          <w:lang w:eastAsia="zh-CN"/>
        </w:rPr>
        <w:t>等部门对声环境功能区划方案的意见，汇总并按照意见进行调整。</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（9）确定声环境功能区划方案。</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（10）绘制声环境功能区划图。</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（11）系统整理区划工作报告、区划方案、区划图等资料报上级</w:t>
      </w:r>
      <w:r>
        <w:rPr>
          <w:rFonts w:hint="eastAsia" w:cs="Times New Roman" w:eastAsiaTheme="minorEastAsia"/>
          <w:color w:val="auto"/>
          <w:sz w:val="24"/>
          <w:szCs w:val="24"/>
          <w:lang w:val="en-US" w:eastAsia="zh-CN"/>
        </w:rPr>
        <w:t>生态环境保护</w:t>
      </w:r>
      <w:r>
        <w:rPr>
          <w:rFonts w:hint="default" w:ascii="Times New Roman" w:hAnsi="Times New Roman" w:cs="Times New Roman" w:eastAsiaTheme="minorEastAsia"/>
          <w:color w:val="auto"/>
          <w:sz w:val="24"/>
          <w:szCs w:val="24"/>
          <w:lang w:eastAsia="zh-CN"/>
        </w:rPr>
        <w:t>行政主管部门验收。</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（12）地方</w:t>
      </w:r>
      <w:r>
        <w:rPr>
          <w:rFonts w:hint="eastAsia" w:cs="Times New Roman" w:eastAsiaTheme="minorEastAsia"/>
          <w:color w:val="auto"/>
          <w:sz w:val="24"/>
          <w:szCs w:val="24"/>
          <w:lang w:val="en-US" w:eastAsia="zh-CN"/>
        </w:rPr>
        <w:t>生态环境保护</w:t>
      </w:r>
      <w:r>
        <w:rPr>
          <w:rFonts w:hint="default" w:ascii="Times New Roman" w:hAnsi="Times New Roman" w:cs="Times New Roman" w:eastAsiaTheme="minorEastAsia"/>
          <w:color w:val="auto"/>
          <w:sz w:val="24"/>
          <w:szCs w:val="24"/>
          <w:lang w:eastAsia="zh-CN"/>
        </w:rPr>
        <w:t>行政主管部门将区划方案报当地人民政府审批、公布实施。</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曲沃县声</w:t>
      </w:r>
      <w:r>
        <w:rPr>
          <w:rFonts w:hint="default" w:ascii="Times New Roman" w:hAnsi="Times New Roman" w:cs="Times New Roman" w:eastAsiaTheme="minorEastAsia"/>
          <w:color w:val="auto"/>
          <w:sz w:val="24"/>
          <w:szCs w:val="24"/>
        </w:rPr>
        <w:t>环境功能区划分技术路线见图1-1</w:t>
      </w:r>
      <w:r>
        <w:rPr>
          <w:rFonts w:hint="default" w:ascii="Times New Roman" w:hAnsi="Times New Roman" w:cs="Times New Roman" w:eastAsiaTheme="minorEastAsia"/>
          <w:color w:val="auto"/>
          <w:sz w:val="24"/>
          <w:szCs w:val="24"/>
          <w:lang w:eastAsia="zh-CN"/>
        </w:rPr>
        <w:t>。</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kern w:val="2"/>
          <w:sz w:val="21"/>
          <w:szCs w:val="21"/>
          <w:highlight w:val="none"/>
          <w:lang w:val="en-US" w:eastAsia="zh-CN" w:bidi="ar"/>
        </w:rPr>
        <w:drawing>
          <wp:anchor distT="0" distB="0" distL="114300" distR="114300" simplePos="0" relativeHeight="251669504" behindDoc="0" locked="0" layoutInCell="1" allowOverlap="1">
            <wp:simplePos x="0" y="0"/>
            <wp:positionH relativeFrom="column">
              <wp:posOffset>47625</wp:posOffset>
            </wp:positionH>
            <wp:positionV relativeFrom="paragraph">
              <wp:posOffset>160020</wp:posOffset>
            </wp:positionV>
            <wp:extent cx="5066665" cy="5989955"/>
            <wp:effectExtent l="0" t="0" r="635" b="10795"/>
            <wp:wrapNone/>
            <wp:docPr id="6" name="图片 20" descr="IMG_25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20" descr="IMG_256"/>
                    <pic:cNvPicPr>
                      <a:picLocks noChangeAspect="true"/>
                    </pic:cNvPicPr>
                  </pic:nvPicPr>
                  <pic:blipFill>
                    <a:blip r:embed="rId17"/>
                    <a:stretch>
                      <a:fillRect/>
                    </a:stretch>
                  </pic:blipFill>
                  <pic:spPr>
                    <a:xfrm>
                      <a:off x="0" y="0"/>
                      <a:ext cx="5066665" cy="5989955"/>
                    </a:xfrm>
                    <a:prstGeom prst="rect">
                      <a:avLst/>
                    </a:prstGeom>
                    <a:noFill/>
                    <a:ln>
                      <a:noFill/>
                    </a:ln>
                  </pic:spPr>
                </pic:pic>
              </a:graphicData>
            </a:graphic>
          </wp:anchor>
        </w:drawing>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lang w:eastAsia="zh-CN"/>
        </w:rPr>
      </w:pPr>
    </w:p>
    <w:p>
      <w:pPr>
        <w:pStyle w:val="43"/>
        <w:ind w:firstLine="0" w:firstLineChars="0"/>
        <w:rPr>
          <w:rFonts w:hint="default" w:ascii="Times New Roman" w:hAnsi="Times New Roman" w:cs="Times New Roman" w:eastAsiaTheme="minorEastAsia"/>
          <w:color w:val="auto"/>
        </w:rPr>
      </w:pPr>
    </w:p>
    <w:p>
      <w:pPr>
        <w:pStyle w:val="43"/>
        <w:ind w:firstLine="0" w:firstLineChars="0"/>
        <w:rPr>
          <w:rFonts w:hint="default" w:ascii="Times New Roman" w:hAnsi="Times New Roman" w:cs="Times New Roman" w:eastAsiaTheme="minorEastAsia"/>
          <w:color w:val="auto"/>
        </w:rPr>
      </w:pPr>
    </w:p>
    <w:p>
      <w:pPr>
        <w:pStyle w:val="43"/>
        <w:ind w:firstLine="0" w:firstLineChars="0"/>
        <w:rPr>
          <w:rFonts w:hint="default" w:ascii="Times New Roman" w:hAnsi="Times New Roman" w:cs="Times New Roman" w:eastAsiaTheme="minorEastAsia"/>
          <w:color w:val="auto"/>
        </w:rPr>
      </w:pPr>
    </w:p>
    <w:p>
      <w:pPr>
        <w:pStyle w:val="43"/>
        <w:ind w:firstLine="0" w:firstLineChars="0"/>
        <w:rPr>
          <w:rFonts w:hint="default" w:ascii="Times New Roman" w:hAnsi="Times New Roman" w:cs="Times New Roman" w:eastAsiaTheme="minorEastAsia"/>
          <w:color w:val="auto"/>
        </w:rPr>
      </w:pP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pict>
          <v:shape id="_x0000_s1031" o:spid="_x0000_s1031" o:spt="202" type="#_x0000_t202" style="position:absolute;left:0pt;margin-left:60.25pt;margin-top:630.4pt;height:31.2pt;width:290.25pt;z-index:251658240;mso-width-relative:page;mso-height-relative:page;" stroked="f" coordsize="21600,21600">
            <v:path/>
            <v:fill focussize="0,0"/>
            <v:stroke on="f" joinstyle="miter"/>
            <v:imagedata o:title=""/>
            <o:lock v:ext="edit"/>
            <v:textbox inset="0mm,0mm,0mm,0mm" style="mso-fit-shape-to-text:t;">
              <w:txbxContent>
                <w:p>
                  <w:pPr>
                    <w:pStyle w:val="11"/>
                    <w:ind w:firstLine="560"/>
                    <w:rPr>
                      <w:rFonts w:eastAsia="华文仿宋"/>
                      <w:kern w:val="28"/>
                      <w:szCs w:val="28"/>
                    </w:rPr>
                  </w:pPr>
                  <w:r>
                    <w:rPr>
                      <w:rFonts w:hint="eastAsia"/>
                    </w:rPr>
                    <w:t>图</w:t>
                  </w:r>
                  <w:r>
                    <w:fldChar w:fldCharType="begin"/>
                  </w:r>
                  <w:r>
                    <w:instrText xml:space="preserve"> </w:instrText>
                  </w:r>
                  <w:r>
                    <w:rPr>
                      <w:rFonts w:hint="eastAsia"/>
                    </w:rPr>
                    <w:instrText xml:space="preserve">STYLEREF 1 \s</w:instrText>
                  </w:r>
                  <w:r>
                    <w:instrText xml:space="preserve"> </w:instrText>
                  </w:r>
                  <w:r>
                    <w:fldChar w:fldCharType="separate"/>
                  </w:r>
                  <w:r>
                    <w:t>1</w:t>
                  </w:r>
                  <w:r>
                    <w:fldChar w:fldCharType="end"/>
                  </w:r>
                  <w:r>
                    <w:noBreakHyphen/>
                  </w:r>
                  <w:r>
                    <w:fldChar w:fldCharType="begin"/>
                  </w:r>
                  <w:r>
                    <w:instrText xml:space="preserve"> </w:instrText>
                  </w:r>
                  <w:r>
                    <w:rPr>
                      <w:rFonts w:hint="eastAsia"/>
                    </w:rPr>
                    <w:instrText xml:space="preserve">SEQ 图 \* ARABIC \s 1</w:instrText>
                  </w:r>
                  <w:r>
                    <w:instrText xml:space="preserve"> </w:instrText>
                  </w:r>
                  <w:r>
                    <w:fldChar w:fldCharType="separate"/>
                  </w:r>
                  <w:r>
                    <w:t>1</w:t>
                  </w:r>
                  <w:r>
                    <w:fldChar w:fldCharType="end"/>
                  </w:r>
                  <w:r>
                    <w:rPr>
                      <w:rFonts w:hint="eastAsia"/>
                    </w:rPr>
                    <w:t>曲沃县声环境功能区划技术路线图</w:t>
                  </w:r>
                </w:p>
              </w:txbxContent>
            </v:textbox>
          </v:shape>
        </w:pict>
      </w:r>
      <w:r>
        <w:rPr>
          <w:rFonts w:hint="default" w:ascii="Times New Roman" w:hAnsi="Times New Roman" w:cs="Times New Roman" w:eastAsiaTheme="minorEastAsia"/>
          <w:b/>
          <w:bCs/>
          <w:color w:val="auto"/>
          <w:sz w:val="24"/>
          <w:szCs w:val="24"/>
        </w:rPr>
        <w:t>图1</w:t>
      </w:r>
      <w:r>
        <w:rPr>
          <w:rFonts w:hint="default" w:ascii="Times New Roman" w:hAnsi="Times New Roman" w:cs="Times New Roman" w:eastAsiaTheme="minorEastAsia"/>
          <w:b/>
          <w:bCs/>
          <w:color w:val="auto"/>
          <w:sz w:val="24"/>
          <w:szCs w:val="24"/>
        </w:rPr>
        <w:noBreakHyphen/>
      </w:r>
      <w:r>
        <w:rPr>
          <w:rFonts w:hint="default" w:ascii="Times New Roman" w:hAnsi="Times New Roman" w:cs="Times New Roman" w:eastAsiaTheme="minorEastAsia"/>
          <w:b/>
          <w:bCs/>
          <w:color w:val="auto"/>
          <w:sz w:val="24"/>
          <w:szCs w:val="24"/>
        </w:rPr>
        <w:t>1  曲沃县声功能区划技术路线图</w:t>
      </w:r>
    </w:p>
    <w:p>
      <w:pPr>
        <w:pStyle w:val="43"/>
        <w:ind w:firstLine="0" w:firstLineChars="0"/>
        <w:rPr>
          <w:rFonts w:hint="default" w:ascii="Times New Roman" w:hAnsi="Times New Roman" w:cs="Times New Roman" w:eastAsiaTheme="minorEastAsia"/>
          <w:color w:val="auto"/>
        </w:rPr>
        <w:sectPr>
          <w:headerReference r:id="rId12" w:type="default"/>
          <w:footerReference r:id="rId13"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hint="default" w:ascii="Times New Roman" w:hAnsi="Times New Roman" w:cs="Times New Roman" w:eastAsiaTheme="minorEastAsia"/>
          <w:color w:val="auto"/>
        </w:rPr>
        <w:t xml:space="preserve"> </w:t>
      </w:r>
    </w:p>
    <w:p>
      <w:pPr>
        <w:pStyle w:val="2"/>
        <w:keepNext/>
        <w:keepLines/>
        <w:pageBreakBefore w:val="0"/>
        <w:widowControl w:val="0"/>
        <w:numPr>
          <w:ilvl w:val="0"/>
          <w:numId w:val="0"/>
        </w:numPr>
        <w:kinsoku/>
        <w:wordWrap/>
        <w:overflowPunct/>
        <w:topLinePunct w:val="0"/>
        <w:autoSpaceDE/>
        <w:autoSpaceDN/>
        <w:bidi w:val="0"/>
        <w:adjustRightInd/>
        <w:snapToGrid/>
        <w:spacing w:before="0" w:beforeLines="0" w:line="360" w:lineRule="auto"/>
        <w:ind w:leftChars="0"/>
        <w:jc w:val="both"/>
        <w:textAlignment w:val="auto"/>
        <w:rPr>
          <w:rFonts w:hint="default" w:ascii="Times New Roman" w:hAnsi="Times New Roman" w:cs="Times New Roman" w:eastAsiaTheme="minorEastAsia"/>
          <w:color w:val="auto"/>
          <w:sz w:val="32"/>
          <w:szCs w:val="32"/>
          <w:highlight w:val="none"/>
          <w:lang w:val="en-US" w:eastAsia="zh-CN"/>
        </w:rPr>
      </w:pPr>
      <w:bookmarkStart w:id="8" w:name="_Toc7914"/>
      <w:r>
        <w:rPr>
          <w:rFonts w:hint="default" w:ascii="Times New Roman" w:hAnsi="Times New Roman" w:cs="Times New Roman" w:eastAsiaTheme="minorEastAsia"/>
          <w:color w:val="auto"/>
          <w:sz w:val="32"/>
          <w:szCs w:val="32"/>
          <w:highlight w:val="none"/>
          <w:lang w:val="en-US" w:eastAsia="zh-CN"/>
        </w:rPr>
        <w:t>2区域自然、社会经济环境概况</w:t>
      </w:r>
      <w:bookmarkEnd w:id="8"/>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eastAsiaTheme="minorEastAsia"/>
          <w:color w:val="auto"/>
          <w:sz w:val="30"/>
          <w:szCs w:val="30"/>
          <w:highlight w:val="none"/>
          <w:lang w:val="en-US" w:eastAsia="zh-CN"/>
        </w:rPr>
      </w:pPr>
      <w:bookmarkStart w:id="9" w:name="_Toc15401"/>
      <w:r>
        <w:rPr>
          <w:rFonts w:hint="default" w:ascii="Times New Roman" w:hAnsi="Times New Roman" w:cs="Times New Roman" w:eastAsiaTheme="minorEastAsia"/>
          <w:color w:val="auto"/>
          <w:sz w:val="30"/>
          <w:szCs w:val="30"/>
          <w:highlight w:val="none"/>
          <w:lang w:val="en-US" w:eastAsia="zh-CN"/>
        </w:rPr>
        <w:t>2.1自然环境概况</w:t>
      </w:r>
      <w:bookmarkEnd w:id="9"/>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default" w:ascii="Times New Roman" w:hAnsi="Times New Roman" w:cs="Times New Roman" w:eastAsiaTheme="minorEastAsia"/>
          <w:color w:val="auto"/>
          <w:sz w:val="28"/>
          <w:szCs w:val="28"/>
          <w:lang w:val="en-US" w:eastAsia="zh-CN"/>
        </w:rPr>
        <w:t>2.1.1地理位置</w:t>
      </w:r>
    </w:p>
    <w:p>
      <w:pPr>
        <w:pStyle w:val="43"/>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曲沃县位于山西省临汾盆地南端，地理坐标为东经111°24′~111°37′，北纬35°33′~35°51′。北依太行山余脉塔儿山、乔山、垆顶山，西傍汾河同襄汾河为界；南隔中条山余脉紫金山与绛县为邻；东和翼城县接壤；西同侯马市毗连。县境南北长29.5千米，东西宽15.4千米，总面积437.9平方千米。</w:t>
      </w:r>
    </w:p>
    <w:p>
      <w:pPr>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曲沃县地理位置见图2-1。</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default" w:ascii="Times New Roman" w:hAnsi="Times New Roman" w:cs="Times New Roman" w:eastAsiaTheme="minorEastAsia"/>
          <w:color w:val="auto"/>
          <w:sz w:val="28"/>
          <w:szCs w:val="28"/>
          <w:lang w:val="en-US" w:eastAsia="zh-CN"/>
        </w:rPr>
        <w:t>2.1.2地形地貌</w:t>
      </w:r>
    </w:p>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曲沃县地处侯马断陷盆地东部，受地壳造山运动影响，北部塔儿山、南部紫金山隆起，形成两山夹一盆地的地形单元。盆地呈东西向展布，大部为冲积平原。境内除南北两山出露基岩外，其余主要为黄土所覆盖。山区出露地层有前震旦系、震旦系、寒武系、奥陶系、石炭系、二迭系等。盆地中隐伏断裂、褶曲、火成岩体发育，并伴随有新构造运动发生。由于地质构造运动的差异，各地隆起沉降不均匀，北、东、南部高，西部低。</w:t>
      </w:r>
    </w:p>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曲沃县地形见图2-</w:t>
      </w:r>
      <w:r>
        <w:rPr>
          <w:rFonts w:hint="default" w:ascii="Times New Roman" w:hAnsi="Times New Roman" w:cs="Times New Roman" w:eastAsiaTheme="minorEastAsia"/>
          <w:color w:val="auto"/>
          <w:sz w:val="24"/>
          <w:szCs w:val="24"/>
          <w:lang w:val="en-US" w:eastAsia="zh-CN"/>
        </w:rPr>
        <w:t>2</w:t>
      </w:r>
      <w:r>
        <w:rPr>
          <w:rFonts w:hint="default" w:ascii="Times New Roman" w:hAnsi="Times New Roman" w:cs="Times New Roman" w:eastAsiaTheme="minorEastAsia"/>
          <w:color w:val="auto"/>
          <w:sz w:val="24"/>
          <w:szCs w:val="24"/>
        </w:rPr>
        <w:t>。</w:t>
      </w:r>
    </w:p>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现县境内呈现五大地貌类型：土石山区、山前倾斜平原区、黄土塬区、冲积平原区、现代河谷区。</w:t>
      </w:r>
    </w:p>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1）土石山区</w:t>
      </w:r>
    </w:p>
    <w:p>
      <w:pPr>
        <w:pStyle w:val="43"/>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北部自东向西有太岳山余脉塔儿山、乔山、垆顶山三峰，山峦重叠，逶迤延伸。塔儿山海拔1491.6米，为全县最高点。乔山、垆顶山海拔依次为1160 米、1122.8米。南部有中条山支脉紫金山东西蜿蜒，主峰三县顶海拔1118 米。山区底部海拔均在600米以上，此地区，岩石裸露，地势陡峭，沟深谷幽，植被较稀。</w:t>
      </w:r>
    </w:p>
    <w:p>
      <w:pPr>
        <w:pStyle w:val="43"/>
        <w:keepNext w:val="0"/>
        <w:keepLines w:val="0"/>
        <w:pageBreakBefore w:val="0"/>
        <w:widowControl w:val="0"/>
        <w:kinsoku/>
        <w:wordWrap/>
        <w:overflowPunct/>
        <w:topLinePunct w:val="0"/>
        <w:autoSpaceDE/>
        <w:autoSpaceDN/>
        <w:bidi w:val="0"/>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2）山前倾斜平原区</w:t>
      </w:r>
    </w:p>
    <w:p>
      <w:pPr>
        <w:pStyle w:val="43"/>
        <w:keepNext w:val="0"/>
        <w:keepLines w:val="0"/>
        <w:pageBreakBefore w:val="0"/>
        <w:widowControl w:val="0"/>
        <w:kinsoku/>
        <w:wordWrap/>
        <w:overflowPunct/>
        <w:topLinePunct w:val="0"/>
        <w:autoSpaceDE/>
        <w:autoSpaceDN/>
        <w:bidi w:val="0"/>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北部塔儿山前倾斜平原，北高南低，东高西低，冲沟呈南北向发育。紫金山前倾斜平原，南高北低，西高东低，沟谷呈南北向发育。山前倾斜平原上部坡度较大，下部地形变缓，沟谷趋减，海拔500~700米。</w:t>
      </w:r>
    </w:p>
    <w:p>
      <w:pPr>
        <w:pStyle w:val="43"/>
        <w:ind w:firstLine="560"/>
        <w:rPr>
          <w:rFonts w:hint="default" w:ascii="Times New Roman" w:hAnsi="Times New Roman" w:cs="Times New Roman" w:eastAsiaTheme="minorEastAsia"/>
          <w:color w:val="auto"/>
        </w:rPr>
      </w:pPr>
    </w:p>
    <w:p>
      <w:pPr>
        <w:pStyle w:val="43"/>
        <w:ind w:firstLine="56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drawing>
          <wp:anchor distT="0" distB="0" distL="0" distR="0" simplePos="0" relativeHeight="251670528" behindDoc="0" locked="0" layoutInCell="1" allowOverlap="1">
            <wp:simplePos x="0" y="0"/>
            <wp:positionH relativeFrom="column">
              <wp:posOffset>-56515</wp:posOffset>
            </wp:positionH>
            <wp:positionV relativeFrom="paragraph">
              <wp:posOffset>194310</wp:posOffset>
            </wp:positionV>
            <wp:extent cx="5360670" cy="5770880"/>
            <wp:effectExtent l="0" t="0" r="11430" b="1270"/>
            <wp:wrapNone/>
            <wp:docPr id="10" name="图片 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true" noChangeArrowheads="true"/>
                    </pic:cNvPicPr>
                  </pic:nvPicPr>
                  <pic:blipFill>
                    <a:blip r:embed="rId18">
                      <a:extLst>
                        <a:ext uri="{28A0092B-C50C-407E-A947-70E740481C1C}">
                          <a14:useLocalDpi xmlns:a14="http://schemas.microsoft.com/office/drawing/2010/main" val="false"/>
                        </a:ext>
                      </a:extLst>
                    </a:blip>
                    <a:srcRect b="4965"/>
                    <a:stretch>
                      <a:fillRect/>
                    </a:stretch>
                  </pic:blipFill>
                  <pic:spPr>
                    <a:xfrm>
                      <a:off x="0" y="0"/>
                      <a:ext cx="5360670" cy="5770880"/>
                    </a:xfrm>
                    <a:prstGeom prst="rect">
                      <a:avLst/>
                    </a:prstGeom>
                    <a:noFill/>
                    <a:ln>
                      <a:noFill/>
                    </a:ln>
                  </pic:spPr>
                </pic:pic>
              </a:graphicData>
            </a:graphic>
          </wp:anchor>
        </w:drawing>
      </w:r>
    </w:p>
    <w:p>
      <w:pPr>
        <w:pStyle w:val="43"/>
        <w:ind w:firstLine="560"/>
        <w:rPr>
          <w:rFonts w:hint="default" w:ascii="Times New Roman" w:hAnsi="Times New Roman" w:cs="Times New Roman" w:eastAsiaTheme="minorEastAsia"/>
          <w:color w:val="auto"/>
        </w:rPr>
      </w:pPr>
    </w:p>
    <w:p>
      <w:pPr>
        <w:pStyle w:val="43"/>
        <w:ind w:firstLine="560"/>
        <w:rPr>
          <w:rFonts w:hint="default" w:ascii="Times New Roman" w:hAnsi="Times New Roman" w:cs="Times New Roman" w:eastAsiaTheme="minorEastAsia"/>
          <w:color w:val="auto"/>
        </w:rPr>
      </w:pPr>
    </w:p>
    <w:p>
      <w:pPr>
        <w:pStyle w:val="43"/>
        <w:ind w:firstLine="560"/>
        <w:rPr>
          <w:rFonts w:hint="default" w:ascii="Times New Roman" w:hAnsi="Times New Roman" w:cs="Times New Roman" w:eastAsiaTheme="minorEastAsia"/>
          <w:color w:val="auto"/>
        </w:rPr>
      </w:pPr>
    </w:p>
    <w:p>
      <w:pPr>
        <w:pStyle w:val="43"/>
        <w:ind w:firstLine="560"/>
        <w:rPr>
          <w:rFonts w:hint="default" w:ascii="Times New Roman" w:hAnsi="Times New Roman" w:cs="Times New Roman" w:eastAsiaTheme="minorEastAsia"/>
          <w:color w:val="auto"/>
        </w:rPr>
      </w:pPr>
    </w:p>
    <w:p>
      <w:pPr>
        <w:pStyle w:val="43"/>
        <w:ind w:firstLine="560"/>
        <w:rPr>
          <w:rFonts w:hint="default" w:ascii="Times New Roman" w:hAnsi="Times New Roman" w:cs="Times New Roman" w:eastAsiaTheme="minorEastAsia"/>
          <w:color w:val="auto"/>
        </w:rPr>
      </w:pPr>
    </w:p>
    <w:p>
      <w:pPr>
        <w:pStyle w:val="43"/>
        <w:ind w:firstLine="560"/>
        <w:rPr>
          <w:rFonts w:hint="default" w:ascii="Times New Roman" w:hAnsi="Times New Roman" w:cs="Times New Roman" w:eastAsiaTheme="minorEastAsia"/>
          <w:color w:val="auto"/>
        </w:rPr>
      </w:pPr>
    </w:p>
    <w:p>
      <w:pPr>
        <w:pStyle w:val="43"/>
        <w:ind w:firstLine="560"/>
        <w:rPr>
          <w:rFonts w:hint="default" w:ascii="Times New Roman" w:hAnsi="Times New Roman" w:cs="Times New Roman" w:eastAsiaTheme="minorEastAsia"/>
          <w:color w:val="auto"/>
        </w:rPr>
      </w:pPr>
    </w:p>
    <w:p>
      <w:pPr>
        <w:pStyle w:val="43"/>
        <w:ind w:firstLine="560"/>
        <w:rPr>
          <w:rFonts w:hint="default" w:ascii="Times New Roman" w:hAnsi="Times New Roman" w:cs="Times New Roman" w:eastAsiaTheme="minorEastAsia"/>
          <w:color w:val="auto"/>
        </w:rPr>
      </w:pPr>
    </w:p>
    <w:p>
      <w:pPr>
        <w:pStyle w:val="43"/>
        <w:ind w:firstLine="560"/>
        <w:rPr>
          <w:rFonts w:hint="default" w:ascii="Times New Roman" w:hAnsi="Times New Roman" w:cs="Times New Roman" w:eastAsiaTheme="minorEastAsia"/>
          <w:color w:val="auto"/>
        </w:rPr>
      </w:pPr>
    </w:p>
    <w:p>
      <w:pPr>
        <w:pStyle w:val="43"/>
        <w:ind w:firstLine="560"/>
        <w:rPr>
          <w:rFonts w:hint="default" w:ascii="Times New Roman" w:hAnsi="Times New Roman" w:cs="Times New Roman" w:eastAsiaTheme="minorEastAsia"/>
          <w:color w:val="auto"/>
        </w:rPr>
      </w:pPr>
    </w:p>
    <w:p>
      <w:pPr>
        <w:pStyle w:val="43"/>
        <w:ind w:firstLine="560"/>
        <w:rPr>
          <w:rFonts w:hint="default" w:ascii="Times New Roman" w:hAnsi="Times New Roman" w:cs="Times New Roman" w:eastAsiaTheme="minorEastAsia"/>
          <w:color w:val="auto"/>
        </w:rPr>
      </w:pPr>
    </w:p>
    <w:p>
      <w:pPr>
        <w:pStyle w:val="43"/>
        <w:ind w:firstLine="560"/>
        <w:rPr>
          <w:rFonts w:hint="default" w:ascii="Times New Roman" w:hAnsi="Times New Roman" w:cs="Times New Roman" w:eastAsiaTheme="minorEastAsia"/>
          <w:color w:val="auto"/>
        </w:rPr>
      </w:pPr>
    </w:p>
    <w:p>
      <w:pPr>
        <w:pStyle w:val="43"/>
        <w:ind w:firstLine="560"/>
        <w:rPr>
          <w:rFonts w:hint="default" w:ascii="Times New Roman" w:hAnsi="Times New Roman" w:cs="Times New Roman" w:eastAsiaTheme="minorEastAsia"/>
          <w:color w:val="auto"/>
        </w:rPr>
      </w:pPr>
    </w:p>
    <w:p>
      <w:pPr>
        <w:pStyle w:val="43"/>
        <w:ind w:firstLine="560"/>
        <w:rPr>
          <w:rFonts w:hint="default" w:ascii="Times New Roman" w:hAnsi="Times New Roman" w:cs="Times New Roman" w:eastAsiaTheme="minorEastAsia"/>
          <w:color w:val="auto"/>
        </w:rPr>
      </w:pPr>
    </w:p>
    <w:p>
      <w:pPr>
        <w:jc w:val="center"/>
        <w:rPr>
          <w:rFonts w:hint="default" w:ascii="Times New Roman" w:hAnsi="Times New Roman" w:cs="Times New Roman" w:eastAsiaTheme="minorEastAsia"/>
          <w:b/>
          <w:bCs/>
          <w:color w:val="auto"/>
          <w:sz w:val="24"/>
          <w:szCs w:val="24"/>
          <w:lang w:eastAsia="zh-CN"/>
        </w:rPr>
      </w:pPr>
    </w:p>
    <w:p>
      <w:pPr>
        <w:jc w:val="center"/>
        <w:rPr>
          <w:rFonts w:hint="default" w:ascii="Times New Roman" w:hAnsi="Times New Roman" w:cs="Times New Roman" w:eastAsiaTheme="minorEastAsia"/>
          <w:b/>
          <w:bCs/>
          <w:color w:val="auto"/>
          <w:sz w:val="24"/>
          <w:szCs w:val="24"/>
          <w:lang w:eastAsia="zh-CN"/>
        </w:rPr>
      </w:pPr>
    </w:p>
    <w:p>
      <w:pPr>
        <w:jc w:val="center"/>
        <w:rPr>
          <w:rFonts w:hint="default" w:ascii="Times New Roman" w:hAnsi="Times New Roman" w:cs="Times New Roman" w:eastAsiaTheme="minorEastAsia"/>
          <w:b/>
          <w:bCs/>
          <w:color w:val="auto"/>
          <w:sz w:val="24"/>
          <w:szCs w:val="24"/>
          <w:lang w:eastAsia="zh-CN"/>
        </w:rPr>
      </w:pPr>
    </w:p>
    <w:p>
      <w:pPr>
        <w:jc w:val="center"/>
        <w:rPr>
          <w:rFonts w:hint="default" w:ascii="Times New Roman" w:hAnsi="Times New Roman" w:cs="Times New Roman" w:eastAsiaTheme="minorEastAsia"/>
          <w:b/>
          <w:bCs/>
          <w:color w:val="auto"/>
          <w:sz w:val="24"/>
          <w:szCs w:val="24"/>
          <w:lang w:eastAsia="zh-CN"/>
        </w:rPr>
      </w:pPr>
    </w:p>
    <w:p>
      <w:pPr>
        <w:jc w:val="center"/>
        <w:rPr>
          <w:rFonts w:hint="default" w:ascii="Times New Roman" w:hAnsi="Times New Roman" w:cs="Times New Roman" w:eastAsiaTheme="minorEastAsia"/>
          <w:b/>
          <w:bCs/>
          <w:color w:val="auto"/>
          <w:sz w:val="24"/>
          <w:szCs w:val="24"/>
          <w:lang w:eastAsia="zh-CN"/>
        </w:rPr>
      </w:pPr>
    </w:p>
    <w:p>
      <w:pPr>
        <w:jc w:val="center"/>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lang w:eastAsia="zh-CN"/>
        </w:rPr>
        <w:t>图</w:t>
      </w:r>
      <w:r>
        <w:rPr>
          <w:rFonts w:hint="default" w:ascii="Times New Roman" w:hAnsi="Times New Roman" w:cs="Times New Roman" w:eastAsiaTheme="minorEastAsia"/>
          <w:b/>
          <w:bCs/>
          <w:color w:val="auto"/>
          <w:sz w:val="24"/>
          <w:szCs w:val="24"/>
          <w:lang w:val="en-US" w:eastAsia="zh-CN"/>
        </w:rPr>
        <w:t>2-1</w:t>
      </w:r>
      <w:r>
        <w:rPr>
          <w:rFonts w:hint="default" w:ascii="Times New Roman" w:hAnsi="Times New Roman" w:cs="Times New Roman" w:eastAsiaTheme="minorEastAsia"/>
          <w:b/>
          <w:bCs/>
          <w:color w:val="auto"/>
          <w:sz w:val="24"/>
          <w:szCs w:val="24"/>
        </w:rPr>
        <w:t xml:space="preserve">  曲沃县地理位置图</w:t>
      </w:r>
    </w:p>
    <w:p>
      <w:pPr>
        <w:jc w:val="center"/>
        <w:rPr>
          <w:rFonts w:hint="default" w:ascii="Times New Roman" w:hAnsi="Times New Roman" w:cs="Times New Roman" w:eastAsiaTheme="minorEastAsia"/>
          <w:b/>
          <w:bCs/>
          <w:color w:val="auto"/>
          <w:sz w:val="24"/>
          <w:szCs w:val="24"/>
          <w:lang w:eastAsia="zh-CN"/>
        </w:rPr>
      </w:pPr>
    </w:p>
    <w:p>
      <w:pPr>
        <w:widowControl/>
        <w:spacing w:line="240" w:lineRule="auto"/>
        <w:ind w:firstLine="0" w:firstLineChars="0"/>
        <w:jc w:val="left"/>
        <w:rPr>
          <w:rFonts w:hint="default" w:ascii="Times New Roman" w:hAnsi="Times New Roman" w:cs="Times New Roman" w:eastAsiaTheme="minorEastAsia"/>
          <w:color w:val="auto"/>
        </w:rPr>
      </w:pPr>
    </w:p>
    <w:p>
      <w:pPr>
        <w:widowControl/>
        <w:spacing w:line="240" w:lineRule="auto"/>
        <w:ind w:firstLine="0" w:firstLineChars="0"/>
        <w:jc w:val="left"/>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br w:type="page"/>
      </w:r>
    </w:p>
    <w:p>
      <w:pPr>
        <w:widowControl/>
        <w:spacing w:line="240" w:lineRule="auto"/>
        <w:ind w:firstLine="0" w:firstLineChars="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rPr>
        <w:drawing>
          <wp:anchor distT="0" distB="0" distL="0" distR="0" simplePos="0" relativeHeight="251671552" behindDoc="0" locked="0" layoutInCell="1" allowOverlap="1">
            <wp:simplePos x="0" y="0"/>
            <wp:positionH relativeFrom="column">
              <wp:posOffset>-104775</wp:posOffset>
            </wp:positionH>
            <wp:positionV relativeFrom="paragraph">
              <wp:posOffset>182880</wp:posOffset>
            </wp:positionV>
            <wp:extent cx="5267325" cy="7448550"/>
            <wp:effectExtent l="0" t="0" r="9525" b="0"/>
            <wp:wrapNone/>
            <wp:docPr id="9" name="图片 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true" noChangeArrowheads="true"/>
                    </pic:cNvPicPr>
                  </pic:nvPicPr>
                  <pic:blipFill>
                    <a:blip r:embed="rId19" cstate="print">
                      <a:extLst>
                        <a:ext uri="{28A0092B-C50C-407E-A947-70E740481C1C}">
                          <a14:useLocalDpi xmlns:a14="http://schemas.microsoft.com/office/drawing/2010/main" val="false"/>
                        </a:ext>
                      </a:extLst>
                    </a:blip>
                    <a:srcRect/>
                    <a:stretch>
                      <a:fillRect/>
                    </a:stretch>
                  </pic:blipFill>
                  <pic:spPr>
                    <a:xfrm>
                      <a:off x="0" y="0"/>
                      <a:ext cx="5267325" cy="7448550"/>
                    </a:xfrm>
                    <a:prstGeom prst="rect">
                      <a:avLst/>
                    </a:prstGeom>
                    <a:noFill/>
                    <a:ln>
                      <a:noFill/>
                    </a:ln>
                  </pic:spPr>
                </pic:pic>
              </a:graphicData>
            </a:graphic>
          </wp:anchor>
        </w:drawing>
      </w:r>
    </w:p>
    <w:p>
      <w:pPr>
        <w:pStyle w:val="23"/>
        <w:rPr>
          <w:rFonts w:hint="default" w:ascii="Times New Roman" w:hAnsi="Times New Roman" w:cs="Times New Roman" w:eastAsiaTheme="minorEastAsia"/>
          <w:color w:val="auto"/>
          <w:lang w:eastAsia="zh-CN"/>
        </w:rPr>
      </w:pPr>
    </w:p>
    <w:p>
      <w:pPr>
        <w:rPr>
          <w:rFonts w:hint="default" w:ascii="Times New Roman" w:hAnsi="Times New Roman" w:cs="Times New Roman" w:eastAsiaTheme="minorEastAsia"/>
          <w:color w:val="auto"/>
          <w:lang w:eastAsia="zh-CN"/>
        </w:rPr>
      </w:pPr>
    </w:p>
    <w:p>
      <w:pPr>
        <w:pStyle w:val="23"/>
        <w:rPr>
          <w:rFonts w:hint="default" w:ascii="Times New Roman" w:hAnsi="Times New Roman" w:cs="Times New Roman" w:eastAsiaTheme="minorEastAsia"/>
          <w:color w:val="auto"/>
          <w:lang w:eastAsia="zh-CN"/>
        </w:rPr>
      </w:pPr>
    </w:p>
    <w:p>
      <w:pPr>
        <w:rPr>
          <w:rFonts w:hint="default" w:ascii="Times New Roman" w:hAnsi="Times New Roman" w:cs="Times New Roman" w:eastAsiaTheme="minorEastAsia"/>
          <w:color w:val="auto"/>
          <w:lang w:eastAsia="zh-CN"/>
        </w:rPr>
      </w:pPr>
    </w:p>
    <w:p>
      <w:pPr>
        <w:pStyle w:val="23"/>
        <w:rPr>
          <w:rFonts w:hint="default" w:ascii="Times New Roman" w:hAnsi="Times New Roman" w:cs="Times New Roman" w:eastAsiaTheme="minorEastAsia"/>
          <w:color w:val="auto"/>
          <w:lang w:eastAsia="zh-CN"/>
        </w:rPr>
      </w:pPr>
    </w:p>
    <w:p>
      <w:pPr>
        <w:rPr>
          <w:rFonts w:hint="default" w:ascii="Times New Roman" w:hAnsi="Times New Roman" w:cs="Times New Roman" w:eastAsiaTheme="minorEastAsia"/>
          <w:color w:val="auto"/>
          <w:lang w:eastAsia="zh-CN"/>
        </w:rPr>
      </w:pPr>
    </w:p>
    <w:p>
      <w:pPr>
        <w:pStyle w:val="23"/>
        <w:rPr>
          <w:rFonts w:hint="default" w:ascii="Times New Roman" w:hAnsi="Times New Roman" w:cs="Times New Roman" w:eastAsiaTheme="minorEastAsia"/>
          <w:color w:val="auto"/>
          <w:lang w:eastAsia="zh-CN"/>
        </w:rPr>
      </w:pPr>
    </w:p>
    <w:p>
      <w:pPr>
        <w:rPr>
          <w:rFonts w:hint="default" w:ascii="Times New Roman" w:hAnsi="Times New Roman" w:cs="Times New Roman" w:eastAsiaTheme="minorEastAsia"/>
          <w:color w:val="auto"/>
          <w:lang w:eastAsia="zh-CN"/>
        </w:rPr>
      </w:pPr>
    </w:p>
    <w:p>
      <w:pPr>
        <w:pStyle w:val="23"/>
        <w:rPr>
          <w:rFonts w:hint="default" w:ascii="Times New Roman" w:hAnsi="Times New Roman" w:cs="Times New Roman" w:eastAsiaTheme="minorEastAsia"/>
          <w:color w:val="auto"/>
          <w:lang w:eastAsia="zh-CN"/>
        </w:rPr>
      </w:pPr>
    </w:p>
    <w:p>
      <w:pPr>
        <w:rPr>
          <w:rFonts w:hint="default" w:ascii="Times New Roman" w:hAnsi="Times New Roman" w:cs="Times New Roman" w:eastAsiaTheme="minorEastAsia"/>
          <w:color w:val="auto"/>
          <w:lang w:eastAsia="zh-CN"/>
        </w:rPr>
      </w:pPr>
    </w:p>
    <w:p>
      <w:pPr>
        <w:pStyle w:val="23"/>
        <w:rPr>
          <w:rFonts w:hint="default" w:ascii="Times New Roman" w:hAnsi="Times New Roman" w:cs="Times New Roman" w:eastAsiaTheme="minorEastAsia"/>
          <w:color w:val="auto"/>
          <w:lang w:eastAsia="zh-CN"/>
        </w:rPr>
      </w:pPr>
    </w:p>
    <w:p>
      <w:pPr>
        <w:rPr>
          <w:rFonts w:hint="default" w:ascii="Times New Roman" w:hAnsi="Times New Roman" w:cs="Times New Roman" w:eastAsiaTheme="minorEastAsia"/>
          <w:color w:val="auto"/>
          <w:lang w:eastAsia="zh-CN"/>
        </w:rPr>
      </w:pPr>
    </w:p>
    <w:p>
      <w:pPr>
        <w:pStyle w:val="23"/>
        <w:rPr>
          <w:rFonts w:hint="default" w:ascii="Times New Roman" w:hAnsi="Times New Roman" w:cs="Times New Roman" w:eastAsiaTheme="minorEastAsia"/>
          <w:color w:val="auto"/>
          <w:lang w:eastAsia="zh-CN"/>
        </w:rPr>
      </w:pPr>
    </w:p>
    <w:p>
      <w:pPr>
        <w:rPr>
          <w:rFonts w:hint="default" w:ascii="Times New Roman" w:hAnsi="Times New Roman" w:cs="Times New Roman" w:eastAsiaTheme="minorEastAsia"/>
          <w:color w:val="auto"/>
          <w:lang w:eastAsia="zh-CN"/>
        </w:rPr>
      </w:pPr>
    </w:p>
    <w:p>
      <w:pPr>
        <w:pStyle w:val="23"/>
        <w:rPr>
          <w:rFonts w:hint="default" w:ascii="Times New Roman" w:hAnsi="Times New Roman" w:cs="Times New Roman" w:eastAsiaTheme="minorEastAsia"/>
          <w:color w:val="auto"/>
          <w:lang w:eastAsia="zh-CN"/>
        </w:rPr>
      </w:pPr>
    </w:p>
    <w:p>
      <w:pPr>
        <w:rPr>
          <w:rFonts w:hint="default" w:ascii="Times New Roman" w:hAnsi="Times New Roman" w:cs="Times New Roman" w:eastAsiaTheme="minorEastAsia"/>
          <w:color w:val="auto"/>
          <w:lang w:eastAsia="zh-CN"/>
        </w:rPr>
      </w:pPr>
    </w:p>
    <w:p>
      <w:pPr>
        <w:pStyle w:val="23"/>
        <w:rPr>
          <w:rFonts w:hint="default" w:ascii="Times New Roman" w:hAnsi="Times New Roman" w:cs="Times New Roman" w:eastAsiaTheme="minorEastAsia"/>
          <w:color w:val="auto"/>
          <w:lang w:eastAsia="zh-CN"/>
        </w:rPr>
      </w:pPr>
    </w:p>
    <w:p>
      <w:pPr>
        <w:rPr>
          <w:rFonts w:hint="default" w:ascii="Times New Roman" w:hAnsi="Times New Roman" w:cs="Times New Roman" w:eastAsiaTheme="minorEastAsia"/>
          <w:color w:val="auto"/>
          <w:lang w:eastAsia="zh-CN"/>
        </w:rPr>
      </w:pPr>
    </w:p>
    <w:p>
      <w:pPr>
        <w:pStyle w:val="23"/>
        <w:rPr>
          <w:rFonts w:hint="default" w:ascii="Times New Roman" w:hAnsi="Times New Roman" w:cs="Times New Roman" w:eastAsiaTheme="minorEastAsia"/>
          <w:color w:val="auto"/>
          <w:lang w:eastAsia="zh-CN"/>
        </w:rPr>
      </w:pPr>
    </w:p>
    <w:p>
      <w:pPr>
        <w:rPr>
          <w:rFonts w:hint="default" w:ascii="Times New Roman" w:hAnsi="Times New Roman" w:cs="Times New Roman" w:eastAsiaTheme="minorEastAsia"/>
          <w:color w:val="auto"/>
          <w:lang w:eastAsia="zh-CN"/>
        </w:rPr>
      </w:pPr>
    </w:p>
    <w:p>
      <w:pPr>
        <w:pStyle w:val="23"/>
        <w:rPr>
          <w:rFonts w:hint="default" w:ascii="Times New Roman" w:hAnsi="Times New Roman" w:cs="Times New Roman" w:eastAsiaTheme="minorEastAsia"/>
          <w:color w:val="auto"/>
          <w:lang w:eastAsia="zh-CN"/>
        </w:rPr>
      </w:pP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图</w:t>
      </w:r>
      <w:r>
        <w:rPr>
          <w:rFonts w:hint="default" w:ascii="Times New Roman" w:hAnsi="Times New Roman" w:cs="Times New Roman" w:eastAsiaTheme="minorEastAsia"/>
          <w:b/>
          <w:bCs/>
          <w:color w:val="auto"/>
          <w:sz w:val="24"/>
          <w:szCs w:val="24"/>
          <w:lang w:val="en-US" w:eastAsia="zh-CN"/>
        </w:rPr>
        <w:t>2-2</w:t>
      </w:r>
      <w:r>
        <w:rPr>
          <w:rFonts w:hint="default" w:ascii="Times New Roman" w:hAnsi="Times New Roman" w:cs="Times New Roman" w:eastAsiaTheme="minorEastAsia"/>
          <w:b/>
          <w:bCs/>
          <w:color w:val="auto"/>
          <w:sz w:val="24"/>
          <w:szCs w:val="24"/>
        </w:rPr>
        <w:t xml:space="preserve">  曲沃县地形图</w:t>
      </w:r>
    </w:p>
    <w:p>
      <w:pPr>
        <w:widowControl/>
        <w:spacing w:line="240" w:lineRule="auto"/>
        <w:ind w:firstLine="0" w:firstLineChars="0"/>
        <w:rPr>
          <w:rFonts w:hint="default" w:ascii="Times New Roman" w:hAnsi="Times New Roman" w:cs="Times New Roman" w:eastAsiaTheme="minorEastAsia"/>
          <w:color w:val="auto"/>
        </w:rPr>
        <w:sectPr>
          <w:pgSz w:w="11906" w:h="16838"/>
          <w:pgMar w:top="1440" w:right="1797" w:bottom="1440" w:left="179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43"/>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3）黄土塬地区</w:t>
      </w:r>
    </w:p>
    <w:p>
      <w:pPr>
        <w:pStyle w:val="43"/>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北董塬地由浍河和黑河分割而成，史村塬由浍河和滏河分割而成，高显塬由滏河切割而成。塬面平垣，周围沟谷环绕，沟头溯源侵蚀迅速，水土流失严重，海拔500~600米。</w:t>
      </w:r>
    </w:p>
    <w:p>
      <w:pPr>
        <w:pStyle w:val="43"/>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4）冲积平原区</w:t>
      </w:r>
    </w:p>
    <w:p>
      <w:pPr>
        <w:pStyle w:val="43"/>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主要分布在滏河、浍河流域及太子滩湖积平原和曲村湖积平原，地面坡度在3°左右，海拔400—500米，地势平坦，沟壑稀少。</w:t>
      </w:r>
    </w:p>
    <w:p>
      <w:pPr>
        <w:pStyle w:val="43"/>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5）现代河谷区</w:t>
      </w:r>
    </w:p>
    <w:p>
      <w:pPr>
        <w:pStyle w:val="43"/>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滏河河谷区，东西切割曲村、史村平原及高显塬地，河谷两岸对称；浍河河谷区，由于深部断层影响，在黑河一带形成现代不对称河谷。在汾河、浍河流域形成有一定数量的一级阶地及河漫滩。</w:t>
      </w:r>
    </w:p>
    <w:p>
      <w:pPr>
        <w:pStyle w:val="43"/>
        <w:ind w:firstLine="560"/>
        <w:rPr>
          <w:rFonts w:hint="default" w:ascii="Times New Roman" w:hAnsi="Times New Roman" w:cs="Times New Roman" w:eastAsiaTheme="minorEastAsia"/>
          <w:color w:val="auto"/>
          <w:lang w:eastAsia="zh-CN"/>
        </w:rPr>
      </w:pPr>
      <w:r>
        <w:rPr>
          <w:rFonts w:hint="default" w:ascii="Times New Roman" w:hAnsi="Times New Roman" w:cs="Times New Roman" w:eastAsiaTheme="minorEastAsia"/>
          <w:color w:val="auto"/>
          <w:sz w:val="24"/>
          <w:szCs w:val="24"/>
        </w:rPr>
        <w:t>曲沃县地貌见图2-3。</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rPr>
      </w:pPr>
    </w:p>
    <w:p>
      <w:pPr>
        <w:pStyle w:val="23"/>
        <w:rPr>
          <w:rFonts w:hint="default" w:ascii="Times New Roman" w:hAnsi="Times New Roman" w:cs="Times New Roman" w:eastAsiaTheme="minorEastAsia"/>
          <w:color w:val="auto"/>
        </w:rPr>
      </w:pPr>
    </w:p>
    <w:p>
      <w:pPr>
        <w:rPr>
          <w:rFonts w:hint="default" w:ascii="Times New Roman" w:hAnsi="Times New Roman" w:cs="Times New Roman" w:eastAsiaTheme="minorEastAsia"/>
          <w:color w:val="auto"/>
        </w:rPr>
      </w:pPr>
    </w:p>
    <w:p>
      <w:pPr>
        <w:rPr>
          <w:rFonts w:hint="default" w:ascii="Times New Roman" w:hAnsi="Times New Roman" w:cs="Times New Roman" w:eastAsiaTheme="minorEastAsia"/>
          <w:color w:val="auto"/>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rPr>
      </w:pP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color w:val="auto"/>
        </w:rPr>
      </w:pPr>
    </w:p>
    <w:p>
      <w:pPr>
        <w:widowControl/>
        <w:spacing w:line="240" w:lineRule="auto"/>
        <w:ind w:firstLine="0" w:firstLineChars="0"/>
        <w:jc w:val="left"/>
        <w:rPr>
          <w:rFonts w:hint="default" w:ascii="Times New Roman" w:hAnsi="Times New Roman" w:cs="Times New Roman" w:eastAsiaTheme="minorEastAsia"/>
          <w:color w:val="auto"/>
          <w:kern w:val="28"/>
          <w:szCs w:val="28"/>
        </w:rPr>
      </w:pPr>
      <w:r>
        <w:rPr>
          <w:rFonts w:hint="default" w:ascii="Times New Roman" w:hAnsi="Times New Roman" w:cs="Times New Roman" w:eastAsiaTheme="minorEastAsia"/>
          <w:color w:val="auto"/>
        </w:rPr>
        <w:br w:type="page"/>
      </w:r>
    </w:p>
    <w:p>
      <w:pPr>
        <w:pStyle w:val="43"/>
        <w:ind w:firstLine="0" w:firstLineChars="0"/>
        <w:rPr>
          <w:rFonts w:hint="default" w:ascii="Times New Roman" w:hAnsi="Times New Roman" w:cs="Times New Roman" w:eastAsiaTheme="minorEastAsia"/>
          <w:color w:val="auto"/>
        </w:rPr>
      </w:pPr>
    </w:p>
    <w:p>
      <w:pPr>
        <w:pStyle w:val="43"/>
        <w:ind w:firstLine="0" w:firstLineChars="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drawing>
          <wp:inline distT="0" distB="0" distL="0" distR="0">
            <wp:extent cx="4647565" cy="7602220"/>
            <wp:effectExtent l="0" t="0" r="0" b="0"/>
            <wp:docPr id="14" name="图片 1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true" noChangeArrowheads="true"/>
                    </pic:cNvPicPr>
                  </pic:nvPicPr>
                  <pic:blipFill>
                    <a:blip r:embed="rId20" cstate="print">
                      <a:extLst>
                        <a:ext uri="{28A0092B-C50C-407E-A947-70E740481C1C}">
                          <a14:useLocalDpi xmlns:a14="http://schemas.microsoft.com/office/drawing/2010/main" val="false"/>
                        </a:ext>
                      </a:extLst>
                    </a:blip>
                    <a:srcRect/>
                    <a:stretch>
                      <a:fillRect/>
                    </a:stretch>
                  </pic:blipFill>
                  <pic:spPr>
                    <a:xfrm>
                      <a:off x="0" y="0"/>
                      <a:ext cx="4651030" cy="7607441"/>
                    </a:xfrm>
                    <a:prstGeom prst="rect">
                      <a:avLst/>
                    </a:prstGeom>
                    <a:noFill/>
                    <a:ln>
                      <a:noFill/>
                    </a:ln>
                  </pic:spPr>
                </pic:pic>
              </a:graphicData>
            </a:graphic>
          </wp:inline>
        </w:drawing>
      </w:r>
    </w:p>
    <w:p>
      <w:pPr>
        <w:jc w:val="center"/>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图</w:t>
      </w:r>
      <w:r>
        <w:rPr>
          <w:rFonts w:hint="default" w:ascii="Times New Roman" w:hAnsi="Times New Roman" w:cs="Times New Roman" w:eastAsiaTheme="minorEastAsia"/>
          <w:b/>
          <w:bCs/>
          <w:color w:val="auto"/>
          <w:sz w:val="24"/>
          <w:szCs w:val="24"/>
          <w:lang w:val="en-US" w:eastAsia="zh-CN"/>
        </w:rPr>
        <w:t>2-3</w:t>
      </w:r>
      <w:r>
        <w:rPr>
          <w:rFonts w:hint="default" w:ascii="Times New Roman" w:hAnsi="Times New Roman" w:cs="Times New Roman" w:eastAsiaTheme="minorEastAsia"/>
          <w:b/>
          <w:bCs/>
          <w:color w:val="auto"/>
          <w:sz w:val="24"/>
          <w:szCs w:val="24"/>
        </w:rPr>
        <w:t xml:space="preserve">  曲沃县地貌图</w:t>
      </w:r>
    </w:p>
    <w:p>
      <w:pPr>
        <w:widowControl/>
        <w:spacing w:line="240" w:lineRule="auto"/>
        <w:ind w:firstLine="0" w:firstLineChars="0"/>
        <w:jc w:val="left"/>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br w:type="page"/>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default" w:ascii="Times New Roman" w:hAnsi="Times New Roman" w:cs="Times New Roman" w:eastAsiaTheme="minorEastAsia"/>
          <w:color w:val="auto"/>
          <w:sz w:val="28"/>
          <w:szCs w:val="28"/>
          <w:lang w:val="en-US" w:eastAsia="zh-CN"/>
        </w:rPr>
        <w:t>2.1.3气候特征</w:t>
      </w:r>
    </w:p>
    <w:p>
      <w:pPr>
        <w:pStyle w:val="43"/>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曲沃县属于暖温带大陆性气候，四季分明。冬季干燥寒冷，雨雪稀少；春季干而多风；夏季炎热，雨量集中；秋季天高气爽。据历年观测资料统计，年平均气温12.6℃。冬夏温差大，1月份最冷平均气温-2.6℃，7月份最热平均气温26.2℃，冬夏温差28.8℃。正常情况下十月下旬最低温度降至0℃以下，次年四月上旬升至0℃以上。年内平均无霜期210天，平均初霜期出现于十月中旬末下旬初，平均终霜期出现于四月上旬。最大冻土深度52厘米，出现于1977年，积雪最大17厘米，出现于1990年。年平均降水量515.4毫米，1958 年降水最大为946.9毫米，1997年最少为266.0毫米，降水主要集中于7~9月份。降水量按四季划分：夏季占44.5%；秋季占30.9%；春季占19.9%；冬季占4.7%。本县光热资源丰富，年光照时数为2387.8小时，最多年为2804.6小时，最少年为2050小时。</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default" w:ascii="Times New Roman" w:hAnsi="Times New Roman" w:cs="Times New Roman" w:eastAsiaTheme="minorEastAsia"/>
          <w:color w:val="auto"/>
          <w:sz w:val="28"/>
          <w:szCs w:val="28"/>
          <w:lang w:val="en-US" w:eastAsia="zh-CN"/>
        </w:rPr>
        <w:t>2.1.4区域水系</w:t>
      </w:r>
    </w:p>
    <w:p>
      <w:pPr>
        <w:pStyle w:val="43"/>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曲沃县境内有汾河自北向南蜿蜓而下，浍河、滏河由东向西穿境而过，此外，还有黑河、天河，其中，浍河常年流水，滏河、黑河、均为季节性河流。泉水有太子滩温泉、沸泉、西海温泉。全县有水库12座，总库容量17980立方米，地下水约8800万立方米。</w:t>
      </w:r>
    </w:p>
    <w:p>
      <w:pPr>
        <w:pStyle w:val="43"/>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曲沃县河流主要是降水补给，径流受降水影响很大，河流最大径流在每年的七、八两月，占年径流量的40%左右，地下水补给的主要方面是大气降水，径流年平均分配比较均匀。</w:t>
      </w:r>
    </w:p>
    <w:p>
      <w:pPr>
        <w:pStyle w:val="43"/>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区域水系见图2-4。</w:t>
      </w: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rPr>
        <w:drawing>
          <wp:anchor distT="0" distB="0" distL="0" distR="0" simplePos="0" relativeHeight="251672576" behindDoc="0" locked="0" layoutInCell="1" allowOverlap="1">
            <wp:simplePos x="0" y="0"/>
            <wp:positionH relativeFrom="column">
              <wp:posOffset>-26670</wp:posOffset>
            </wp:positionH>
            <wp:positionV relativeFrom="paragraph">
              <wp:posOffset>86360</wp:posOffset>
            </wp:positionV>
            <wp:extent cx="5295265" cy="7610475"/>
            <wp:effectExtent l="0" t="0" r="0" b="0"/>
            <wp:wrapNone/>
            <wp:docPr id="4" name="图片 4" descr="曲沃水系图"/>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曲沃水系图"/>
                    <pic:cNvPicPr>
                      <a:picLocks noChangeAspect="true" noChangeArrowheads="true"/>
                    </pic:cNvPicPr>
                  </pic:nvPicPr>
                  <pic:blipFill>
                    <a:blip r:embed="rId21" cstate="print">
                      <a:extLst>
                        <a:ext uri="{28A0092B-C50C-407E-A947-70E740481C1C}">
                          <a14:useLocalDpi xmlns:a14="http://schemas.microsoft.com/office/drawing/2010/main" val="false"/>
                        </a:ext>
                      </a:extLst>
                    </a:blip>
                    <a:srcRect/>
                    <a:stretch>
                      <a:fillRect/>
                    </a:stretch>
                  </pic:blipFill>
                  <pic:spPr>
                    <a:xfrm>
                      <a:off x="0" y="0"/>
                      <a:ext cx="5302912" cy="7620704"/>
                    </a:xfrm>
                    <a:prstGeom prst="rect">
                      <a:avLst/>
                    </a:prstGeom>
                    <a:noFill/>
                    <a:ln>
                      <a:noFill/>
                    </a:ln>
                    <a:effectLst/>
                  </pic:spPr>
                </pic:pic>
              </a:graphicData>
            </a:graphic>
          </wp:anchor>
        </w:drawing>
      </w: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rPr>
      </w:pPr>
    </w:p>
    <w:p>
      <w:pPr>
        <w:pStyle w:val="43"/>
        <w:ind w:firstLine="560"/>
        <w:rPr>
          <w:rFonts w:hint="default" w:ascii="Times New Roman" w:hAnsi="Times New Roman" w:cs="Times New Roman" w:eastAsiaTheme="minorEastAsia"/>
          <w:color w:val="auto"/>
          <w:sz w:val="24"/>
          <w:szCs w:val="24"/>
          <w:lang w:eastAsia="zh-CN"/>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图</w:t>
      </w:r>
      <w:r>
        <w:rPr>
          <w:rFonts w:hint="default" w:ascii="Times New Roman" w:hAnsi="Times New Roman" w:cs="Times New Roman" w:eastAsiaTheme="minorEastAsia"/>
          <w:b/>
          <w:bCs/>
          <w:color w:val="auto"/>
          <w:sz w:val="24"/>
          <w:szCs w:val="24"/>
          <w:lang w:val="en-US" w:eastAsia="zh-CN"/>
        </w:rPr>
        <w:t>2-4</w:t>
      </w:r>
      <w:r>
        <w:rPr>
          <w:rFonts w:hint="default" w:ascii="Times New Roman" w:hAnsi="Times New Roman" w:cs="Times New Roman" w:eastAsiaTheme="minorEastAsia"/>
          <w:b/>
          <w:bCs/>
          <w:color w:val="auto"/>
          <w:sz w:val="24"/>
          <w:szCs w:val="24"/>
        </w:rPr>
        <w:t xml:space="preserve"> </w:t>
      </w:r>
      <w:r>
        <w:rPr>
          <w:rFonts w:hint="default" w:ascii="Times New Roman" w:hAnsi="Times New Roman" w:cs="Times New Roman" w:eastAsiaTheme="minorEastAsia"/>
          <w:b/>
          <w:bCs/>
          <w:color w:val="auto"/>
          <w:sz w:val="24"/>
          <w:szCs w:val="24"/>
          <w:lang w:val="en-US" w:eastAsia="zh-CN"/>
        </w:rPr>
        <w:t xml:space="preserve"> </w:t>
      </w:r>
      <w:r>
        <w:rPr>
          <w:rFonts w:hint="default" w:ascii="Times New Roman" w:hAnsi="Times New Roman" w:cs="Times New Roman" w:eastAsiaTheme="minorEastAsia"/>
          <w:b/>
          <w:bCs/>
          <w:color w:val="auto"/>
          <w:sz w:val="24"/>
          <w:szCs w:val="24"/>
        </w:rPr>
        <w:t>曲沃县区域水系图</w:t>
      </w:r>
    </w:p>
    <w:p>
      <w:pPr>
        <w:ind w:firstLine="560"/>
        <w:rPr>
          <w:rFonts w:hint="default" w:ascii="Times New Roman" w:hAnsi="Times New Roman" w:cs="Times New Roman" w:eastAsiaTheme="minorEastAsia"/>
          <w:color w:val="auto"/>
        </w:rPr>
      </w:pP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default" w:ascii="Times New Roman" w:hAnsi="Times New Roman" w:cs="Times New Roman" w:eastAsiaTheme="minorEastAsia"/>
          <w:color w:val="auto"/>
          <w:sz w:val="28"/>
          <w:szCs w:val="28"/>
          <w:lang w:val="en-US" w:eastAsia="zh-CN"/>
        </w:rPr>
        <w:t>2.1.5环境敏感区域</w:t>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lang w:val="en-US" w:eastAsia="zh-CN"/>
        </w:rPr>
        <w:t>2.1.5.1</w:t>
      </w:r>
      <w:r>
        <w:rPr>
          <w:rFonts w:hint="default" w:ascii="Times New Roman" w:hAnsi="Times New Roman" w:cs="Times New Roman" w:eastAsiaTheme="minorEastAsia"/>
          <w:b/>
          <w:bCs/>
          <w:color w:val="auto"/>
          <w:sz w:val="24"/>
          <w:szCs w:val="24"/>
        </w:rPr>
        <w:t>集中供水水源地</w:t>
      </w:r>
    </w:p>
    <w:p>
      <w:pPr>
        <w:ind w:firstLine="560"/>
        <w:rPr>
          <w:rFonts w:hint="default" w:ascii="Times New Roman" w:hAnsi="Times New Roman" w:cs="Times New Roman" w:eastAsiaTheme="minorEastAsia"/>
          <w:color w:val="auto"/>
          <w:sz w:val="24"/>
          <w:szCs w:val="24"/>
          <w:lang w:val="zh-CN"/>
        </w:rPr>
      </w:pPr>
      <w:r>
        <w:rPr>
          <w:rFonts w:hint="default" w:ascii="Times New Roman" w:hAnsi="Times New Roman" w:cs="Times New Roman" w:eastAsiaTheme="minorEastAsia"/>
          <w:color w:val="auto"/>
          <w:sz w:val="24"/>
          <w:szCs w:val="24"/>
          <w:lang w:val="zh-CN"/>
        </w:rPr>
        <w:t>曲沃县乡镇</w:t>
      </w:r>
      <w:r>
        <w:rPr>
          <w:rFonts w:hint="default" w:ascii="Times New Roman" w:hAnsi="Times New Roman" w:cs="Times New Roman" w:eastAsiaTheme="minorEastAsia"/>
          <w:color w:val="auto"/>
          <w:sz w:val="24"/>
          <w:szCs w:val="24"/>
        </w:rPr>
        <w:t>集中式饮用水水源地共计4处，分别为北董乡集中式饮用水水源地、史村镇集中式饮用水水源地、曲村镇集中式饮用水水源地、杨谈乡集中式用水水源地，</w:t>
      </w:r>
      <w:r>
        <w:rPr>
          <w:rFonts w:hint="default" w:ascii="Times New Roman" w:hAnsi="Times New Roman" w:cs="Times New Roman" w:eastAsiaTheme="minorEastAsia"/>
          <w:color w:val="auto"/>
          <w:sz w:val="24"/>
          <w:szCs w:val="24"/>
          <w:lang w:val="zh-CN"/>
        </w:rPr>
        <w:t>4个水源地累计划分一级保护区4个，总面积0.165km</w:t>
      </w:r>
      <w:r>
        <w:rPr>
          <w:rFonts w:hint="default" w:ascii="Times New Roman" w:hAnsi="Times New Roman" w:cs="Times New Roman" w:eastAsiaTheme="minorEastAsia"/>
          <w:color w:val="auto"/>
          <w:sz w:val="24"/>
          <w:szCs w:val="24"/>
          <w:vertAlign w:val="superscript"/>
          <w:lang w:val="zh-CN"/>
        </w:rPr>
        <w:t>2</w:t>
      </w:r>
      <w:r>
        <w:rPr>
          <w:rFonts w:hint="default" w:ascii="Times New Roman" w:hAnsi="Times New Roman" w:cs="Times New Roman" w:eastAsiaTheme="minorEastAsia"/>
          <w:color w:val="auto"/>
          <w:sz w:val="24"/>
          <w:szCs w:val="24"/>
          <w:lang w:val="zh-CN"/>
        </w:rPr>
        <w:t>，总周长2652m，无二级保护区和准保护区。</w:t>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lang w:val="en-US" w:eastAsia="zh-CN"/>
        </w:rPr>
        <w:t>2.1.5.2</w:t>
      </w:r>
      <w:r>
        <w:rPr>
          <w:rFonts w:hint="default" w:ascii="Times New Roman" w:hAnsi="Times New Roman" w:cs="Times New Roman" w:eastAsiaTheme="minorEastAsia"/>
          <w:b/>
          <w:bCs/>
          <w:color w:val="auto"/>
          <w:sz w:val="24"/>
          <w:szCs w:val="24"/>
        </w:rPr>
        <w:t>古堆泉域</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古堆泉岩溶水系统以塔儿山一九原山为主体，泉域面积共460km</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。其中碳酸盐岩裸露区面积43.77km</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，大部分地区为隐伏灰岩径流区。按照行政区划分，临汾市面积437km</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，运城市23km</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古堆泉出露于新绛县三泉镇古堆村九原山西侧，由22个单泉组成，出露面积500m</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，较大的泉眼有龙王泉、莲花泉、琵琶泉、清泉等。1957～1959年多年平均流量为1.3m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/s，泉水出露高程450m。受井群开采的影响，泉水逐年衰减，1997年泉水流量为0.5m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/s。现已断流。</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eastAsiaTheme="minorEastAsia"/>
          <w:color w:val="auto"/>
          <w:sz w:val="30"/>
          <w:szCs w:val="30"/>
          <w:highlight w:val="none"/>
          <w:lang w:val="en-US" w:eastAsia="zh-CN"/>
        </w:rPr>
      </w:pPr>
      <w:bookmarkStart w:id="10" w:name="_Toc28237"/>
      <w:r>
        <w:rPr>
          <w:rFonts w:hint="default" w:ascii="Times New Roman" w:hAnsi="Times New Roman" w:cs="Times New Roman" w:eastAsiaTheme="minorEastAsia"/>
          <w:color w:val="auto"/>
          <w:sz w:val="30"/>
          <w:szCs w:val="30"/>
          <w:highlight w:val="none"/>
          <w:lang w:val="en-US" w:eastAsia="zh-CN"/>
        </w:rPr>
        <w:t>2.2社会经济概况</w:t>
      </w:r>
      <w:bookmarkEnd w:id="10"/>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default" w:ascii="Times New Roman" w:hAnsi="Times New Roman" w:cs="Times New Roman" w:eastAsiaTheme="minorEastAsia"/>
          <w:color w:val="auto"/>
          <w:sz w:val="28"/>
          <w:szCs w:val="28"/>
          <w:lang w:val="en-US" w:eastAsia="zh-CN"/>
        </w:rPr>
        <w:t>2.2.1行政区划</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曲沃县辖5镇、2乡，分别为乐昌镇、高显镇、史村镇、曲村镇、里村镇、杨谈乡、北董乡。</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曲沃县行政区划见图2-5。</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default" w:ascii="Times New Roman" w:hAnsi="Times New Roman" w:cs="Times New Roman" w:eastAsiaTheme="minorEastAsia"/>
          <w:color w:val="auto"/>
          <w:sz w:val="28"/>
          <w:szCs w:val="28"/>
          <w:lang w:val="en-US" w:eastAsia="zh-CN"/>
        </w:rPr>
        <w:t>2.2.2人口分布</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受自然条件影响，曲沃县属于山西省人口稠密区。2012年，曲沃县人口密度为548人/平方公里，远高于同期山西省230人/平方公里和临汾市215人/平方公里的平均水平。</w:t>
      </w:r>
    </w:p>
    <w:p>
      <w:pPr>
        <w:ind w:firstLine="560"/>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sz w:val="24"/>
          <w:szCs w:val="24"/>
        </w:rPr>
        <w:t>受地形、交通、经济发展水平等因素的影响，县域人口分布地域差异较为显著，总的趋势是中部平川区密度高，北部、南部丘陵区密度低。在全县各乡镇中，人口最多的是乐昌镇，有73135人，人口最少的是里村镇，有18107人，两者相差悬殊。人口密度最大的是乐昌镇，达1977人/平方公里，最小的为杨谈乡，仅318人/平方公里。整体人口密度大，形成了人多地少的格局，土地利用压力较大。</w:t>
      </w:r>
    </w:p>
    <w:p>
      <w:pPr>
        <w:pStyle w:val="43"/>
        <w:ind w:firstLine="0" w:firstLineChars="0"/>
        <w:jc w:val="center"/>
        <w:rPr>
          <w:rFonts w:hint="default" w:ascii="Times New Roman" w:hAnsi="Times New Roman" w:cs="Times New Roman" w:eastAsiaTheme="minorEastAsia"/>
          <w:color w:val="auto"/>
        </w:rPr>
      </w:pPr>
      <w:r>
        <w:rPr>
          <w:rFonts w:hint="default" w:ascii="Times New Roman" w:hAnsi="Times New Roman" w:cs="Times New Roman" w:eastAsiaTheme="minorEastAsia"/>
          <w:color w:val="auto"/>
        </w:rPr>
        <w:drawing>
          <wp:inline distT="0" distB="0" distL="0" distR="0">
            <wp:extent cx="5271770" cy="7450455"/>
            <wp:effectExtent l="0" t="0" r="0" b="0"/>
            <wp:docPr id="16" name="图片 1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true" noChangeArrowheads="true"/>
                    </pic:cNvPicPr>
                  </pic:nvPicPr>
                  <pic:blipFill>
                    <a:blip r:embed="rId22" cstate="print">
                      <a:extLst>
                        <a:ext uri="{28A0092B-C50C-407E-A947-70E740481C1C}">
                          <a14:useLocalDpi xmlns:a14="http://schemas.microsoft.com/office/drawing/2010/main" val="false"/>
                        </a:ext>
                      </a:extLst>
                    </a:blip>
                    <a:srcRect/>
                    <a:stretch>
                      <a:fillRect/>
                    </a:stretch>
                  </pic:blipFill>
                  <pic:spPr>
                    <a:xfrm>
                      <a:off x="0" y="0"/>
                      <a:ext cx="5271770" cy="7450455"/>
                    </a:xfrm>
                    <a:prstGeom prst="rect">
                      <a:avLst/>
                    </a:prstGeom>
                    <a:noFill/>
                    <a:ln>
                      <a:noFill/>
                    </a:ln>
                  </pic:spPr>
                </pic:pic>
              </a:graphicData>
            </a:graphic>
          </wp:inline>
        </w:drawing>
      </w:r>
    </w:p>
    <w:p>
      <w:pPr>
        <w:jc w:val="center"/>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图</w:t>
      </w:r>
      <w:r>
        <w:rPr>
          <w:rFonts w:hint="default" w:ascii="Times New Roman" w:hAnsi="Times New Roman" w:cs="Times New Roman" w:eastAsiaTheme="minorEastAsia"/>
          <w:b/>
          <w:bCs/>
          <w:color w:val="auto"/>
          <w:sz w:val="24"/>
          <w:szCs w:val="24"/>
          <w:lang w:val="en-US" w:eastAsia="zh-CN"/>
        </w:rPr>
        <w:t>2-5</w:t>
      </w:r>
      <w:r>
        <w:rPr>
          <w:rFonts w:hint="default" w:ascii="Times New Roman" w:hAnsi="Times New Roman" w:cs="Times New Roman" w:eastAsiaTheme="minorEastAsia"/>
          <w:b/>
          <w:bCs/>
          <w:color w:val="auto"/>
          <w:sz w:val="24"/>
          <w:szCs w:val="24"/>
        </w:rPr>
        <w:t xml:space="preserve">  曲沃县行政区划图</w:t>
      </w:r>
    </w:p>
    <w:p>
      <w:pPr>
        <w:ind w:firstLine="560"/>
        <w:rPr>
          <w:rFonts w:hint="default" w:ascii="Times New Roman" w:hAnsi="Times New Roman" w:cs="Times New Roman" w:eastAsiaTheme="minorEastAsia"/>
          <w:color w:val="auto"/>
        </w:rPr>
      </w:pP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default" w:ascii="Times New Roman" w:hAnsi="Times New Roman" w:cs="Times New Roman" w:eastAsiaTheme="minorEastAsia"/>
          <w:color w:val="auto"/>
          <w:sz w:val="28"/>
          <w:szCs w:val="28"/>
          <w:lang w:val="en-US" w:eastAsia="zh-CN"/>
        </w:rPr>
        <w:t>2.2.3经济发展概况</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根据《曲沃县2019年国民经济和社会发展统计公报》，2019年全县地区生产总值110.3亿元，同比增长14.5%。其中，第一产业增加值15.63亿元，同比增长8.4%，占生产总值的14.2%；第二产业增加值62.21亿元，同比增长20.6%，占生产总值的56.4%；第三产业增加值32.46亿元，同比增长8.3%，占生产总值的29.4%。一产、二产占比分别提高了0.5、3.8个百分点，第三产业占比降低了4.3个百分点。</w:t>
      </w:r>
    </w:p>
    <w:p>
      <w:pPr>
        <w:pStyle w:val="43"/>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人均地区生产总值44410元，按2019年平均汇率计算为6438美元。</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default" w:ascii="Times New Roman" w:hAnsi="Times New Roman" w:cs="Times New Roman" w:eastAsiaTheme="minorEastAsia"/>
          <w:color w:val="auto"/>
          <w:sz w:val="28"/>
          <w:szCs w:val="28"/>
          <w:lang w:val="en-US" w:eastAsia="zh-CN"/>
        </w:rPr>
        <w:t>2.2.4用地构成</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根据曲沃县第二次土地利用调查，全县土地总面积43730.93公顷，其中：农用地面积31146.15公顷，占土地总面积的71.22%；建设用地面积6421.87公顷，占土地总面积的14.68%；其他土地面积6162.91公顷，占土地总面积的14.09，土地利用率为85.91%。</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default" w:ascii="Times New Roman" w:hAnsi="Times New Roman" w:cs="Times New Roman" w:eastAsiaTheme="minorEastAsia"/>
          <w:color w:val="auto"/>
          <w:sz w:val="28"/>
          <w:szCs w:val="28"/>
          <w:lang w:val="en-US" w:eastAsia="zh-CN"/>
        </w:rPr>
        <w:t>2.2.5交通概况</w:t>
      </w:r>
    </w:p>
    <w:p>
      <w:pPr>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曲沃县境内同蒲铁路、大运一级公路贯穿南北，侯月铁路、阳侯高速公路并行东西。设有高显曲沃火车站，为全县货物集散之枢纽。此外，还有有晋韩公路、曲垣公路两条公路干线纵横过境。乡镇通二级油路，村村贯通三级油路，为加快城乡经济的发展，创造了有利条件。</w:t>
      </w:r>
    </w:p>
    <w:p>
      <w:pPr>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曲沃县交通见图2-6。</w:t>
      </w:r>
    </w:p>
    <w:p>
      <w:pPr>
        <w:snapToGrid w:val="0"/>
        <w:ind w:firstLine="0" w:firstLineChars="0"/>
        <w:jc w:val="center"/>
        <w:rPr>
          <w:rFonts w:hint="default" w:ascii="Times New Roman" w:hAnsi="Times New Roman" w:cs="Times New Roman" w:eastAsiaTheme="minorEastAsia"/>
          <w:color w:val="auto"/>
          <w:highlight w:val="yellow"/>
        </w:rPr>
      </w:pPr>
    </w:p>
    <w:p>
      <w:pPr>
        <w:pStyle w:val="23"/>
        <w:rPr>
          <w:rFonts w:hint="default" w:ascii="Times New Roman" w:hAnsi="Times New Roman" w:cs="Times New Roman" w:eastAsiaTheme="minorEastAsia"/>
          <w:color w:val="auto"/>
          <w:highlight w:val="yellow"/>
        </w:rPr>
      </w:pPr>
    </w:p>
    <w:p>
      <w:pPr>
        <w:rPr>
          <w:rFonts w:hint="default" w:ascii="Times New Roman" w:hAnsi="Times New Roman" w:cs="Times New Roman" w:eastAsiaTheme="minorEastAsia"/>
          <w:color w:val="auto"/>
          <w:highlight w:val="yellow"/>
        </w:rPr>
      </w:pPr>
    </w:p>
    <w:p>
      <w:pPr>
        <w:pStyle w:val="23"/>
        <w:rPr>
          <w:rFonts w:hint="default" w:ascii="Times New Roman" w:hAnsi="Times New Roman" w:cs="Times New Roman" w:eastAsiaTheme="minorEastAsia"/>
          <w:color w:val="auto"/>
          <w:highlight w:val="yellow"/>
        </w:rPr>
      </w:pPr>
    </w:p>
    <w:p>
      <w:pPr>
        <w:rPr>
          <w:rFonts w:hint="default" w:ascii="Times New Roman" w:hAnsi="Times New Roman" w:cs="Times New Roman" w:eastAsiaTheme="minorEastAsia"/>
          <w:color w:val="auto"/>
          <w:highlight w:val="yellow"/>
        </w:rPr>
      </w:pPr>
    </w:p>
    <w:p>
      <w:pPr>
        <w:pStyle w:val="23"/>
        <w:rPr>
          <w:rFonts w:hint="default" w:ascii="Times New Roman" w:hAnsi="Times New Roman" w:cs="Times New Roman" w:eastAsiaTheme="minorEastAsia"/>
          <w:color w:val="auto"/>
          <w:highlight w:val="yellow"/>
        </w:rPr>
      </w:pPr>
    </w:p>
    <w:p>
      <w:pPr>
        <w:rPr>
          <w:rFonts w:hint="default" w:ascii="Times New Roman" w:hAnsi="Times New Roman" w:cs="Times New Roman" w:eastAsiaTheme="minorEastAsia"/>
          <w:color w:val="auto"/>
          <w:highlight w:val="yellow"/>
        </w:rPr>
      </w:pPr>
    </w:p>
    <w:p>
      <w:pPr>
        <w:pStyle w:val="23"/>
        <w:rPr>
          <w:rFonts w:hint="default" w:ascii="Times New Roman" w:hAnsi="Times New Roman" w:cs="Times New Roman" w:eastAsiaTheme="minorEastAsia"/>
          <w:color w:val="auto"/>
          <w:highlight w:val="yellow"/>
        </w:rPr>
      </w:pPr>
    </w:p>
    <w:p>
      <w:pPr>
        <w:rPr>
          <w:rFonts w:hint="default" w:ascii="Times New Roman" w:hAnsi="Times New Roman" w:cs="Times New Roman" w:eastAsiaTheme="minorEastAsia"/>
          <w:color w:val="auto"/>
          <w:highlight w:val="yellow"/>
        </w:rPr>
      </w:pPr>
      <w:r>
        <w:rPr>
          <w:rFonts w:hint="default" w:ascii="Times New Roman" w:hAnsi="Times New Roman" w:cs="Times New Roman" w:eastAsiaTheme="minorEastAsia"/>
          <w:color w:val="auto"/>
        </w:rPr>
        <w:drawing>
          <wp:anchor distT="0" distB="0" distL="0" distR="0" simplePos="0" relativeHeight="251673600" behindDoc="0" locked="0" layoutInCell="1" allowOverlap="1">
            <wp:simplePos x="0" y="0"/>
            <wp:positionH relativeFrom="column">
              <wp:posOffset>273050</wp:posOffset>
            </wp:positionH>
            <wp:positionV relativeFrom="paragraph">
              <wp:posOffset>203835</wp:posOffset>
            </wp:positionV>
            <wp:extent cx="4716145" cy="6686550"/>
            <wp:effectExtent l="0" t="0" r="0" b="0"/>
            <wp:wrapNone/>
            <wp:docPr id="5"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true" noChangeArrowheads="true"/>
                    </pic:cNvPicPr>
                  </pic:nvPicPr>
                  <pic:blipFill>
                    <a:blip r:embed="rId23" cstate="print">
                      <a:extLst>
                        <a:ext uri="{28A0092B-C50C-407E-A947-70E740481C1C}">
                          <a14:useLocalDpi xmlns:a14="http://schemas.microsoft.com/office/drawing/2010/main" val="false"/>
                        </a:ext>
                      </a:extLst>
                    </a:blip>
                    <a:srcRect l="721" t="873" r="1649" b="3307"/>
                    <a:stretch>
                      <a:fillRect/>
                    </a:stretch>
                  </pic:blipFill>
                  <pic:spPr>
                    <a:xfrm>
                      <a:off x="0" y="0"/>
                      <a:ext cx="4716897" cy="6687357"/>
                    </a:xfrm>
                    <a:prstGeom prst="rect">
                      <a:avLst/>
                    </a:prstGeom>
                    <a:noFill/>
                    <a:ln>
                      <a:noFill/>
                    </a:ln>
                  </pic:spPr>
                </pic:pic>
              </a:graphicData>
            </a:graphic>
          </wp:anchor>
        </w:drawing>
      </w:r>
    </w:p>
    <w:p>
      <w:pPr>
        <w:pStyle w:val="23"/>
        <w:rPr>
          <w:rFonts w:hint="default" w:ascii="Times New Roman" w:hAnsi="Times New Roman" w:cs="Times New Roman" w:eastAsiaTheme="minorEastAsia"/>
          <w:color w:val="auto"/>
          <w:highlight w:val="yellow"/>
        </w:rPr>
      </w:pPr>
    </w:p>
    <w:p>
      <w:pPr>
        <w:rPr>
          <w:rFonts w:hint="default" w:ascii="Times New Roman" w:hAnsi="Times New Roman" w:cs="Times New Roman" w:eastAsiaTheme="minorEastAsia"/>
          <w:color w:val="auto"/>
          <w:highlight w:val="yellow"/>
        </w:rPr>
      </w:pPr>
    </w:p>
    <w:p>
      <w:pPr>
        <w:pStyle w:val="23"/>
        <w:rPr>
          <w:rFonts w:hint="default" w:ascii="Times New Roman" w:hAnsi="Times New Roman" w:cs="Times New Roman" w:eastAsiaTheme="minorEastAsia"/>
          <w:color w:val="auto"/>
          <w:highlight w:val="yellow"/>
        </w:rPr>
      </w:pPr>
    </w:p>
    <w:p>
      <w:pPr>
        <w:rPr>
          <w:rFonts w:hint="default" w:ascii="Times New Roman" w:hAnsi="Times New Roman" w:cs="Times New Roman" w:eastAsiaTheme="minorEastAsia"/>
          <w:color w:val="auto"/>
          <w:highlight w:val="yellow"/>
        </w:rPr>
      </w:pPr>
    </w:p>
    <w:p>
      <w:pPr>
        <w:pStyle w:val="23"/>
        <w:rPr>
          <w:rFonts w:hint="default" w:ascii="Times New Roman" w:hAnsi="Times New Roman" w:cs="Times New Roman" w:eastAsiaTheme="minorEastAsia"/>
          <w:color w:val="auto"/>
          <w:highlight w:val="yellow"/>
        </w:rPr>
      </w:pPr>
    </w:p>
    <w:p>
      <w:pPr>
        <w:rPr>
          <w:rFonts w:hint="default" w:ascii="Times New Roman" w:hAnsi="Times New Roman" w:cs="Times New Roman" w:eastAsiaTheme="minorEastAsia"/>
          <w:color w:val="auto"/>
          <w:highlight w:val="yellow"/>
        </w:rPr>
      </w:pPr>
    </w:p>
    <w:p>
      <w:pPr>
        <w:pStyle w:val="23"/>
        <w:rPr>
          <w:rFonts w:hint="default" w:ascii="Times New Roman" w:hAnsi="Times New Roman" w:cs="Times New Roman" w:eastAsiaTheme="minorEastAsia"/>
          <w:color w:val="auto"/>
          <w:highlight w:val="yellow"/>
        </w:rPr>
      </w:pPr>
    </w:p>
    <w:p>
      <w:pPr>
        <w:rPr>
          <w:rFonts w:hint="default" w:ascii="Times New Roman" w:hAnsi="Times New Roman" w:cs="Times New Roman" w:eastAsiaTheme="minorEastAsia"/>
          <w:color w:val="auto"/>
          <w:highlight w:val="yellow"/>
        </w:rPr>
      </w:pPr>
    </w:p>
    <w:p>
      <w:pPr>
        <w:pStyle w:val="23"/>
        <w:rPr>
          <w:rFonts w:hint="default" w:ascii="Times New Roman" w:hAnsi="Times New Roman" w:cs="Times New Roman" w:eastAsiaTheme="minorEastAsia"/>
          <w:color w:val="auto"/>
          <w:highlight w:val="yellow"/>
        </w:rPr>
      </w:pPr>
    </w:p>
    <w:p>
      <w:pPr>
        <w:rPr>
          <w:rFonts w:hint="default" w:ascii="Times New Roman" w:hAnsi="Times New Roman" w:cs="Times New Roman" w:eastAsiaTheme="minorEastAsia"/>
          <w:color w:val="auto"/>
          <w:highlight w:val="yellow"/>
        </w:rPr>
      </w:pPr>
    </w:p>
    <w:p>
      <w:pPr>
        <w:pStyle w:val="23"/>
        <w:rPr>
          <w:rFonts w:hint="default" w:ascii="Times New Roman" w:hAnsi="Times New Roman" w:cs="Times New Roman" w:eastAsiaTheme="minorEastAsia"/>
          <w:color w:val="auto"/>
          <w:highlight w:val="yellow"/>
        </w:rPr>
      </w:pPr>
    </w:p>
    <w:p>
      <w:pPr>
        <w:rPr>
          <w:rFonts w:hint="default" w:ascii="Times New Roman" w:hAnsi="Times New Roman" w:cs="Times New Roman" w:eastAsiaTheme="minorEastAsia"/>
          <w:color w:val="auto"/>
          <w:highlight w:val="yellow"/>
        </w:rPr>
      </w:pPr>
    </w:p>
    <w:p>
      <w:pPr>
        <w:pStyle w:val="23"/>
        <w:rPr>
          <w:rFonts w:hint="default" w:ascii="Times New Roman" w:hAnsi="Times New Roman" w:cs="Times New Roman" w:eastAsiaTheme="minorEastAsia"/>
          <w:color w:val="auto"/>
          <w:highlight w:val="yellow"/>
        </w:rPr>
      </w:pPr>
    </w:p>
    <w:p>
      <w:pPr>
        <w:rPr>
          <w:rFonts w:hint="default" w:ascii="Times New Roman" w:hAnsi="Times New Roman" w:cs="Times New Roman" w:eastAsiaTheme="minorEastAsia"/>
          <w:color w:val="auto"/>
          <w:highlight w:val="yellow"/>
        </w:rPr>
      </w:pPr>
    </w:p>
    <w:p>
      <w:pPr>
        <w:pStyle w:val="23"/>
        <w:rPr>
          <w:rFonts w:hint="default" w:ascii="Times New Roman" w:hAnsi="Times New Roman" w:cs="Times New Roman" w:eastAsiaTheme="minorEastAsia"/>
          <w:color w:val="auto"/>
        </w:rPr>
      </w:pPr>
    </w:p>
    <w:p>
      <w:pPr>
        <w:rPr>
          <w:rFonts w:hint="default" w:ascii="Times New Roman" w:hAnsi="Times New Roman" w:cs="Times New Roman" w:eastAsiaTheme="minorEastAsia"/>
          <w:color w:val="auto"/>
        </w:rPr>
      </w:pPr>
    </w:p>
    <w:p>
      <w:pPr>
        <w:pStyle w:val="23"/>
        <w:rPr>
          <w:rFonts w:hint="default" w:ascii="Times New Roman" w:hAnsi="Times New Roman" w:cs="Times New Roman" w:eastAsiaTheme="minorEastAsia"/>
          <w:color w:val="auto"/>
        </w:rPr>
      </w:pPr>
    </w:p>
    <w:p>
      <w:pPr>
        <w:rPr>
          <w:rFonts w:hint="default" w:ascii="Times New Roman" w:hAnsi="Times New Roman" w:cs="Times New Roman" w:eastAsiaTheme="minorEastAsia"/>
          <w:color w:val="auto"/>
        </w:rPr>
      </w:pPr>
    </w:p>
    <w:p>
      <w:pPr>
        <w:pStyle w:val="23"/>
        <w:rPr>
          <w:rFonts w:hint="default" w:ascii="Times New Roman" w:hAnsi="Times New Roman" w:cs="Times New Roman" w:eastAsiaTheme="minorEastAsia"/>
          <w:b/>
          <w:bCs/>
          <w:color w:val="auto"/>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图</w:t>
      </w:r>
      <w:r>
        <w:rPr>
          <w:rFonts w:hint="default" w:ascii="Times New Roman" w:hAnsi="Times New Roman" w:cs="Times New Roman" w:eastAsiaTheme="minorEastAsia"/>
          <w:b/>
          <w:bCs/>
          <w:color w:val="auto"/>
          <w:sz w:val="24"/>
          <w:szCs w:val="24"/>
          <w:lang w:val="en-US" w:eastAsia="zh-CN"/>
        </w:rPr>
        <w:t>2-6</w:t>
      </w:r>
      <w:r>
        <w:rPr>
          <w:rFonts w:hint="default" w:ascii="Times New Roman" w:hAnsi="Times New Roman" w:cs="Times New Roman" w:eastAsiaTheme="minorEastAsia"/>
          <w:b/>
          <w:bCs/>
          <w:color w:val="auto"/>
          <w:sz w:val="24"/>
          <w:szCs w:val="24"/>
        </w:rPr>
        <w:t xml:space="preserve">  曲沃县交通图</w:t>
      </w:r>
    </w:p>
    <w:p>
      <w:pPr>
        <w:pStyle w:val="23"/>
        <w:rPr>
          <w:rFonts w:hint="default" w:ascii="Times New Roman" w:hAnsi="Times New Roman" w:cs="Times New Roman" w:eastAsiaTheme="minorEastAsia"/>
          <w:color w:val="auto"/>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cs="Times New Roman" w:eastAsiaTheme="minorEastAsia"/>
          <w:color w:val="auto"/>
          <w:sz w:val="24"/>
          <w:szCs w:val="24"/>
        </w:rPr>
        <w:sectPr>
          <w:pgSz w:w="11906" w:h="16838"/>
          <w:pgMar w:top="1440" w:right="1797" w:bottom="1440" w:left="179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eastAsiaTheme="minorEastAsia"/>
          <w:color w:val="auto"/>
          <w:sz w:val="30"/>
          <w:szCs w:val="30"/>
          <w:highlight w:val="none"/>
          <w:lang w:val="en-US" w:eastAsia="zh-CN"/>
        </w:rPr>
      </w:pPr>
      <w:bookmarkStart w:id="11" w:name="_Toc10923"/>
      <w:r>
        <w:rPr>
          <w:rFonts w:hint="default" w:ascii="Times New Roman" w:hAnsi="Times New Roman" w:cs="Times New Roman" w:eastAsiaTheme="minorEastAsia"/>
          <w:color w:val="auto"/>
          <w:sz w:val="30"/>
          <w:szCs w:val="30"/>
          <w:highlight w:val="none"/>
          <w:lang w:val="en-US" w:eastAsia="zh-CN"/>
        </w:rPr>
        <w:t>2.3区域环境质量现状</w:t>
      </w:r>
      <w:bookmarkEnd w:id="11"/>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default" w:ascii="Times New Roman" w:hAnsi="Times New Roman" w:cs="Times New Roman" w:eastAsiaTheme="minorEastAsia"/>
          <w:color w:val="auto"/>
          <w:sz w:val="28"/>
          <w:szCs w:val="28"/>
          <w:lang w:val="en-US" w:eastAsia="zh-CN"/>
        </w:rPr>
        <w:t>2.3.1环境空气质量现状</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本次评价引用曲沃县2018年和2019年的环境空气例行监测数据对区域现状空气质量予以说明，见表</w:t>
      </w:r>
      <w:r>
        <w:rPr>
          <w:rFonts w:hint="eastAsia" w:ascii="Times New Roman" w:hAnsi="Times New Roman" w:cs="Times New Roman" w:eastAsiaTheme="minorEastAsia"/>
          <w:color w:val="auto"/>
          <w:sz w:val="24"/>
          <w:szCs w:val="24"/>
          <w:lang w:val="en-US" w:eastAsia="zh-CN"/>
        </w:rPr>
        <w:t>2-1、表2-2</w:t>
      </w:r>
      <w:r>
        <w:rPr>
          <w:rFonts w:hint="default" w:ascii="Times New Roman" w:hAnsi="Times New Roman" w:cs="Times New Roman" w:eastAsiaTheme="minorEastAsia"/>
          <w:color w:val="auto"/>
          <w:sz w:val="24"/>
          <w:szCs w:val="24"/>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表2-1  2018年曲沃县大气例行监测数据统计表  单位：µg/m</w:t>
      </w:r>
      <w:r>
        <w:rPr>
          <w:rFonts w:hint="default" w:ascii="Times New Roman" w:hAnsi="Times New Roman" w:cs="Times New Roman" w:eastAsiaTheme="minorEastAsia"/>
          <w:b/>
          <w:bCs/>
          <w:color w:val="auto"/>
          <w:sz w:val="21"/>
          <w:szCs w:val="21"/>
          <w:vertAlign w:val="superscript"/>
        </w:rPr>
        <w:t>3</w:t>
      </w:r>
    </w:p>
    <w:tbl>
      <w:tblPr>
        <w:tblStyle w:val="24"/>
        <w:tblW w:w="852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51"/>
        <w:gridCol w:w="1025"/>
        <w:gridCol w:w="1023"/>
        <w:gridCol w:w="1170"/>
        <w:gridCol w:w="1170"/>
        <w:gridCol w:w="1402"/>
        <w:gridCol w:w="138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项目</w:t>
            </w:r>
          </w:p>
        </w:tc>
        <w:tc>
          <w:tcPr>
            <w:tcW w:w="10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SO</w:t>
            </w:r>
            <w:r>
              <w:rPr>
                <w:rFonts w:hint="default" w:ascii="Times New Roman" w:hAnsi="Times New Roman" w:cs="Times New Roman" w:eastAsiaTheme="minorEastAsia"/>
                <w:b/>
                <w:bCs/>
                <w:color w:val="auto"/>
                <w:sz w:val="21"/>
                <w:szCs w:val="21"/>
                <w:vertAlign w:val="subscript"/>
              </w:rPr>
              <w:t>2</w:t>
            </w:r>
          </w:p>
        </w:tc>
        <w:tc>
          <w:tcPr>
            <w:tcW w:w="102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NO</w:t>
            </w:r>
            <w:r>
              <w:rPr>
                <w:rFonts w:hint="default" w:ascii="Times New Roman" w:hAnsi="Times New Roman" w:cs="Times New Roman" w:eastAsiaTheme="minorEastAsia"/>
                <w:b/>
                <w:bCs/>
                <w:color w:val="auto"/>
                <w:sz w:val="21"/>
                <w:szCs w:val="21"/>
                <w:vertAlign w:val="subscript"/>
              </w:rPr>
              <w:t>2</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PM</w:t>
            </w:r>
            <w:r>
              <w:rPr>
                <w:rFonts w:hint="default" w:ascii="Times New Roman" w:hAnsi="Times New Roman" w:cs="Times New Roman" w:eastAsiaTheme="minorEastAsia"/>
                <w:b/>
                <w:bCs/>
                <w:color w:val="auto"/>
                <w:sz w:val="21"/>
                <w:szCs w:val="21"/>
                <w:vertAlign w:val="subscript"/>
              </w:rPr>
              <w:t>10</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PM</w:t>
            </w:r>
            <w:r>
              <w:rPr>
                <w:rFonts w:hint="default" w:ascii="Times New Roman" w:hAnsi="Times New Roman" w:cs="Times New Roman" w:eastAsiaTheme="minorEastAsia"/>
                <w:b/>
                <w:bCs/>
                <w:color w:val="auto"/>
                <w:sz w:val="21"/>
                <w:szCs w:val="21"/>
                <w:vertAlign w:val="subscript"/>
              </w:rPr>
              <w:t>2.5</w:t>
            </w:r>
          </w:p>
        </w:tc>
        <w:tc>
          <w:tcPr>
            <w:tcW w:w="140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CO百分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位数</w:t>
            </w:r>
          </w:p>
        </w:tc>
        <w:tc>
          <w:tcPr>
            <w:tcW w:w="138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O</w:t>
            </w:r>
            <w:r>
              <w:rPr>
                <w:rFonts w:hint="default" w:ascii="Times New Roman" w:hAnsi="Times New Roman" w:cs="Times New Roman" w:eastAsiaTheme="minorEastAsia"/>
                <w:b/>
                <w:bCs/>
                <w:color w:val="auto"/>
                <w:sz w:val="21"/>
                <w:szCs w:val="21"/>
                <w:vertAlign w:val="subscript"/>
              </w:rPr>
              <w:t>3</w:t>
            </w:r>
            <w:r>
              <w:rPr>
                <w:rFonts w:hint="default" w:ascii="Times New Roman" w:hAnsi="Times New Roman" w:cs="Times New Roman" w:eastAsiaTheme="minorEastAsia"/>
                <w:b/>
                <w:bCs/>
                <w:color w:val="auto"/>
                <w:sz w:val="21"/>
                <w:szCs w:val="21"/>
              </w:rPr>
              <w:t>_8h百分位数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例行监测值</w:t>
            </w:r>
          </w:p>
        </w:tc>
        <w:tc>
          <w:tcPr>
            <w:tcW w:w="10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50</w:t>
            </w:r>
          </w:p>
        </w:tc>
        <w:tc>
          <w:tcPr>
            <w:tcW w:w="102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39</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116</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68</w:t>
            </w:r>
          </w:p>
        </w:tc>
        <w:tc>
          <w:tcPr>
            <w:tcW w:w="140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lang w:val="en-US" w:eastAsia="zh-CN"/>
              </w:rPr>
            </w:pPr>
            <w:r>
              <w:rPr>
                <w:rFonts w:hint="eastAsia" w:ascii="Times New Roman" w:hAnsi="Times New Roman" w:cs="Times New Roman" w:eastAsiaTheme="minorEastAsia"/>
                <w:bCs/>
                <w:color w:val="auto"/>
                <w:sz w:val="21"/>
                <w:szCs w:val="21"/>
                <w:lang w:val="en-US" w:eastAsia="zh-CN"/>
              </w:rPr>
              <w:t>4600</w:t>
            </w:r>
          </w:p>
        </w:tc>
        <w:tc>
          <w:tcPr>
            <w:tcW w:w="138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175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标准值</w:t>
            </w:r>
          </w:p>
        </w:tc>
        <w:tc>
          <w:tcPr>
            <w:tcW w:w="10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60</w:t>
            </w:r>
          </w:p>
        </w:tc>
        <w:tc>
          <w:tcPr>
            <w:tcW w:w="102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40</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70</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35</w:t>
            </w:r>
          </w:p>
        </w:tc>
        <w:tc>
          <w:tcPr>
            <w:tcW w:w="140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lang w:val="en-US" w:eastAsia="zh-CN"/>
              </w:rPr>
            </w:pPr>
            <w:r>
              <w:rPr>
                <w:rFonts w:hint="default" w:ascii="Times New Roman" w:hAnsi="Times New Roman" w:cs="Times New Roman" w:eastAsiaTheme="minorEastAsia"/>
                <w:bCs/>
                <w:color w:val="auto"/>
                <w:sz w:val="21"/>
                <w:szCs w:val="21"/>
              </w:rPr>
              <w:t>4</w:t>
            </w:r>
            <w:r>
              <w:rPr>
                <w:rFonts w:hint="eastAsia" w:ascii="Times New Roman" w:hAnsi="Times New Roman" w:cs="Times New Roman" w:eastAsiaTheme="minorEastAsia"/>
                <w:bCs/>
                <w:color w:val="auto"/>
                <w:sz w:val="21"/>
                <w:szCs w:val="21"/>
                <w:lang w:val="en-US" w:eastAsia="zh-CN"/>
              </w:rPr>
              <w:t>000</w:t>
            </w:r>
          </w:p>
        </w:tc>
        <w:tc>
          <w:tcPr>
            <w:tcW w:w="138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160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是否超标</w:t>
            </w:r>
          </w:p>
        </w:tc>
        <w:tc>
          <w:tcPr>
            <w:tcW w:w="10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达标</w:t>
            </w:r>
          </w:p>
        </w:tc>
        <w:tc>
          <w:tcPr>
            <w:tcW w:w="102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达标</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超标</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超标</w:t>
            </w:r>
          </w:p>
        </w:tc>
        <w:tc>
          <w:tcPr>
            <w:tcW w:w="140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超标</w:t>
            </w:r>
          </w:p>
        </w:tc>
        <w:tc>
          <w:tcPr>
            <w:tcW w:w="138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超标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占标率</w:t>
            </w:r>
          </w:p>
        </w:tc>
        <w:tc>
          <w:tcPr>
            <w:tcW w:w="10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83.3%</w:t>
            </w:r>
          </w:p>
        </w:tc>
        <w:tc>
          <w:tcPr>
            <w:tcW w:w="102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97.5%</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164.3%</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194.3%</w:t>
            </w:r>
          </w:p>
        </w:tc>
        <w:tc>
          <w:tcPr>
            <w:tcW w:w="140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115%</w:t>
            </w:r>
          </w:p>
        </w:tc>
        <w:tc>
          <w:tcPr>
            <w:tcW w:w="138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109%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超标倍数</w:t>
            </w:r>
          </w:p>
        </w:tc>
        <w:tc>
          <w:tcPr>
            <w:tcW w:w="10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w:t>
            </w:r>
          </w:p>
        </w:tc>
        <w:tc>
          <w:tcPr>
            <w:tcW w:w="102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0.64</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0.94</w:t>
            </w:r>
          </w:p>
        </w:tc>
        <w:tc>
          <w:tcPr>
            <w:tcW w:w="140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0.15</w:t>
            </w:r>
          </w:p>
        </w:tc>
        <w:tc>
          <w:tcPr>
            <w:tcW w:w="138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0.09</w:t>
            </w:r>
          </w:p>
        </w:tc>
      </w:tr>
    </w:tbl>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表2-2  2019年曲沃县大气例行监测数据统计表  单位：µg/m</w:t>
      </w:r>
      <w:r>
        <w:rPr>
          <w:rFonts w:hint="default" w:ascii="Times New Roman" w:hAnsi="Times New Roman" w:cs="Times New Roman" w:eastAsiaTheme="minorEastAsia"/>
          <w:b/>
          <w:bCs/>
          <w:color w:val="auto"/>
          <w:sz w:val="21"/>
          <w:szCs w:val="21"/>
          <w:vertAlign w:val="superscript"/>
        </w:rPr>
        <w:t>3</w:t>
      </w:r>
    </w:p>
    <w:tbl>
      <w:tblPr>
        <w:tblStyle w:val="24"/>
        <w:tblW w:w="852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51"/>
        <w:gridCol w:w="1025"/>
        <w:gridCol w:w="1023"/>
        <w:gridCol w:w="1170"/>
        <w:gridCol w:w="1170"/>
        <w:gridCol w:w="1402"/>
        <w:gridCol w:w="138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项目</w:t>
            </w:r>
          </w:p>
        </w:tc>
        <w:tc>
          <w:tcPr>
            <w:tcW w:w="10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SO</w:t>
            </w:r>
            <w:r>
              <w:rPr>
                <w:rFonts w:hint="default" w:ascii="Times New Roman" w:hAnsi="Times New Roman" w:cs="Times New Roman" w:eastAsiaTheme="minorEastAsia"/>
                <w:b/>
                <w:bCs/>
                <w:color w:val="auto"/>
                <w:sz w:val="21"/>
                <w:szCs w:val="21"/>
                <w:vertAlign w:val="subscript"/>
              </w:rPr>
              <w:t>2</w:t>
            </w:r>
          </w:p>
        </w:tc>
        <w:tc>
          <w:tcPr>
            <w:tcW w:w="102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NO</w:t>
            </w:r>
            <w:r>
              <w:rPr>
                <w:rFonts w:hint="default" w:ascii="Times New Roman" w:hAnsi="Times New Roman" w:cs="Times New Roman" w:eastAsiaTheme="minorEastAsia"/>
                <w:b/>
                <w:bCs/>
                <w:color w:val="auto"/>
                <w:sz w:val="21"/>
                <w:szCs w:val="21"/>
                <w:vertAlign w:val="subscript"/>
              </w:rPr>
              <w:t>2</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PM</w:t>
            </w:r>
            <w:r>
              <w:rPr>
                <w:rFonts w:hint="default" w:ascii="Times New Roman" w:hAnsi="Times New Roman" w:cs="Times New Roman" w:eastAsiaTheme="minorEastAsia"/>
                <w:b/>
                <w:bCs/>
                <w:color w:val="auto"/>
                <w:sz w:val="21"/>
                <w:szCs w:val="21"/>
                <w:vertAlign w:val="subscript"/>
              </w:rPr>
              <w:t>10</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PM</w:t>
            </w:r>
            <w:r>
              <w:rPr>
                <w:rFonts w:hint="default" w:ascii="Times New Roman" w:hAnsi="Times New Roman" w:cs="Times New Roman" w:eastAsiaTheme="minorEastAsia"/>
                <w:b/>
                <w:bCs/>
                <w:color w:val="auto"/>
                <w:sz w:val="21"/>
                <w:szCs w:val="21"/>
                <w:vertAlign w:val="subscript"/>
              </w:rPr>
              <w:t>2.5</w:t>
            </w:r>
          </w:p>
        </w:tc>
        <w:tc>
          <w:tcPr>
            <w:tcW w:w="140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CO百分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位数</w:t>
            </w:r>
          </w:p>
        </w:tc>
        <w:tc>
          <w:tcPr>
            <w:tcW w:w="138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O</w:t>
            </w:r>
            <w:r>
              <w:rPr>
                <w:rFonts w:hint="default" w:ascii="Times New Roman" w:hAnsi="Times New Roman" w:cs="Times New Roman" w:eastAsiaTheme="minorEastAsia"/>
                <w:b/>
                <w:bCs/>
                <w:color w:val="auto"/>
                <w:sz w:val="21"/>
                <w:szCs w:val="21"/>
                <w:vertAlign w:val="subscript"/>
              </w:rPr>
              <w:t>3</w:t>
            </w:r>
            <w:r>
              <w:rPr>
                <w:rFonts w:hint="default" w:ascii="Times New Roman" w:hAnsi="Times New Roman" w:cs="Times New Roman" w:eastAsiaTheme="minorEastAsia"/>
                <w:b/>
                <w:bCs/>
                <w:color w:val="auto"/>
                <w:sz w:val="21"/>
                <w:szCs w:val="21"/>
              </w:rPr>
              <w:t>_8h百分位数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例行监测值</w:t>
            </w:r>
          </w:p>
        </w:tc>
        <w:tc>
          <w:tcPr>
            <w:tcW w:w="10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32</w:t>
            </w:r>
          </w:p>
        </w:tc>
        <w:tc>
          <w:tcPr>
            <w:tcW w:w="102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31</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102</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62</w:t>
            </w:r>
          </w:p>
        </w:tc>
        <w:tc>
          <w:tcPr>
            <w:tcW w:w="140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lang w:val="en-US" w:eastAsia="zh-CN"/>
              </w:rPr>
            </w:pPr>
            <w:r>
              <w:rPr>
                <w:rFonts w:hint="eastAsia" w:ascii="Times New Roman" w:hAnsi="Times New Roman" w:cs="Times New Roman" w:eastAsiaTheme="minorEastAsia"/>
                <w:bCs/>
                <w:color w:val="auto"/>
                <w:sz w:val="21"/>
                <w:szCs w:val="21"/>
                <w:lang w:val="en-US" w:eastAsia="zh-CN"/>
              </w:rPr>
              <w:t>3400</w:t>
            </w:r>
          </w:p>
        </w:tc>
        <w:tc>
          <w:tcPr>
            <w:tcW w:w="138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180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标准值</w:t>
            </w:r>
          </w:p>
        </w:tc>
        <w:tc>
          <w:tcPr>
            <w:tcW w:w="10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60</w:t>
            </w:r>
          </w:p>
        </w:tc>
        <w:tc>
          <w:tcPr>
            <w:tcW w:w="102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40</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70</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35</w:t>
            </w:r>
          </w:p>
        </w:tc>
        <w:tc>
          <w:tcPr>
            <w:tcW w:w="140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lang w:val="en-US" w:eastAsia="zh-CN"/>
              </w:rPr>
            </w:pPr>
            <w:r>
              <w:rPr>
                <w:rFonts w:hint="default" w:ascii="Times New Roman" w:hAnsi="Times New Roman" w:cs="Times New Roman" w:eastAsiaTheme="minorEastAsia"/>
                <w:bCs/>
                <w:color w:val="auto"/>
                <w:sz w:val="21"/>
                <w:szCs w:val="21"/>
              </w:rPr>
              <w:t>4</w:t>
            </w:r>
            <w:r>
              <w:rPr>
                <w:rFonts w:hint="eastAsia" w:ascii="Times New Roman" w:hAnsi="Times New Roman" w:cs="Times New Roman" w:eastAsiaTheme="minorEastAsia"/>
                <w:bCs/>
                <w:color w:val="auto"/>
                <w:sz w:val="21"/>
                <w:szCs w:val="21"/>
                <w:lang w:val="en-US" w:eastAsia="zh-CN"/>
              </w:rPr>
              <w:t>000</w:t>
            </w:r>
          </w:p>
        </w:tc>
        <w:tc>
          <w:tcPr>
            <w:tcW w:w="138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160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是否超标</w:t>
            </w:r>
          </w:p>
        </w:tc>
        <w:tc>
          <w:tcPr>
            <w:tcW w:w="10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达标</w:t>
            </w:r>
          </w:p>
        </w:tc>
        <w:tc>
          <w:tcPr>
            <w:tcW w:w="102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达标</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超标</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超标</w:t>
            </w:r>
          </w:p>
        </w:tc>
        <w:tc>
          <w:tcPr>
            <w:tcW w:w="140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达标</w:t>
            </w:r>
          </w:p>
        </w:tc>
        <w:tc>
          <w:tcPr>
            <w:tcW w:w="138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超标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占标率</w:t>
            </w:r>
          </w:p>
        </w:tc>
        <w:tc>
          <w:tcPr>
            <w:tcW w:w="10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53.3%</w:t>
            </w:r>
          </w:p>
        </w:tc>
        <w:tc>
          <w:tcPr>
            <w:tcW w:w="102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77.5%</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145.7%</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177.1%</w:t>
            </w:r>
          </w:p>
        </w:tc>
        <w:tc>
          <w:tcPr>
            <w:tcW w:w="140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85%</w:t>
            </w:r>
          </w:p>
        </w:tc>
        <w:tc>
          <w:tcPr>
            <w:tcW w:w="138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112.5%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超标倍数</w:t>
            </w:r>
          </w:p>
        </w:tc>
        <w:tc>
          <w:tcPr>
            <w:tcW w:w="10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w:t>
            </w:r>
          </w:p>
        </w:tc>
        <w:tc>
          <w:tcPr>
            <w:tcW w:w="102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0.46</w:t>
            </w:r>
          </w:p>
        </w:tc>
        <w:tc>
          <w:tcPr>
            <w:tcW w:w="11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0.77</w:t>
            </w:r>
          </w:p>
        </w:tc>
        <w:tc>
          <w:tcPr>
            <w:tcW w:w="140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w:t>
            </w:r>
          </w:p>
        </w:tc>
        <w:tc>
          <w:tcPr>
            <w:tcW w:w="138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bCs/>
                <w:color w:val="auto"/>
                <w:sz w:val="21"/>
                <w:szCs w:val="21"/>
              </w:rPr>
            </w:pPr>
            <w:r>
              <w:rPr>
                <w:rFonts w:hint="default" w:ascii="Times New Roman" w:hAnsi="Times New Roman" w:cs="Times New Roman" w:eastAsiaTheme="minorEastAsia"/>
                <w:bCs/>
                <w:color w:val="auto"/>
                <w:sz w:val="21"/>
                <w:szCs w:val="21"/>
              </w:rPr>
              <w:t>0.125</w:t>
            </w:r>
          </w:p>
        </w:tc>
      </w:tr>
    </w:tbl>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由上表可知：2019年曲沃县</w:t>
      </w:r>
      <w:r>
        <w:rPr>
          <w:rFonts w:hint="default" w:ascii="Times New Roman" w:hAnsi="Times New Roman" w:cs="Times New Roman" w:eastAsiaTheme="minorEastAsia"/>
          <w:bCs/>
          <w:color w:val="auto"/>
          <w:sz w:val="24"/>
          <w:szCs w:val="24"/>
        </w:rPr>
        <w:t>SO</w:t>
      </w:r>
      <w:r>
        <w:rPr>
          <w:rFonts w:hint="default" w:ascii="Times New Roman" w:hAnsi="Times New Roman" w:cs="Times New Roman" w:eastAsiaTheme="minorEastAsia"/>
          <w:bCs/>
          <w:color w:val="auto"/>
          <w:sz w:val="24"/>
          <w:szCs w:val="24"/>
          <w:vertAlign w:val="subscript"/>
        </w:rPr>
        <w:t>2</w:t>
      </w:r>
      <w:r>
        <w:rPr>
          <w:rFonts w:hint="default" w:ascii="Times New Roman" w:hAnsi="Times New Roman" w:cs="Times New Roman" w:eastAsiaTheme="minorEastAsia"/>
          <w:color w:val="auto"/>
          <w:sz w:val="24"/>
          <w:szCs w:val="24"/>
        </w:rPr>
        <w:t>年均浓度32µg/m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，占标率53.3%，</w:t>
      </w:r>
      <w:r>
        <w:rPr>
          <w:rFonts w:hint="default" w:ascii="Times New Roman" w:hAnsi="Times New Roman" w:cs="Times New Roman" w:eastAsiaTheme="minorEastAsia"/>
          <w:bCs/>
          <w:color w:val="auto"/>
          <w:sz w:val="24"/>
          <w:szCs w:val="24"/>
        </w:rPr>
        <w:t>NO</w:t>
      </w:r>
      <w:r>
        <w:rPr>
          <w:rFonts w:hint="default" w:ascii="Times New Roman" w:hAnsi="Times New Roman" w:cs="Times New Roman" w:eastAsiaTheme="minorEastAsia"/>
          <w:bCs/>
          <w:color w:val="auto"/>
          <w:sz w:val="24"/>
          <w:szCs w:val="24"/>
          <w:vertAlign w:val="subscript"/>
        </w:rPr>
        <w:t>2</w:t>
      </w:r>
      <w:r>
        <w:rPr>
          <w:rFonts w:hint="default" w:ascii="Times New Roman" w:hAnsi="Times New Roman" w:cs="Times New Roman" w:eastAsiaTheme="minorEastAsia"/>
          <w:color w:val="auto"/>
          <w:sz w:val="24"/>
          <w:szCs w:val="24"/>
        </w:rPr>
        <w:t>年均浓度31µg/m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，占标率77.5%，PM</w:t>
      </w:r>
      <w:r>
        <w:rPr>
          <w:rFonts w:hint="default" w:ascii="Times New Roman" w:hAnsi="Times New Roman" w:cs="Times New Roman" w:eastAsiaTheme="minorEastAsia"/>
          <w:color w:val="auto"/>
          <w:sz w:val="24"/>
          <w:szCs w:val="24"/>
          <w:vertAlign w:val="subscript"/>
        </w:rPr>
        <w:t>10</w:t>
      </w:r>
      <w:r>
        <w:rPr>
          <w:rFonts w:hint="default" w:ascii="Times New Roman" w:hAnsi="Times New Roman" w:cs="Times New Roman" w:eastAsiaTheme="minorEastAsia"/>
          <w:color w:val="auto"/>
          <w:sz w:val="24"/>
          <w:szCs w:val="24"/>
        </w:rPr>
        <w:t>年均浓度102µg/m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，占标率145.7%，PM</w:t>
      </w:r>
      <w:r>
        <w:rPr>
          <w:rFonts w:hint="default" w:ascii="Times New Roman" w:hAnsi="Times New Roman" w:cs="Times New Roman" w:eastAsiaTheme="minorEastAsia"/>
          <w:color w:val="auto"/>
          <w:sz w:val="24"/>
          <w:szCs w:val="24"/>
          <w:vertAlign w:val="subscript"/>
        </w:rPr>
        <w:t>2.5</w:t>
      </w:r>
      <w:r>
        <w:rPr>
          <w:rFonts w:hint="default" w:ascii="Times New Roman" w:hAnsi="Times New Roman" w:cs="Times New Roman" w:eastAsiaTheme="minorEastAsia"/>
          <w:color w:val="auto"/>
          <w:sz w:val="24"/>
          <w:szCs w:val="24"/>
        </w:rPr>
        <w:t>年均浓度62µg/m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，占标率177.1%，CO百分位数3.4mg/m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，占标率85%，O</w:t>
      </w:r>
      <w:r>
        <w:rPr>
          <w:rFonts w:hint="default" w:ascii="Times New Roman" w:hAnsi="Times New Roman" w:cs="Times New Roman" w:eastAsiaTheme="minorEastAsia"/>
          <w:color w:val="auto"/>
          <w:sz w:val="24"/>
          <w:szCs w:val="24"/>
          <w:vertAlign w:val="subscript"/>
        </w:rPr>
        <w:t>3</w:t>
      </w:r>
      <w:r>
        <w:rPr>
          <w:rFonts w:hint="default" w:ascii="Times New Roman" w:hAnsi="Times New Roman" w:cs="Times New Roman" w:eastAsiaTheme="minorEastAsia"/>
          <w:color w:val="auto"/>
          <w:sz w:val="24"/>
          <w:szCs w:val="24"/>
        </w:rPr>
        <w:t>_8h百分位数180µg/m</w:t>
      </w:r>
      <w:r>
        <w:rPr>
          <w:rFonts w:hint="default" w:ascii="Times New Roman" w:hAnsi="Times New Roman" w:cs="Times New Roman" w:eastAsiaTheme="minorEastAsia"/>
          <w:color w:val="auto"/>
          <w:sz w:val="24"/>
          <w:szCs w:val="24"/>
          <w:vertAlign w:val="superscript"/>
        </w:rPr>
        <w:t>3</w:t>
      </w:r>
      <w:r>
        <w:rPr>
          <w:rFonts w:hint="default" w:ascii="Times New Roman" w:hAnsi="Times New Roman" w:cs="Times New Roman" w:eastAsiaTheme="minorEastAsia"/>
          <w:color w:val="auto"/>
          <w:sz w:val="24"/>
          <w:szCs w:val="24"/>
        </w:rPr>
        <w:t>，占标率112.5%。2019年曲沃县PM</w:t>
      </w:r>
      <w:r>
        <w:rPr>
          <w:rFonts w:hint="default" w:ascii="Times New Roman" w:hAnsi="Times New Roman" w:cs="Times New Roman" w:eastAsiaTheme="minorEastAsia"/>
          <w:color w:val="auto"/>
          <w:sz w:val="24"/>
          <w:szCs w:val="24"/>
          <w:vertAlign w:val="subscript"/>
        </w:rPr>
        <w:t>10</w:t>
      </w:r>
      <w:r>
        <w:rPr>
          <w:rFonts w:hint="default" w:ascii="Times New Roman" w:hAnsi="Times New Roman" w:cs="Times New Roman" w:eastAsiaTheme="minorEastAsia"/>
          <w:color w:val="auto"/>
          <w:sz w:val="24"/>
          <w:szCs w:val="24"/>
        </w:rPr>
        <w:t>、PM</w:t>
      </w:r>
      <w:r>
        <w:rPr>
          <w:rFonts w:hint="default" w:ascii="Times New Roman" w:hAnsi="Times New Roman" w:cs="Times New Roman" w:eastAsiaTheme="minorEastAsia"/>
          <w:color w:val="auto"/>
          <w:sz w:val="24"/>
          <w:szCs w:val="24"/>
          <w:vertAlign w:val="subscript"/>
        </w:rPr>
        <w:t>2.5</w:t>
      </w:r>
      <w:r>
        <w:rPr>
          <w:rFonts w:hint="default" w:ascii="Times New Roman" w:hAnsi="Times New Roman" w:cs="Times New Roman" w:eastAsiaTheme="minorEastAsia"/>
          <w:color w:val="auto"/>
          <w:sz w:val="24"/>
          <w:szCs w:val="24"/>
        </w:rPr>
        <w:t>年均值和O</w:t>
      </w:r>
      <w:r>
        <w:rPr>
          <w:rFonts w:hint="default" w:ascii="Times New Roman" w:hAnsi="Times New Roman" w:cs="Times New Roman" w:eastAsiaTheme="minorEastAsia"/>
          <w:color w:val="auto"/>
          <w:sz w:val="24"/>
          <w:szCs w:val="24"/>
          <w:vertAlign w:val="subscript"/>
        </w:rPr>
        <w:t>3</w:t>
      </w:r>
      <w:r>
        <w:rPr>
          <w:rFonts w:hint="default" w:ascii="Times New Roman" w:hAnsi="Times New Roman" w:cs="Times New Roman" w:eastAsiaTheme="minorEastAsia"/>
          <w:color w:val="auto"/>
          <w:sz w:val="24"/>
          <w:szCs w:val="24"/>
        </w:rPr>
        <w:t>_8h百分位数不满足环境空气质量二级标准要求，区域环境空气质量为不达标区，但空气环境质量相较于2018年，有明显好转。</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default" w:ascii="Times New Roman" w:hAnsi="Times New Roman" w:cs="Times New Roman" w:eastAsiaTheme="minorEastAsia"/>
          <w:color w:val="auto"/>
          <w:sz w:val="28"/>
          <w:szCs w:val="28"/>
          <w:lang w:val="en-US" w:eastAsia="zh-CN"/>
        </w:rPr>
        <w:t>2.3.2地表水环境质量现状</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曲沃县中心建成区内无地表水，没有设置监测断面。</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default" w:ascii="Times New Roman" w:hAnsi="Times New Roman" w:cs="Times New Roman" w:eastAsiaTheme="minorEastAsia"/>
          <w:color w:val="auto"/>
          <w:sz w:val="28"/>
          <w:szCs w:val="28"/>
          <w:lang w:val="en-US" w:eastAsia="zh-CN"/>
        </w:rPr>
        <w:t>2.3.3噪声环境质量现状</w:t>
      </w:r>
    </w:p>
    <w:p>
      <w:pPr>
        <w:ind w:firstLine="56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（1）区域环境噪声</w:t>
      </w:r>
    </w:p>
    <w:p>
      <w:pPr>
        <w:snapToGrid w:val="0"/>
        <w:ind w:firstLine="560"/>
        <w:rPr>
          <w:rFonts w:hint="default" w:ascii="Times New Roman" w:hAnsi="Times New Roman" w:cs="Times New Roman" w:eastAsiaTheme="minorEastAsia"/>
          <w:sz w:val="24"/>
          <w:szCs w:val="24"/>
          <w:highlight w:val="red"/>
        </w:rPr>
      </w:pPr>
      <w:r>
        <w:rPr>
          <w:rFonts w:hint="eastAsia" w:ascii="Times New Roman" w:hAnsi="Times New Roman" w:cs="Times New Roman" w:eastAsiaTheme="minorEastAsia"/>
          <w:sz w:val="24"/>
          <w:szCs w:val="24"/>
          <w:highlight w:val="none"/>
          <w:lang w:val="en-US" w:eastAsia="zh-CN"/>
        </w:rPr>
        <w:t>2020</w:t>
      </w:r>
      <w:r>
        <w:rPr>
          <w:rFonts w:hint="default" w:ascii="Times New Roman" w:hAnsi="Times New Roman" w:cs="Times New Roman" w:eastAsiaTheme="minorEastAsia"/>
          <w:sz w:val="24"/>
          <w:szCs w:val="24"/>
          <w:highlight w:val="none"/>
        </w:rPr>
        <w:t>年</w:t>
      </w:r>
      <w:r>
        <w:rPr>
          <w:rFonts w:hint="eastAsia" w:ascii="Times New Roman" w:hAnsi="Times New Roman" w:cs="Times New Roman" w:eastAsiaTheme="minorEastAsia"/>
          <w:sz w:val="24"/>
          <w:szCs w:val="24"/>
          <w:highlight w:val="none"/>
          <w:lang w:val="en-US" w:eastAsia="zh-CN"/>
        </w:rPr>
        <w:t>11</w:t>
      </w:r>
      <w:r>
        <w:rPr>
          <w:rFonts w:hint="default" w:ascii="Times New Roman" w:hAnsi="Times New Roman" w:cs="Times New Roman" w:eastAsiaTheme="minorEastAsia"/>
          <w:sz w:val="24"/>
          <w:szCs w:val="24"/>
          <w:highlight w:val="none"/>
          <w:lang w:val="en-US" w:eastAsia="zh-CN"/>
        </w:rPr>
        <w:t>月，山西鑫合诚环境监测有限公司</w:t>
      </w:r>
      <w:r>
        <w:rPr>
          <w:rFonts w:hint="default" w:ascii="Times New Roman" w:hAnsi="Times New Roman" w:cs="Times New Roman" w:eastAsiaTheme="minorEastAsia"/>
          <w:sz w:val="24"/>
          <w:szCs w:val="24"/>
          <w:highlight w:val="none"/>
        </w:rPr>
        <w:t>对曲沃县城建成区噪声现状进行了监测，共布设点位1</w:t>
      </w:r>
      <w:r>
        <w:rPr>
          <w:rFonts w:hint="eastAsia" w:ascii="Times New Roman" w:hAnsi="Times New Roman" w:cs="Times New Roman" w:eastAsiaTheme="minorEastAsia"/>
          <w:sz w:val="24"/>
          <w:szCs w:val="24"/>
          <w:highlight w:val="none"/>
          <w:lang w:val="en-US" w:eastAsia="zh-CN"/>
        </w:rPr>
        <w:t>3</w:t>
      </w:r>
      <w:r>
        <w:rPr>
          <w:rFonts w:hint="eastAsia" w:cs="Times New Roman" w:eastAsiaTheme="minorEastAsia"/>
          <w:sz w:val="24"/>
          <w:szCs w:val="24"/>
          <w:highlight w:val="none"/>
          <w:lang w:val="en-US" w:eastAsia="zh-CN"/>
        </w:rPr>
        <w:t>3</w:t>
      </w:r>
      <w:r>
        <w:rPr>
          <w:rFonts w:hint="default" w:ascii="Times New Roman" w:hAnsi="Times New Roman" w:cs="Times New Roman" w:eastAsiaTheme="minorEastAsia"/>
          <w:sz w:val="24"/>
          <w:szCs w:val="24"/>
          <w:highlight w:val="none"/>
        </w:rPr>
        <w:t>个，</w:t>
      </w:r>
      <w:r>
        <w:rPr>
          <w:rFonts w:hint="default" w:ascii="Times New Roman" w:hAnsi="Times New Roman" w:cs="Times New Roman" w:eastAsiaTheme="minorEastAsia"/>
          <w:sz w:val="24"/>
          <w:szCs w:val="24"/>
          <w:highlight w:val="none"/>
          <w:lang w:val="en-US" w:eastAsia="zh-CN"/>
        </w:rPr>
        <w:t>其中有效点位</w:t>
      </w:r>
      <w:r>
        <w:rPr>
          <w:rFonts w:hint="eastAsia" w:cs="Times New Roman" w:eastAsiaTheme="minorEastAsia"/>
          <w:sz w:val="24"/>
          <w:szCs w:val="24"/>
          <w:highlight w:val="none"/>
          <w:lang w:val="en-US" w:eastAsia="zh-CN"/>
        </w:rPr>
        <w:t>110</w:t>
      </w:r>
      <w:r>
        <w:rPr>
          <w:rFonts w:hint="default" w:ascii="Times New Roman" w:hAnsi="Times New Roman" w:cs="Times New Roman" w:eastAsiaTheme="minorEastAsia"/>
          <w:sz w:val="24"/>
          <w:szCs w:val="24"/>
          <w:highlight w:val="none"/>
          <w:lang w:val="en-US" w:eastAsia="zh-CN"/>
        </w:rPr>
        <w:t>个，</w:t>
      </w:r>
      <w:r>
        <w:rPr>
          <w:rFonts w:hint="default" w:ascii="Times New Roman" w:hAnsi="Times New Roman" w:cs="Times New Roman" w:eastAsiaTheme="minorEastAsia"/>
          <w:sz w:val="24"/>
          <w:szCs w:val="24"/>
          <w:highlight w:val="none"/>
        </w:rPr>
        <w:t>有效网格总覆盖面积</w:t>
      </w:r>
      <w:r>
        <w:rPr>
          <w:rFonts w:hint="eastAsia" w:cs="Times New Roman" w:eastAsiaTheme="minorEastAsia"/>
          <w:sz w:val="24"/>
          <w:szCs w:val="24"/>
          <w:highlight w:val="none"/>
          <w:lang w:val="en-US" w:eastAsia="zh-CN"/>
        </w:rPr>
        <w:t>8.62km</w:t>
      </w:r>
      <w:r>
        <w:rPr>
          <w:rFonts w:hint="eastAsia" w:cs="Times New Roman" w:eastAsiaTheme="minorEastAsia"/>
          <w:sz w:val="24"/>
          <w:szCs w:val="24"/>
          <w:highlight w:val="none"/>
          <w:vertAlign w:val="superscript"/>
          <w:lang w:val="en-US" w:eastAsia="zh-CN"/>
        </w:rPr>
        <w:t>2</w:t>
      </w:r>
      <w:r>
        <w:rPr>
          <w:rFonts w:hint="default" w:ascii="Times New Roman" w:hAnsi="Times New Roman" w:cs="Times New Roman" w:eastAsiaTheme="minorEastAsia"/>
          <w:sz w:val="24"/>
          <w:szCs w:val="24"/>
          <w:highlight w:val="none"/>
        </w:rPr>
        <w:t>。</w:t>
      </w:r>
    </w:p>
    <w:p>
      <w:pPr>
        <w:snapToGrid w:val="0"/>
        <w:ind w:firstLine="56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highlight w:val="none"/>
        </w:rPr>
        <w:t>监测依据《声环境质量标准》（GB3096-2008）和《声环境质量常规监测暂行技术规定》相关要求进行，通过监测数据分析，</w:t>
      </w:r>
      <w:r>
        <w:rPr>
          <w:rFonts w:hint="eastAsia" w:ascii="Times New Roman" w:hAnsi="Times New Roman" w:cs="Times New Roman" w:eastAsiaTheme="minorEastAsia"/>
          <w:sz w:val="24"/>
          <w:szCs w:val="24"/>
          <w:highlight w:val="none"/>
          <w:lang w:eastAsia="zh-CN"/>
        </w:rPr>
        <w:t>城市</w:t>
      </w:r>
      <w:r>
        <w:rPr>
          <w:rFonts w:hint="default" w:ascii="Times New Roman" w:hAnsi="Times New Roman" w:cs="Times New Roman" w:eastAsiaTheme="minorEastAsia"/>
          <w:sz w:val="24"/>
          <w:szCs w:val="24"/>
          <w:highlight w:val="none"/>
        </w:rPr>
        <w:t>区域环境噪声等效声级昼间平均值为</w:t>
      </w:r>
      <w:r>
        <w:rPr>
          <w:rFonts w:hint="eastAsia" w:cs="Times New Roman" w:eastAsiaTheme="minorEastAsia"/>
          <w:sz w:val="24"/>
          <w:szCs w:val="24"/>
          <w:highlight w:val="none"/>
          <w:lang w:val="en-US" w:eastAsia="zh-CN"/>
        </w:rPr>
        <w:t>54.76</w:t>
      </w:r>
      <w:r>
        <w:rPr>
          <w:rFonts w:hint="default" w:ascii="Times New Roman" w:hAnsi="Times New Roman" w:cs="Times New Roman" w:eastAsiaTheme="minorEastAsia"/>
          <w:sz w:val="24"/>
          <w:szCs w:val="24"/>
          <w:highlight w:val="none"/>
        </w:rPr>
        <w:t>dB（A</w:t>
      </w:r>
      <w:r>
        <w:rPr>
          <w:rFonts w:hint="default" w:ascii="Times New Roman" w:hAnsi="Times New Roman" w:cs="Times New Roman" w:eastAsiaTheme="minorEastAsia"/>
          <w:color w:val="auto"/>
          <w:sz w:val="24"/>
          <w:szCs w:val="24"/>
          <w:highlight w:val="none"/>
          <w:lang w:eastAsia="zh-CN"/>
        </w:rPr>
        <w:t>），夜间平均值为4</w:t>
      </w:r>
      <w:r>
        <w:rPr>
          <w:rFonts w:hint="eastAsia" w:cs="Times New Roman" w:eastAsiaTheme="minorEastAsia"/>
          <w:color w:val="auto"/>
          <w:sz w:val="24"/>
          <w:szCs w:val="24"/>
          <w:highlight w:val="none"/>
          <w:lang w:val="en-US" w:eastAsia="zh-CN"/>
        </w:rPr>
        <w:t>4.2</w:t>
      </w:r>
      <w:r>
        <w:rPr>
          <w:rFonts w:hint="default" w:ascii="Times New Roman" w:hAnsi="Times New Roman" w:cs="Times New Roman" w:eastAsiaTheme="minorEastAsia"/>
          <w:color w:val="auto"/>
          <w:sz w:val="24"/>
          <w:szCs w:val="24"/>
          <w:highlight w:val="none"/>
          <w:lang w:eastAsia="zh-CN"/>
        </w:rPr>
        <w:t>dB（A），昼间</w:t>
      </w:r>
      <w:r>
        <w:rPr>
          <w:rFonts w:hint="default" w:ascii="Times New Roman" w:hAnsi="Times New Roman" w:cs="Times New Roman" w:eastAsiaTheme="minorEastAsia"/>
          <w:sz w:val="24"/>
          <w:szCs w:val="24"/>
          <w:highlight w:val="none"/>
        </w:rPr>
        <w:t>及夜间声环境质量等级均为二级，声环境评价结果均为“较好”。</w:t>
      </w:r>
      <w:r>
        <w:rPr>
          <w:rFonts w:hint="default" w:ascii="Times New Roman" w:hAnsi="Times New Roman" w:cs="Times New Roman" w:eastAsiaTheme="minorEastAsia"/>
          <w:color w:val="auto"/>
          <w:sz w:val="24"/>
          <w:szCs w:val="24"/>
          <w:highlight w:val="none"/>
          <w:lang w:eastAsia="zh-CN"/>
        </w:rPr>
        <w:t>其中昼间影响区域环境噪声的主要声源为道路交通噪声、商业活动噪声，其次为生活噪声。</w:t>
      </w:r>
    </w:p>
    <w:p>
      <w:pPr>
        <w:snapToGrid w:val="0"/>
        <w:ind w:firstLine="56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（2）道路交通噪声</w:t>
      </w:r>
    </w:p>
    <w:p>
      <w:pPr>
        <w:snapToGrid w:val="0"/>
        <w:ind w:firstLine="560"/>
        <w:rPr>
          <w:rFonts w:hint="default" w:ascii="Times New Roman" w:hAnsi="Times New Roman" w:cs="Times New Roman" w:eastAsiaTheme="minorEastAsia"/>
          <w:sz w:val="24"/>
          <w:szCs w:val="24"/>
          <w:highlight w:val="yellow"/>
          <w:lang w:val="en-US" w:eastAsia="zh-CN"/>
        </w:rPr>
      </w:pPr>
      <w:r>
        <w:rPr>
          <w:rFonts w:hint="eastAsia" w:ascii="Times New Roman" w:hAnsi="Times New Roman" w:cs="Times New Roman" w:eastAsiaTheme="minorEastAsia"/>
          <w:sz w:val="24"/>
          <w:szCs w:val="24"/>
          <w:highlight w:val="none"/>
          <w:lang w:val="en-US" w:eastAsia="zh-CN"/>
        </w:rPr>
        <w:t>2020</w:t>
      </w:r>
      <w:r>
        <w:rPr>
          <w:rFonts w:hint="default" w:ascii="Times New Roman" w:hAnsi="Times New Roman" w:cs="Times New Roman" w:eastAsiaTheme="minorEastAsia"/>
          <w:sz w:val="24"/>
          <w:szCs w:val="24"/>
          <w:highlight w:val="none"/>
          <w:lang w:val="en-US" w:eastAsia="zh-CN"/>
        </w:rPr>
        <w:t>年</w:t>
      </w:r>
      <w:r>
        <w:rPr>
          <w:rFonts w:hint="eastAsia" w:ascii="Times New Roman" w:hAnsi="Times New Roman" w:cs="Times New Roman" w:eastAsiaTheme="minorEastAsia"/>
          <w:sz w:val="24"/>
          <w:szCs w:val="24"/>
          <w:highlight w:val="none"/>
          <w:lang w:val="en-US" w:eastAsia="zh-CN"/>
        </w:rPr>
        <w:t>11月，山西鑫合诚环境监测有限公司</w:t>
      </w:r>
      <w:r>
        <w:rPr>
          <w:rFonts w:hint="default" w:ascii="Times New Roman" w:hAnsi="Times New Roman" w:cs="Times New Roman" w:eastAsiaTheme="minorEastAsia"/>
          <w:sz w:val="24"/>
          <w:szCs w:val="24"/>
          <w:highlight w:val="none"/>
        </w:rPr>
        <w:t>对曲沃县城市区域内</w:t>
      </w:r>
      <w:r>
        <w:rPr>
          <w:rFonts w:hint="eastAsia" w:ascii="Times New Roman" w:hAnsi="Times New Roman" w:cs="Times New Roman" w:eastAsiaTheme="minorEastAsia"/>
          <w:sz w:val="24"/>
          <w:szCs w:val="24"/>
          <w:highlight w:val="none"/>
          <w:lang w:eastAsia="zh-CN"/>
        </w:rPr>
        <w:t>交通道路噪声现状进行了监测，主要交通干线有</w:t>
      </w:r>
      <w:r>
        <w:rPr>
          <w:rFonts w:hint="eastAsia" w:cs="Times New Roman" w:eastAsiaTheme="minorEastAsia"/>
          <w:sz w:val="24"/>
          <w:szCs w:val="24"/>
          <w:highlight w:val="none"/>
          <w:lang w:val="en-US" w:eastAsia="zh-CN"/>
        </w:rPr>
        <w:t>新华北路、新华南路、晋都北路、晋都南路、</w:t>
      </w:r>
      <w:r>
        <w:rPr>
          <w:rFonts w:hint="default" w:ascii="Times New Roman" w:hAnsi="Times New Roman" w:cs="Times New Roman" w:eastAsiaTheme="minorEastAsia"/>
          <w:sz w:val="24"/>
          <w:szCs w:val="24"/>
          <w:highlight w:val="none"/>
        </w:rPr>
        <w:t>浍</w:t>
      </w:r>
      <w:r>
        <w:rPr>
          <w:rFonts w:hint="eastAsia" w:cs="Times New Roman" w:eastAsiaTheme="minorEastAsia"/>
          <w:sz w:val="24"/>
          <w:szCs w:val="24"/>
          <w:highlight w:val="none"/>
          <w:lang w:val="en-US" w:eastAsia="zh-CN"/>
        </w:rPr>
        <w:t>河南</w:t>
      </w:r>
      <w:r>
        <w:rPr>
          <w:rFonts w:hint="default" w:ascii="Times New Roman" w:hAnsi="Times New Roman" w:cs="Times New Roman" w:eastAsiaTheme="minorEastAsia"/>
          <w:sz w:val="24"/>
          <w:szCs w:val="24"/>
          <w:highlight w:val="none"/>
        </w:rPr>
        <w:t>路</w:t>
      </w:r>
      <w:r>
        <w:rPr>
          <w:rFonts w:hint="eastAsia" w:cs="Times New Roman" w:eastAsiaTheme="minorEastAsia"/>
          <w:sz w:val="24"/>
          <w:szCs w:val="24"/>
          <w:highlight w:val="none"/>
          <w:lang w:eastAsia="zh-CN"/>
        </w:rPr>
        <w:t>、</w:t>
      </w:r>
      <w:r>
        <w:rPr>
          <w:rFonts w:hint="eastAsia" w:cs="Times New Roman" w:eastAsiaTheme="minorEastAsia"/>
          <w:sz w:val="24"/>
          <w:szCs w:val="24"/>
          <w:highlight w:val="none"/>
          <w:lang w:val="en-US" w:eastAsia="zh-CN"/>
        </w:rPr>
        <w:t>太和南路、</w:t>
      </w:r>
      <w:r>
        <w:rPr>
          <w:rFonts w:hint="default" w:ascii="Times New Roman" w:hAnsi="Times New Roman" w:cs="Times New Roman" w:eastAsiaTheme="minorEastAsia"/>
          <w:sz w:val="24"/>
          <w:szCs w:val="24"/>
          <w:highlight w:val="none"/>
        </w:rPr>
        <w:t>绛山路、</w:t>
      </w:r>
      <w:r>
        <w:rPr>
          <w:rFonts w:hint="eastAsia" w:cs="Times New Roman" w:eastAsiaTheme="minorEastAsia"/>
          <w:sz w:val="24"/>
          <w:szCs w:val="24"/>
          <w:highlight w:val="none"/>
          <w:lang w:val="en-US" w:eastAsia="zh-CN"/>
        </w:rPr>
        <w:t>吉祥路、如意路、曲</w:t>
      </w:r>
      <w:r>
        <w:rPr>
          <w:rFonts w:hint="default" w:ascii="Times New Roman" w:hAnsi="Times New Roman" w:cs="Times New Roman" w:eastAsiaTheme="minorEastAsia"/>
          <w:sz w:val="24"/>
          <w:szCs w:val="24"/>
          <w:highlight w:val="none"/>
        </w:rPr>
        <w:t>绛</w:t>
      </w:r>
      <w:r>
        <w:rPr>
          <w:rFonts w:hint="eastAsia" w:cs="Times New Roman" w:eastAsiaTheme="minorEastAsia"/>
          <w:sz w:val="24"/>
          <w:szCs w:val="24"/>
          <w:highlight w:val="none"/>
          <w:lang w:val="en-US" w:eastAsia="zh-CN"/>
        </w:rPr>
        <w:t>线、坪曲线、</w:t>
      </w:r>
      <w:r>
        <w:rPr>
          <w:rFonts w:hint="default" w:ascii="Times New Roman" w:hAnsi="Times New Roman" w:cs="Times New Roman" w:eastAsiaTheme="minorEastAsia"/>
          <w:sz w:val="24"/>
          <w:szCs w:val="24"/>
          <w:highlight w:val="none"/>
        </w:rPr>
        <w:t>文公大街、府西街、府东街、贡院西街、贡院东街、</w:t>
      </w:r>
      <w:r>
        <w:rPr>
          <w:rFonts w:hint="eastAsia" w:cs="Times New Roman" w:eastAsiaTheme="minorEastAsia"/>
          <w:sz w:val="24"/>
          <w:szCs w:val="24"/>
          <w:highlight w:val="none"/>
          <w:lang w:val="en-US" w:eastAsia="zh-CN"/>
        </w:rPr>
        <w:t>沸泉街</w:t>
      </w:r>
      <w:r>
        <w:rPr>
          <w:rFonts w:hint="default" w:ascii="Times New Roman" w:hAnsi="Times New Roman" w:cs="Times New Roman" w:eastAsiaTheme="minorEastAsia"/>
          <w:sz w:val="24"/>
          <w:szCs w:val="24"/>
          <w:highlight w:val="none"/>
        </w:rPr>
        <w:t>等</w:t>
      </w:r>
      <w:r>
        <w:rPr>
          <w:rFonts w:hint="eastAsia" w:ascii="Times New Roman" w:hAnsi="Times New Roman" w:cs="Times New Roman" w:eastAsiaTheme="minorEastAsia"/>
          <w:sz w:val="24"/>
          <w:szCs w:val="24"/>
          <w:highlight w:val="none"/>
          <w:lang w:eastAsia="zh-CN"/>
        </w:rPr>
        <w:t>，</w:t>
      </w:r>
      <w:r>
        <w:rPr>
          <w:rFonts w:hint="default" w:cs="Times New Roman" w:eastAsiaTheme="minorEastAsia"/>
          <w:sz w:val="24"/>
          <w:szCs w:val="24"/>
          <w:highlight w:val="none"/>
          <w:lang w:val="en-US" w:eastAsia="zh-CN"/>
        </w:rPr>
        <w:t>总长度2</w:t>
      </w:r>
      <w:r>
        <w:rPr>
          <w:rFonts w:hint="eastAsia" w:cs="Times New Roman" w:eastAsiaTheme="minorEastAsia"/>
          <w:sz w:val="24"/>
          <w:szCs w:val="24"/>
          <w:highlight w:val="none"/>
          <w:lang w:val="en-US" w:eastAsia="zh-CN"/>
        </w:rPr>
        <w:t>9.1</w:t>
      </w:r>
      <w:r>
        <w:rPr>
          <w:rFonts w:hint="default" w:cs="Times New Roman" w:eastAsiaTheme="minorEastAsia"/>
          <w:sz w:val="24"/>
          <w:szCs w:val="24"/>
          <w:highlight w:val="none"/>
          <w:lang w:val="en-US" w:eastAsia="zh-CN"/>
        </w:rPr>
        <w:t>km</w:t>
      </w:r>
      <w:r>
        <w:rPr>
          <w:rFonts w:hint="eastAsia" w:cs="Times New Roman" w:eastAsiaTheme="minorEastAsia"/>
          <w:sz w:val="24"/>
          <w:szCs w:val="24"/>
          <w:highlight w:val="none"/>
          <w:lang w:val="en-US" w:eastAsia="zh-CN"/>
        </w:rPr>
        <w:t>，共布</w:t>
      </w:r>
      <w:r>
        <w:rPr>
          <w:rFonts w:hint="eastAsia" w:ascii="Times New Roman" w:hAnsi="Times New Roman" w:cs="Times New Roman" w:eastAsiaTheme="minorEastAsia"/>
          <w:sz w:val="24"/>
          <w:szCs w:val="24"/>
          <w:highlight w:val="none"/>
          <w:lang w:eastAsia="zh-CN"/>
        </w:rPr>
        <w:t>设点位</w:t>
      </w:r>
      <w:r>
        <w:rPr>
          <w:rFonts w:hint="eastAsia" w:ascii="Times New Roman" w:hAnsi="Times New Roman" w:cs="Times New Roman" w:eastAsiaTheme="minorEastAsia"/>
          <w:sz w:val="24"/>
          <w:szCs w:val="24"/>
          <w:highlight w:val="none"/>
          <w:lang w:val="en-US" w:eastAsia="zh-CN"/>
        </w:rPr>
        <w:t>44个。</w:t>
      </w:r>
    </w:p>
    <w:p>
      <w:pPr>
        <w:snapToGrid w:val="0"/>
        <w:ind w:firstLine="560"/>
        <w:rPr>
          <w:rFonts w:hint="default" w:cs="Times New Roman" w:eastAsiaTheme="minorEastAsia"/>
          <w:sz w:val="24"/>
          <w:szCs w:val="24"/>
          <w:highlight w:val="none"/>
          <w:lang w:val="en-US" w:eastAsia="zh-CN"/>
        </w:rPr>
      </w:pPr>
      <w:r>
        <w:rPr>
          <w:rFonts w:hint="default" w:cs="Times New Roman" w:eastAsiaTheme="minorEastAsia"/>
          <w:sz w:val="24"/>
          <w:szCs w:val="24"/>
          <w:highlight w:val="none"/>
          <w:lang w:val="en-US" w:eastAsia="zh-CN"/>
        </w:rPr>
        <w:t>分析结果表明：曲沃县城区昼间道路交通噪声平均等效声级为6</w:t>
      </w:r>
      <w:r>
        <w:rPr>
          <w:rFonts w:hint="eastAsia" w:cs="Times New Roman" w:eastAsiaTheme="minorEastAsia"/>
          <w:sz w:val="24"/>
          <w:szCs w:val="24"/>
          <w:highlight w:val="none"/>
          <w:lang w:val="en-US" w:eastAsia="zh-CN"/>
        </w:rPr>
        <w:t>5.6</w:t>
      </w:r>
      <w:r>
        <w:rPr>
          <w:rFonts w:hint="default" w:cs="Times New Roman" w:eastAsiaTheme="minorEastAsia"/>
          <w:sz w:val="24"/>
          <w:szCs w:val="24"/>
          <w:highlight w:val="none"/>
          <w:lang w:val="en-US" w:eastAsia="zh-CN"/>
        </w:rPr>
        <w:t>dB(A)，夜间道路交通噪声平均等效声级为</w:t>
      </w:r>
      <w:r>
        <w:rPr>
          <w:rFonts w:hint="eastAsia" w:cs="Times New Roman" w:eastAsiaTheme="minorEastAsia"/>
          <w:sz w:val="24"/>
          <w:szCs w:val="24"/>
          <w:highlight w:val="none"/>
          <w:lang w:val="en-US" w:eastAsia="zh-CN"/>
        </w:rPr>
        <w:t>53.39</w:t>
      </w:r>
      <w:r>
        <w:rPr>
          <w:rFonts w:hint="default" w:cs="Times New Roman" w:eastAsiaTheme="minorEastAsia"/>
          <w:sz w:val="24"/>
          <w:szCs w:val="24"/>
          <w:highlight w:val="none"/>
          <w:lang w:val="en-US" w:eastAsia="zh-CN"/>
        </w:rPr>
        <w:t>dB(A)，</w:t>
      </w:r>
      <w:r>
        <w:rPr>
          <w:rFonts w:hint="default" w:ascii="Times New Roman" w:hAnsi="Times New Roman" w:cs="Times New Roman" w:eastAsiaTheme="minorEastAsia"/>
          <w:sz w:val="24"/>
          <w:szCs w:val="24"/>
          <w:highlight w:val="none"/>
        </w:rPr>
        <w:t>昼间及夜间</w:t>
      </w:r>
      <w:r>
        <w:rPr>
          <w:rFonts w:hint="default" w:cs="Times New Roman" w:eastAsiaTheme="minorEastAsia"/>
          <w:sz w:val="24"/>
          <w:szCs w:val="24"/>
          <w:highlight w:val="none"/>
          <w:lang w:val="en-US" w:eastAsia="zh-CN"/>
        </w:rPr>
        <w:t>道路噪声强度为</w:t>
      </w:r>
      <w:r>
        <w:rPr>
          <w:rFonts w:hint="eastAsia" w:cs="Times New Roman" w:eastAsiaTheme="minorEastAsia"/>
          <w:sz w:val="24"/>
          <w:szCs w:val="24"/>
          <w:highlight w:val="none"/>
          <w:lang w:val="en-US" w:eastAsia="zh-CN"/>
        </w:rPr>
        <w:t>一</w:t>
      </w:r>
      <w:r>
        <w:rPr>
          <w:rFonts w:hint="default" w:cs="Times New Roman" w:eastAsiaTheme="minorEastAsia"/>
          <w:sz w:val="24"/>
          <w:szCs w:val="24"/>
          <w:highlight w:val="none"/>
          <w:lang w:val="en-US" w:eastAsia="zh-CN"/>
        </w:rPr>
        <w:t>级，道路声环境质量评价为“好”</w:t>
      </w:r>
      <w:r>
        <w:rPr>
          <w:rFonts w:hint="eastAsia" w:cs="Times New Roman" w:eastAsiaTheme="minorEastAsia"/>
          <w:sz w:val="24"/>
          <w:szCs w:val="24"/>
          <w:highlight w:val="none"/>
          <w:lang w:val="en-US" w:eastAsia="zh-CN"/>
        </w:rPr>
        <w:t>，</w:t>
      </w:r>
      <w:r>
        <w:rPr>
          <w:rFonts w:hint="default" w:ascii="Times New Roman" w:hAnsi="Times New Roman" w:cs="Times New Roman" w:eastAsiaTheme="minorEastAsia"/>
          <w:color w:val="auto"/>
          <w:sz w:val="24"/>
          <w:szCs w:val="24"/>
          <w:highlight w:val="none"/>
          <w:lang w:eastAsia="zh-CN"/>
        </w:rPr>
        <w:t>其中昼间影响道路交通噪声的主要声源为</w:t>
      </w:r>
      <w:r>
        <w:rPr>
          <w:rFonts w:hint="eastAsia" w:cs="Times New Roman" w:eastAsiaTheme="minorEastAsia"/>
          <w:color w:val="auto"/>
          <w:sz w:val="24"/>
          <w:szCs w:val="24"/>
          <w:highlight w:val="none"/>
          <w:lang w:val="en-US" w:eastAsia="zh-CN"/>
        </w:rPr>
        <w:t>来往通行的车辆噪声</w:t>
      </w:r>
      <w:r>
        <w:rPr>
          <w:rFonts w:hint="default" w:ascii="Times New Roman" w:hAnsi="Times New Roman" w:cs="Times New Roman" w:eastAsiaTheme="minorEastAsia"/>
          <w:color w:val="auto"/>
          <w:sz w:val="24"/>
          <w:szCs w:val="24"/>
          <w:highlight w:val="none"/>
          <w:lang w:eastAsia="zh-CN"/>
        </w:rPr>
        <w:t>。</w:t>
      </w:r>
    </w:p>
    <w:p>
      <w:pPr>
        <w:snapToGrid w:val="0"/>
        <w:ind w:firstLine="560"/>
        <w:rPr>
          <w:rFonts w:hint="default" w:cs="Times New Roman" w:eastAsiaTheme="minorEastAsia"/>
          <w:sz w:val="24"/>
          <w:szCs w:val="24"/>
          <w:highlight w:val="none"/>
          <w:lang w:val="en-US" w:eastAsia="zh-CN"/>
        </w:rPr>
      </w:pPr>
    </w:p>
    <w:p>
      <w:pPr>
        <w:pStyle w:val="23"/>
        <w:rPr>
          <w:rFonts w:hint="default" w:ascii="Times New Roman" w:hAnsi="Times New Roman" w:cs="Times New Roman" w:eastAsiaTheme="minorEastAsia"/>
          <w:sz w:val="24"/>
          <w:szCs w:val="24"/>
          <w:highlight w:val="yellow"/>
        </w:rPr>
      </w:pPr>
    </w:p>
    <w:p>
      <w:pPr>
        <w:rPr>
          <w:rFonts w:hint="default" w:ascii="Times New Roman" w:hAnsi="Times New Roman" w:cs="Times New Roman" w:eastAsiaTheme="minorEastAsia"/>
          <w:sz w:val="24"/>
          <w:szCs w:val="24"/>
          <w:highlight w:val="yellow"/>
        </w:rPr>
      </w:pPr>
    </w:p>
    <w:p>
      <w:pPr>
        <w:pStyle w:val="23"/>
        <w:rPr>
          <w:rFonts w:hint="default" w:ascii="Times New Roman" w:hAnsi="Times New Roman" w:cs="Times New Roman" w:eastAsiaTheme="minorEastAsia"/>
          <w:sz w:val="24"/>
          <w:szCs w:val="24"/>
          <w:highlight w:val="yellow"/>
        </w:rPr>
      </w:pPr>
    </w:p>
    <w:p>
      <w:pPr>
        <w:rPr>
          <w:rFonts w:hint="default"/>
        </w:rPr>
        <w:sectPr>
          <w:pgSz w:w="11906" w:h="16838"/>
          <w:pgMar w:top="1440" w:right="1797" w:bottom="1440" w:left="179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keepNext/>
        <w:keepLines/>
        <w:pageBreakBefore w:val="0"/>
        <w:widowControl w:val="0"/>
        <w:numPr>
          <w:ilvl w:val="0"/>
          <w:numId w:val="0"/>
        </w:numPr>
        <w:kinsoku/>
        <w:wordWrap/>
        <w:overflowPunct/>
        <w:topLinePunct w:val="0"/>
        <w:autoSpaceDE/>
        <w:autoSpaceDN/>
        <w:bidi w:val="0"/>
        <w:adjustRightInd/>
        <w:snapToGrid/>
        <w:spacing w:before="0" w:beforeLines="0" w:line="360" w:lineRule="auto"/>
        <w:ind w:leftChars="0"/>
        <w:jc w:val="both"/>
        <w:textAlignment w:val="auto"/>
        <w:rPr>
          <w:rFonts w:hint="default" w:ascii="Times New Roman" w:hAnsi="Times New Roman" w:cs="Times New Roman" w:eastAsiaTheme="minorEastAsia"/>
          <w:sz w:val="32"/>
          <w:szCs w:val="32"/>
          <w:highlight w:val="none"/>
          <w:lang w:val="en-US" w:eastAsia="zh-CN"/>
        </w:rPr>
      </w:pPr>
      <w:bookmarkStart w:id="12" w:name="_Toc27613"/>
      <w:r>
        <w:rPr>
          <w:rFonts w:hint="eastAsia" w:ascii="Times New Roman" w:hAnsi="Times New Roman" w:cs="Times New Roman" w:eastAsiaTheme="minorEastAsia"/>
          <w:sz w:val="32"/>
          <w:szCs w:val="32"/>
          <w:highlight w:val="none"/>
          <w:lang w:val="en-US" w:eastAsia="zh-CN"/>
        </w:rPr>
        <w:t>3</w:t>
      </w:r>
      <w:r>
        <w:rPr>
          <w:rFonts w:hint="default" w:ascii="Times New Roman" w:hAnsi="Times New Roman" w:cs="Times New Roman" w:eastAsiaTheme="minorEastAsia"/>
          <w:sz w:val="32"/>
          <w:szCs w:val="32"/>
          <w:highlight w:val="none"/>
          <w:lang w:val="en-US" w:eastAsia="zh-CN"/>
        </w:rPr>
        <w:t>城市规划及现行声环境功能区划</w:t>
      </w:r>
      <w:bookmarkEnd w:id="12"/>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eastAsiaTheme="minorEastAsia"/>
          <w:color w:val="auto"/>
          <w:sz w:val="30"/>
          <w:szCs w:val="30"/>
          <w:highlight w:val="none"/>
          <w:lang w:val="en-US" w:eastAsia="zh-CN"/>
        </w:rPr>
      </w:pPr>
      <w:bookmarkStart w:id="13" w:name="_Toc14676"/>
      <w:r>
        <w:rPr>
          <w:rFonts w:hint="eastAsia" w:cs="Times New Roman" w:eastAsiaTheme="minorEastAsia"/>
          <w:color w:val="auto"/>
          <w:sz w:val="30"/>
          <w:szCs w:val="30"/>
          <w:highlight w:val="none"/>
          <w:lang w:val="en-US" w:eastAsia="zh-CN"/>
        </w:rPr>
        <w:t>3.1</w:t>
      </w:r>
      <w:r>
        <w:rPr>
          <w:rFonts w:hint="default" w:ascii="Times New Roman" w:hAnsi="Times New Roman" w:cs="Times New Roman" w:eastAsiaTheme="minorEastAsia"/>
          <w:color w:val="auto"/>
          <w:sz w:val="30"/>
          <w:szCs w:val="30"/>
          <w:highlight w:val="none"/>
          <w:lang w:val="en-US" w:eastAsia="zh-CN"/>
        </w:rPr>
        <w:t>城市总体规划概况</w:t>
      </w:r>
      <w:bookmarkEnd w:id="13"/>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收集到《曲沃县县城总体规划（2014-2030）》（文本、说明书、图集）。</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eastAsia" w:ascii="Times New Roman" w:hAnsi="Times New Roman" w:cs="Times New Roman" w:eastAsiaTheme="minorEastAsia"/>
          <w:color w:val="auto"/>
          <w:sz w:val="28"/>
          <w:szCs w:val="28"/>
          <w:lang w:val="en-US" w:eastAsia="zh-CN"/>
        </w:rPr>
        <w:t>3.1.1</w:t>
      </w:r>
      <w:r>
        <w:rPr>
          <w:rFonts w:hint="eastAsia" w:cs="Times New Roman" w:eastAsiaTheme="minorEastAsia"/>
          <w:color w:val="auto"/>
          <w:sz w:val="28"/>
          <w:szCs w:val="28"/>
          <w:lang w:val="en-US" w:eastAsia="zh-CN"/>
        </w:rPr>
        <w:t>规划范围、</w:t>
      </w:r>
      <w:r>
        <w:rPr>
          <w:rFonts w:hint="default" w:ascii="Times New Roman" w:hAnsi="Times New Roman" w:cs="Times New Roman" w:eastAsiaTheme="minorEastAsia"/>
          <w:color w:val="auto"/>
          <w:sz w:val="28"/>
          <w:szCs w:val="28"/>
          <w:lang w:val="en-US" w:eastAsia="zh-CN"/>
        </w:rPr>
        <w:t>城市性质和城市结构</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hAnsi="Times New Roman" w:cs="Times New Roman" w:eastAsiaTheme="minorEastAsia"/>
          <w:b/>
          <w:bCs/>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3.1.1.</w:t>
      </w:r>
      <w:r>
        <w:rPr>
          <w:rFonts w:hint="eastAsia" w:cs="Times New Roman" w:eastAsiaTheme="minorEastAsia"/>
          <w:b/>
          <w:bCs/>
          <w:color w:val="auto"/>
          <w:sz w:val="24"/>
          <w:szCs w:val="24"/>
          <w:lang w:val="en-US" w:eastAsia="zh-CN"/>
        </w:rPr>
        <w:t>1</w:t>
      </w:r>
      <w:r>
        <w:rPr>
          <w:rFonts w:hint="eastAsia" w:ascii="Times New Roman" w:hAnsi="Times New Roman" w:cs="Times New Roman" w:eastAsiaTheme="minorEastAsia"/>
          <w:b/>
          <w:bCs/>
          <w:color w:val="auto"/>
          <w:sz w:val="24"/>
          <w:szCs w:val="24"/>
          <w:lang w:val="en-US" w:eastAsia="zh-CN"/>
        </w:rPr>
        <w:t>规划范围</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eastAsiaTheme="minorEastAsia"/>
          <w:b/>
          <w:bCs/>
          <w:color w:val="auto"/>
          <w:sz w:val="24"/>
          <w:szCs w:val="24"/>
          <w:lang w:val="en-US" w:eastAsia="zh-CN"/>
        </w:rPr>
      </w:pPr>
      <w:r>
        <w:rPr>
          <w:rFonts w:hint="eastAsia" w:cs="Times New Roman" w:eastAsiaTheme="minorEastAsia"/>
          <w:color w:val="auto"/>
          <w:sz w:val="24"/>
          <w:szCs w:val="24"/>
          <w:lang w:val="en-US" w:eastAsia="zh-CN"/>
        </w:rPr>
        <w:t>规划范围</w:t>
      </w:r>
      <w:r>
        <w:rPr>
          <w:rFonts w:hint="eastAsia" w:ascii="Times New Roman" w:hAnsi="Times New Roman" w:cs="Times New Roman" w:eastAsiaTheme="minorEastAsia"/>
          <w:color w:val="auto"/>
          <w:sz w:val="24"/>
          <w:szCs w:val="24"/>
        </w:rPr>
        <w:t>东至曲绛线，南至浍河沿岸，西南至曲沃古城，西至曲沃县行政区划边界，北至县城北侧地质断裂带（苏村附近）。总面积15.18</w:t>
      </w:r>
      <w:r>
        <w:rPr>
          <w:rFonts w:hint="eastAsia" w:cs="Times New Roman" w:eastAsiaTheme="minorEastAsia"/>
          <w:color w:val="auto"/>
          <w:sz w:val="24"/>
          <w:szCs w:val="24"/>
          <w:lang w:val="en-US" w:eastAsia="zh-CN"/>
        </w:rPr>
        <w:t>km</w:t>
      </w:r>
      <w:r>
        <w:rPr>
          <w:rFonts w:hint="eastAsia" w:cs="Times New Roman" w:eastAsiaTheme="minorEastAsia"/>
          <w:color w:val="auto"/>
          <w:sz w:val="24"/>
          <w:szCs w:val="24"/>
          <w:vertAlign w:val="superscript"/>
          <w:lang w:val="en-US" w:eastAsia="zh-CN"/>
        </w:rPr>
        <w:t>2</w:t>
      </w:r>
      <w:r>
        <w:rPr>
          <w:rFonts w:hint="eastAsia" w:ascii="Times New Roman" w:hAnsi="Times New Roman" w:cs="Times New Roman" w:eastAsiaTheme="minorEastAsia"/>
          <w:color w:val="auto"/>
          <w:sz w:val="24"/>
          <w:szCs w:val="24"/>
          <w:lang w:eastAsia="zh-CN"/>
        </w:rPr>
        <w:t>，</w:t>
      </w:r>
      <w:r>
        <w:rPr>
          <w:rFonts w:hint="eastAsia" w:ascii="Times New Roman" w:hAnsi="Times New Roman" w:cs="Times New Roman" w:eastAsiaTheme="minorEastAsia"/>
          <w:color w:val="auto"/>
          <w:sz w:val="24"/>
          <w:szCs w:val="24"/>
        </w:rPr>
        <w:t>其中包括乐昌镇的西南街村、东关村、东北街村、北关村、马庄村、小吉村、苏村、席村、东韩村、安吉村、南吉村11个行政村。</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lang w:val="en-US" w:eastAsia="zh-CN"/>
        </w:rPr>
        <w:t>3.1.1.</w:t>
      </w:r>
      <w:r>
        <w:rPr>
          <w:rFonts w:hint="eastAsia" w:cs="Times New Roman" w:eastAsiaTheme="minorEastAsia"/>
          <w:b/>
          <w:bCs/>
          <w:color w:val="auto"/>
          <w:sz w:val="24"/>
          <w:szCs w:val="24"/>
          <w:lang w:val="en-US" w:eastAsia="zh-CN"/>
        </w:rPr>
        <w:t>2</w:t>
      </w:r>
      <w:r>
        <w:rPr>
          <w:rFonts w:hint="default" w:ascii="Times New Roman" w:hAnsi="Times New Roman" w:cs="Times New Roman" w:eastAsiaTheme="minorEastAsia"/>
          <w:b/>
          <w:bCs/>
          <w:color w:val="auto"/>
          <w:sz w:val="24"/>
          <w:szCs w:val="24"/>
        </w:rPr>
        <w:t>城市性质</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曲沃位于平川城镇发展密集带，作为全市人居环境优化、产业转型、城镇化推进的重点地区，并确定曲沃</w:t>
      </w:r>
      <w:r>
        <w:rPr>
          <w:rFonts w:hint="eastAsia"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侯马为市域副中心城市，是晋南综合型交通枢纽，现代物流服务基地，装备制造基地，东部产业转移承接支撑点，晋国古文化考古旅游基地。</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展望未来，综合考虑，曲沃县城的城市性质为：曲沃县城是晋南地区中部中心城市之一，是以冶金工业为支柱，以晋国古文化为特色的旅游基地和生态城市。</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lang w:val="en-US" w:eastAsia="zh-CN"/>
        </w:rPr>
        <w:t>3.1.1.</w:t>
      </w:r>
      <w:r>
        <w:rPr>
          <w:rFonts w:hint="eastAsia" w:cs="Times New Roman" w:eastAsiaTheme="minorEastAsia"/>
          <w:b/>
          <w:bCs/>
          <w:color w:val="auto"/>
          <w:sz w:val="24"/>
          <w:szCs w:val="24"/>
          <w:lang w:val="en-US" w:eastAsia="zh-CN"/>
        </w:rPr>
        <w:t>3</w:t>
      </w:r>
      <w:r>
        <w:rPr>
          <w:rFonts w:hint="default" w:ascii="Times New Roman" w:hAnsi="Times New Roman" w:cs="Times New Roman" w:eastAsiaTheme="minorEastAsia"/>
          <w:b/>
          <w:bCs/>
          <w:color w:val="auto"/>
          <w:sz w:val="24"/>
          <w:szCs w:val="24"/>
        </w:rPr>
        <w:t>城市结构</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规划期内，曲沃县形成“一城、三区、多组团”的空间结构。</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“一城”即曲沃中心城区。</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“三区”即曲沃县城的三个功能区，分别是老城区、东城片区和西城片区等。</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“多组团”即构成功能区的各个组团，分别是老城区北组团、老城区南组团、东城区北组团、东城区南组团、西城区北组团和西城区南组团。</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b/>
          <w:bCs/>
          <w:color w:val="auto"/>
          <w:sz w:val="24"/>
          <w:szCs w:val="24"/>
          <w:lang w:val="en-US" w:eastAsia="zh-CN"/>
        </w:rPr>
      </w:pPr>
      <w:r>
        <w:rPr>
          <w:rFonts w:hint="eastAsia" w:ascii="Times New Roman" w:hAnsi="Times New Roman" w:cs="Times New Roman" w:eastAsiaTheme="minorEastAsia"/>
          <w:b/>
          <w:bCs/>
          <w:color w:val="auto"/>
          <w:sz w:val="24"/>
          <w:szCs w:val="24"/>
          <w:lang w:val="en-US" w:eastAsia="zh-CN"/>
        </w:rPr>
        <w:t>3.1.2.1</w:t>
      </w:r>
      <w:r>
        <w:rPr>
          <w:rFonts w:hint="default" w:ascii="Times New Roman" w:hAnsi="Times New Roman" w:cs="Times New Roman" w:eastAsiaTheme="minorEastAsia"/>
          <w:b/>
          <w:bCs/>
          <w:color w:val="auto"/>
          <w:sz w:val="24"/>
          <w:szCs w:val="24"/>
          <w:lang w:val="en-US" w:eastAsia="zh-CN"/>
        </w:rPr>
        <w:t>居住用地规划</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规划居住用地面积为516.07公顷，占城市建设用地面积的34.00%，人均居住用地面积为34.40平方米。</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居住用地布局延续现状格局，以现状居住社区为基础，适度向东、西发展。沿曲沃古城向北1500米，向东500米区域周边居住用地限高9米，新建以一类住宅为主，现状以改造为主，改善基础设施，调整为一类居住用地，并控制古城风貌；其余地区规划建设为二类居住用地。</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县城以“规划主一路——新兴路——晋都北路”一线和绛山路为界分为西城区、老城区、东城区三个居住片区。其中，西城北居住组团规划居住用地84.92公顷，西城南居住组团规划居住用地84.16公顷，老城北居住组团规划居住用地47.16公顷，老城南居住组团规划居住用地144.28公顷，东城北居住组团规划居住用地77.89公顷，东城南居住组团规划居住用地77.65公顷。</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b/>
          <w:bCs/>
          <w:color w:val="auto"/>
          <w:sz w:val="24"/>
          <w:szCs w:val="24"/>
          <w:lang w:val="en-US" w:eastAsia="zh-CN"/>
        </w:rPr>
      </w:pPr>
      <w:r>
        <w:rPr>
          <w:rFonts w:hint="eastAsia" w:ascii="Times New Roman" w:hAnsi="Times New Roman" w:cs="Times New Roman" w:eastAsiaTheme="minorEastAsia"/>
          <w:b/>
          <w:bCs/>
          <w:color w:val="auto"/>
          <w:sz w:val="24"/>
          <w:szCs w:val="24"/>
          <w:lang w:val="en-US" w:eastAsia="zh-CN"/>
        </w:rPr>
        <w:t>3.1.2.2</w:t>
      </w:r>
      <w:r>
        <w:rPr>
          <w:rFonts w:hint="default" w:ascii="Times New Roman" w:hAnsi="Times New Roman" w:cs="Times New Roman" w:eastAsiaTheme="minorEastAsia"/>
          <w:b/>
          <w:bCs/>
          <w:color w:val="auto"/>
          <w:sz w:val="24"/>
          <w:szCs w:val="24"/>
          <w:lang w:val="en-US" w:eastAsia="zh-CN"/>
        </w:rPr>
        <w:t>公共管理与公共服务设施用地规划</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公共管理与公共服务设施用地面积为180.45公顷，占城市建设用地面积的11.89%，人均公共管理与公共服务设施用地面积为12.03平方米。分为行政办公用地、文化设施用地、教育科研用地、体育用地、医疗卫生用地、文物古迹用地、宗教设施用地。</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（1）行政办公用地</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规划2030年行政办公用地面积为31.94公顷，占城市建设用地的2.10%，人均行政办公用地指标为2.13m</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/人。</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考虑到办公效率、交通、环境以及对商务办公片区的带动作用，规划在县城东、西片区预留行政办公用地，其中西城片区行政办公用地面积为7.74公顷，商务办公用地面积为7.20公顷；东城片区行政办公用地面积为3.49公顷，商务办公用地面积为8.66公顷。</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（2）文化设施用地</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规划至2030年文化设施用地面积为10.31公顷，占城市建设用地的0.68%，人均文化设施用地指标为0.69m</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/人。</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保留旧城区县级图书馆、博物馆等设施，在现状条件的基础上，提高其整体服务质量。规划在县城东城片区内集中设置综合文化场馆，提高曲沃县的文化、展示、会议的承办能力，体现曲沃深厚的文化底蕴和历史文脉。完善片区级文化设施建设，保留老城片区的文化设施用地，并结合现状及片区中心设置老年活动中心、青少年活动中心等片区综合文化设施。完善社区级文化设施建设，应按照国家规范要求配套建设相应的文化娱乐设施（包括文化站、图书室、社区文化活动中心等），按照服务半径为1000m进行设置。</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（3）教育科研用地</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规划至2030年教育科研设施用地面积为88.32公顷，占城市建设用地的5.82%，人均教育科研设施用地指标为5.89m</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/人。</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规划保留完善曲沃职业中学，职工技校和武术学校，提高其服务质量。远期在西城片区布置科研用地，形成县城教育科研服务中心，提高曲沃县城的整体实力。</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根据《山西省义务教育阶段中小学办学标准》确定：新区新建中学按每2.0~3.0万人配置一所，用地规模不小于3.2公顷，服务半径为1000m左右；新区新建小学按每1.0~1.5万人左右配置一所，用地规模不小于1.2公顷，服务半径为500~800m。规划至2030年，中小学用地面积为66.57公顷，占城市建设用地的4.39%。</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（4）体育用地</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规划至2030年体育用地面积为20.61公顷，占城市建设用地的1.36%，人均体育用地指标为1.37m</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/人。</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在东城片区南部新建一座市级综合体育场馆，满足举行大型体育赛事的需求。保留现状曲沃中学体育场，加强内部体育设施建设。</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（5）医疗卫生用地</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规划至2030年医疗卫生用地面积为19.03公顷，占城市建设用地的1.25%，人均医疗卫生用地指标为1.27m</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/人。</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在西城片区、东城片区、老城片区新建四座片区级医院，西城区医院占地面积为4.59公顷，老城区医院占地面积为2.23公顷，东城区医院占地面积为2.65公顷，东城区北医院占地面积为3.62公顷。曲沃中医院要突出其特色，将规模较小的医院建设成为符合居民健康需求的专类医院，更好地为居民服务。</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（6）社会福利用地</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规划至2030年社会福利设施用地面积为5.59公顷，占城市建设用地的0.37%，人均社会福利设施用地指标为0.37m</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/人。</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规划保留现有社会福利用地，规划新建两处社会福利用地西城福利院和东城福利院。其中，西城福利院占地2.51公顷，东城福利院占地3.08公顷。</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（7）文物古迹用地</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保护曲沃老城格局和风貌；重点保护曲沃老城的整体风貌和典型的“丰”字形老街整体格局。与历史文化密切相关的自然地貌、水系、风景名胜、古树名木。</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规划文物古迹用地4.52公顷，占规划总建设用地的0.30%。</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（8）宗教设施用地</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规划宗教设施用地0.15公顷，占规划总建设用地的0.01%，人均宗教设施用地0.01平米。</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b/>
          <w:bCs/>
          <w:color w:val="auto"/>
          <w:sz w:val="24"/>
          <w:szCs w:val="24"/>
          <w:lang w:val="en-US" w:eastAsia="zh-CN"/>
        </w:rPr>
      </w:pPr>
      <w:r>
        <w:rPr>
          <w:rFonts w:hint="eastAsia" w:ascii="Times New Roman" w:hAnsi="Times New Roman" w:cs="Times New Roman" w:eastAsiaTheme="minorEastAsia"/>
          <w:b/>
          <w:bCs/>
          <w:color w:val="auto"/>
          <w:sz w:val="24"/>
          <w:szCs w:val="24"/>
          <w:lang w:val="en-US" w:eastAsia="zh-CN"/>
        </w:rPr>
        <w:t>3.1.2.3</w:t>
      </w:r>
      <w:r>
        <w:rPr>
          <w:rFonts w:hint="default" w:ascii="Times New Roman" w:hAnsi="Times New Roman" w:cs="Times New Roman" w:eastAsiaTheme="minorEastAsia"/>
          <w:b/>
          <w:bCs/>
          <w:color w:val="auto"/>
          <w:sz w:val="24"/>
          <w:szCs w:val="24"/>
          <w:lang w:val="en-US" w:eastAsia="zh-CN"/>
        </w:rPr>
        <w:t>商业服务业设施用地规划</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规划商业服务业设施用地面积为123.97公顷，占城市建设用地面积的8.17%，人均商业服务业设施用地面积为8.26平方米。规划结合城市发展带和用地组团，发展配套式商业设施。</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（1）商业用地规划</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建立市级、片区级、社区级三级商业服务中心体系。完善和强化专业市场体系。</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市级商业中心：丰富和强化旧城区市级商业服务职能。形成以传统商业业态为主导的市级商业中心。同时，规划依托府东府西街，发展现代商业业态为主导的商业服务职能。</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片区级商业中心：规划片区级商业中心两处，一处位于东部城市片区；一处位于西部城市片区。</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社区级商业中心：在居民聚集区、人流集中、交通便利的地段设置社区级商业中心，保障周边居民的日常生活需求。业态主要以小型超市、便利店、专业店、农贸市场等为主。</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专业市场：规划新建专业市场1处，位于城区东南部，占地14.68公顷。</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（2）商务用地规划</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规划在西部城市片区设置市级商务主中心，占地面积为7.20公顷。承载金融、贸易、咨询等商务功能。</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规划结合马庄园区周边企业办公用地设置市级商务中心，占地面积为3.33公顷，主要以提供会议、展览等功能为主。</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（3）娱乐康体用地规划</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娱乐设施结合各级文化中心或商业商务设施布置，其功能主要包括电影院、剧院、音乐厅等，是市场化运作下曲沃县文化产业发展的空间保障，对曲沃非物质文化的保护具有积极意义；电影院、游戏厅等中小型娱乐设施与商业商务设施用地高度兼容，鼓励混合开发。</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规划康体用地宜布置在城区边缘的太子滩，建议开展户外极限运动、汽车场地越野、高尔夫练习等项目。</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（4）公用设施营业网点用地规划</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根据《城市道路交通规划设计规范（GB50220-95）》，城市公共加油站按服务半径0.9~1.2km设置，每处用地0.12~0.25公顷，选址应符合国家标准防火规范的要求，进出口宜在次干路上。</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b/>
          <w:bCs/>
          <w:color w:val="auto"/>
          <w:sz w:val="24"/>
          <w:szCs w:val="24"/>
          <w:lang w:val="en-US" w:eastAsia="zh-CN"/>
        </w:rPr>
      </w:pPr>
      <w:r>
        <w:rPr>
          <w:rFonts w:hint="eastAsia" w:ascii="Times New Roman" w:hAnsi="Times New Roman" w:cs="Times New Roman" w:eastAsiaTheme="minorEastAsia"/>
          <w:b/>
          <w:bCs/>
          <w:color w:val="auto"/>
          <w:sz w:val="24"/>
          <w:szCs w:val="24"/>
          <w:lang w:val="en-US" w:eastAsia="zh-CN"/>
        </w:rPr>
        <w:t>3.1.2.4</w:t>
      </w:r>
      <w:r>
        <w:rPr>
          <w:rFonts w:hint="default" w:ascii="Times New Roman" w:hAnsi="Times New Roman" w:cs="Times New Roman" w:eastAsiaTheme="minorEastAsia"/>
          <w:b/>
          <w:bCs/>
          <w:color w:val="auto"/>
          <w:sz w:val="24"/>
          <w:szCs w:val="24"/>
          <w:lang w:val="en-US" w:eastAsia="zh-CN"/>
        </w:rPr>
        <w:t>工业用地规划</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在全县范围内建立合理分工协作的工业地域体系，将工业用地向中心城区外围转移，在中心城区东侧建设新型产业集中区。强化土地集约使用、完善工业用地结构，形成规模效应，有效承接东部地区的产业转移。</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b/>
          <w:bCs/>
          <w:color w:val="auto"/>
          <w:sz w:val="24"/>
          <w:szCs w:val="24"/>
          <w:lang w:val="en-US" w:eastAsia="zh-CN"/>
        </w:rPr>
      </w:pPr>
      <w:r>
        <w:rPr>
          <w:rFonts w:hint="eastAsia" w:ascii="Times New Roman" w:hAnsi="Times New Roman" w:cs="Times New Roman" w:eastAsiaTheme="minorEastAsia"/>
          <w:b/>
          <w:bCs/>
          <w:color w:val="auto"/>
          <w:sz w:val="24"/>
          <w:szCs w:val="24"/>
          <w:lang w:val="en-US" w:eastAsia="zh-CN"/>
        </w:rPr>
        <w:t>3.1.2.5</w:t>
      </w:r>
      <w:r>
        <w:rPr>
          <w:rFonts w:hint="default" w:ascii="Times New Roman" w:hAnsi="Times New Roman" w:cs="Times New Roman" w:eastAsiaTheme="minorEastAsia"/>
          <w:b/>
          <w:bCs/>
          <w:color w:val="auto"/>
          <w:sz w:val="24"/>
          <w:szCs w:val="24"/>
          <w:lang w:val="en-US" w:eastAsia="zh-CN"/>
        </w:rPr>
        <w:t>仓储用地规划</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在城区东北角布局仓储物流产业，服务曲沃县城。</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规划中心城区规划物流仓储用地共22.30公顷，占城市建设用地的1.47%，人均仓储物流用地1.49m</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/人。</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b/>
          <w:bCs/>
          <w:color w:val="auto"/>
          <w:sz w:val="24"/>
          <w:szCs w:val="24"/>
          <w:lang w:val="en-US" w:eastAsia="zh-CN"/>
        </w:rPr>
      </w:pPr>
      <w:r>
        <w:rPr>
          <w:rFonts w:hint="eastAsia" w:ascii="Times New Roman" w:hAnsi="Times New Roman" w:cs="Times New Roman" w:eastAsiaTheme="minorEastAsia"/>
          <w:b/>
          <w:bCs/>
          <w:color w:val="auto"/>
          <w:sz w:val="24"/>
          <w:szCs w:val="24"/>
          <w:lang w:val="en-US" w:eastAsia="zh-CN"/>
        </w:rPr>
        <w:t>3.1.2.6</w:t>
      </w:r>
      <w:r>
        <w:rPr>
          <w:rFonts w:hint="default" w:ascii="Times New Roman" w:hAnsi="Times New Roman" w:cs="Times New Roman" w:eastAsiaTheme="minorEastAsia"/>
          <w:b/>
          <w:bCs/>
          <w:color w:val="auto"/>
          <w:sz w:val="24"/>
          <w:szCs w:val="24"/>
          <w:lang w:val="en-US" w:eastAsia="zh-CN"/>
        </w:rPr>
        <w:t>绿地系统规划</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（1）公园绿地</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根据曲沃县的具体情况，利用已有的晋都公园，完善其职能定位，同时适当发展中型公园（区级），并结合现状着重发展小型绿地（如：街头绿地、小游园、尤其绿化带等），这些小型公共绿地可以利用城市空隙地，见缝插针，分布广，贴近居民，绿地使用率高。</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（2）防护绿地</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规划沿108国道两侧布置30米的防护绿地，城市外环路两侧布置10米的防护绿地，县城南沿高压线走廊布置150米宽的防护绿地。规划防护绿地总面积63.54公顷，占规划总建设用地的4.19%。</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（3）广场用地</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次规划广场用地10.13公顷，占规划总建设用地的0.67%，人均0.68平方米。主要广场指标如下：</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老城区主要利用现有广场，在原有基础上进行整治，主要有两处，一处为曲沃县中心广场，位于府西街和晋都南路交口；另一处位于晋都文化会展中心以北、临府东街南侧。</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西城区在府西街和规划主一路交口新规划一处广场用地，面积0.24公顷，结合现状基督教堂和公共绿地布置。</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老城区在感应寺塔周边规划布置广场三处，总面积0.52公顷。</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b/>
          <w:bCs/>
          <w:color w:val="auto"/>
          <w:sz w:val="24"/>
          <w:szCs w:val="24"/>
          <w:lang w:val="en-US" w:eastAsia="zh-CN"/>
        </w:rPr>
      </w:pPr>
      <w:r>
        <w:rPr>
          <w:rFonts w:hint="eastAsia" w:ascii="Times New Roman" w:hAnsi="Times New Roman" w:cs="Times New Roman" w:eastAsiaTheme="minorEastAsia"/>
          <w:b/>
          <w:bCs/>
          <w:color w:val="auto"/>
          <w:sz w:val="24"/>
          <w:szCs w:val="24"/>
          <w:lang w:val="en-US" w:eastAsia="zh-CN"/>
        </w:rPr>
        <w:t>3.1.2.7</w:t>
      </w:r>
      <w:r>
        <w:rPr>
          <w:rFonts w:hint="default" w:ascii="Times New Roman" w:hAnsi="Times New Roman" w:cs="Times New Roman" w:eastAsiaTheme="minorEastAsia"/>
          <w:b/>
          <w:bCs/>
          <w:color w:val="auto"/>
          <w:sz w:val="24"/>
          <w:szCs w:val="24"/>
          <w:lang w:val="en-US" w:eastAsia="zh-CN"/>
        </w:rPr>
        <w:t>中心城区规划人口规模</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按照《曲沃县县城总体规划（2014~2030年）》，2030年县城人口规模为15.0万人。</w:t>
      </w:r>
    </w:p>
    <w:p>
      <w:pPr>
        <w:pStyle w:val="23"/>
        <w:rPr>
          <w:rFonts w:hint="default" w:eastAsiaTheme="minorEastAsia"/>
          <w:color w:val="auto"/>
          <w:lang w:val="en-US" w:eastAsia="zh-CN"/>
        </w:rPr>
      </w:pPr>
      <w:r>
        <w:rPr>
          <w:rFonts w:hint="eastAsia" w:ascii="Times New Roman" w:hAnsi="Times New Roman" w:cs="Times New Roman" w:eastAsiaTheme="minorEastAsia"/>
          <w:color w:val="auto"/>
          <w:sz w:val="24"/>
          <w:szCs w:val="24"/>
          <w:lang w:eastAsia="zh-CN"/>
        </w:rPr>
        <w:t>曲沃县中心城区规划用地平衡见表</w:t>
      </w:r>
      <w:r>
        <w:rPr>
          <w:rFonts w:hint="eastAsia" w:ascii="Times New Roman" w:hAnsi="Times New Roman" w:cs="Times New Roman" w:eastAsiaTheme="minorEastAsia"/>
          <w:color w:val="auto"/>
          <w:sz w:val="24"/>
          <w:szCs w:val="24"/>
          <w:lang w:val="en-US" w:eastAsia="zh-CN"/>
        </w:rPr>
        <w:t>3-1。</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bCs/>
          <w:sz w:val="21"/>
          <w:szCs w:val="21"/>
        </w:rPr>
      </w:pPr>
      <w:r>
        <w:rPr>
          <w:rFonts w:hint="default" w:ascii="Times New Roman" w:hAnsi="Times New Roman" w:cs="Times New Roman" w:eastAsiaTheme="minorEastAsia"/>
          <w:b/>
          <w:bCs/>
          <w:sz w:val="21"/>
          <w:szCs w:val="21"/>
        </w:rPr>
        <w:t xml:space="preserve">表3-1 </w:t>
      </w:r>
      <w:r>
        <w:rPr>
          <w:rFonts w:hint="eastAsia" w:ascii="Times New Roman" w:hAnsi="Times New Roman" w:cs="Times New Roman" w:eastAsiaTheme="minorEastAsia"/>
          <w:b/>
          <w:bCs/>
          <w:sz w:val="21"/>
          <w:szCs w:val="21"/>
          <w:lang w:val="en-US" w:eastAsia="zh-CN"/>
        </w:rPr>
        <w:t xml:space="preserve"> </w:t>
      </w:r>
      <w:r>
        <w:rPr>
          <w:rFonts w:hint="default" w:ascii="Times New Roman" w:hAnsi="Times New Roman" w:cs="Times New Roman" w:eastAsiaTheme="minorEastAsia"/>
          <w:b/>
          <w:bCs/>
          <w:sz w:val="21"/>
          <w:szCs w:val="21"/>
        </w:rPr>
        <w:t>曲沃县中心城区规划用地平衡表</w:t>
      </w:r>
    </w:p>
    <w:tbl>
      <w:tblPr>
        <w:tblStyle w:val="25"/>
        <w:tblW w:w="8528"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655"/>
        <w:gridCol w:w="1927"/>
        <w:gridCol w:w="954"/>
        <w:gridCol w:w="899"/>
        <w:gridCol w:w="930"/>
        <w:gridCol w:w="867"/>
        <w:gridCol w:w="940"/>
        <w:gridCol w:w="930"/>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blHeader/>
        </w:trPr>
        <w:tc>
          <w:tcPr>
            <w:tcW w:w="42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序号</w:t>
            </w:r>
          </w:p>
        </w:tc>
        <w:tc>
          <w:tcPr>
            <w:tcW w:w="6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用地</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代号</w:t>
            </w:r>
          </w:p>
        </w:tc>
        <w:tc>
          <w:tcPr>
            <w:tcW w:w="192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用地</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名称</w:t>
            </w:r>
          </w:p>
        </w:tc>
        <w:tc>
          <w:tcPr>
            <w:tcW w:w="1853" w:type="dxa"/>
            <w:gridSpan w:val="2"/>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面积（hm</w:t>
            </w:r>
            <w:r>
              <w:rPr>
                <w:rFonts w:hint="default" w:ascii="Times New Roman" w:hAnsi="Times New Roman" w:cs="Times New Roman" w:eastAsiaTheme="minorEastAsia"/>
                <w:sz w:val="21"/>
                <w:szCs w:val="21"/>
                <w:vertAlign w:val="superscript"/>
              </w:rPr>
              <w:t>2</w:t>
            </w:r>
            <w:r>
              <w:rPr>
                <w:rFonts w:hint="default" w:ascii="Times New Roman" w:hAnsi="Times New Roman" w:cs="Times New Roman" w:eastAsiaTheme="minorEastAsia"/>
                <w:sz w:val="21"/>
                <w:szCs w:val="21"/>
              </w:rPr>
              <w:t>）</w:t>
            </w:r>
          </w:p>
        </w:tc>
        <w:tc>
          <w:tcPr>
            <w:tcW w:w="1797" w:type="dxa"/>
            <w:gridSpan w:val="2"/>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占城市建设用地比例（%）</w:t>
            </w:r>
          </w:p>
        </w:tc>
        <w:tc>
          <w:tcPr>
            <w:tcW w:w="1870" w:type="dxa"/>
            <w:gridSpan w:val="2"/>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人均用地（m</w:t>
            </w:r>
            <w:r>
              <w:rPr>
                <w:rFonts w:hint="default" w:ascii="Times New Roman" w:hAnsi="Times New Roman" w:cs="Times New Roman" w:eastAsiaTheme="minorEastAsia"/>
                <w:sz w:val="21"/>
                <w:szCs w:val="21"/>
                <w:vertAlign w:val="superscript"/>
              </w:rPr>
              <w:t>2</w:t>
            </w:r>
            <w:r>
              <w:rPr>
                <w:rFonts w:hint="default" w:ascii="Times New Roman" w:hAnsi="Times New Roman" w:cs="Times New Roman" w:eastAsiaTheme="minorEastAsia"/>
                <w:sz w:val="21"/>
                <w:szCs w:val="21"/>
              </w:rPr>
              <w:t>/人）</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blHeader/>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192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现状</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规划</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现状</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规划</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现状</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规划</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w:t>
            </w: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R</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居住用地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434.14</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516.07</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55.84</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34.00</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63.38</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34.40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w:t>
            </w: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A</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公共管理与公共服务设施用地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76.5</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180.45</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9.84</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11.89</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11.17</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12.03</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A1</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行政办公用地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20.79</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31.94</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2.67</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2.10</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3.04</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2.13</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A2</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文化设施用地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10.63</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10.31</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1.37</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0.68</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1.55</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0.69</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A3</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教育科研用地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32.83</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88.32</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4.22</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5.82</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4.79</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5.89</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A4</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体育用地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3.78</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20.61</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0.49</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1.36</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0.55</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1.37</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A5</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医疗卫生用地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5.5</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19.03</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0.71</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1.25</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0.80</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1.27</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A6</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社会福利用地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0.2</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5.59</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0.03</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0.37</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0.03</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0.37</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A7</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文物古迹用地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2.63</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4.52</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0.34</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0.30</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0.38</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0.30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A9</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宗教用地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0.14</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0.15</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0.02</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0.01</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0.02</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0.01</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w:t>
            </w: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B</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商业服务业设施用地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41.24</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123.97</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5.3</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8.17</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6.02</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8.26</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B1</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商业用地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32.05</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103.85</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4.12</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6.84</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4.68</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6.92</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B2</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商务用地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2.47</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15.86</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0.32</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1.04</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0.36</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1.06</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B3</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娱乐康体用地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2.71</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0.18</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0.18</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B4</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公共设施营业网点用地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1.68</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1.23</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0.22</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0.08</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0.25</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0.08</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B9</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其他服务设施用地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5.04</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0.32</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0.65</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0.02</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0.74</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0.02</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w:t>
            </w: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RB</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居住兼容商业用地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47.05</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3.10</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3.14</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5</w:t>
            </w: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BR</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商业兼容居住用地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38.76</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2.55</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2.58</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6</w:t>
            </w: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M</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工业用地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58.13</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7.48</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8.49</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M1</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一类工业用地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2.37</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0.3</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0.35</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M2</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二类工业用地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22.16</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2.85</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3.24</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M3</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三类工业用地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33.6</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4.32</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4.91</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7</w:t>
            </w: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物流仓储用地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4.4</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22.30</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0.57</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1.47</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0.64</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1.49</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W1</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一类物流仓储用地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3.36</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22.30</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0.43</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1.47</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0.49</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1.49</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W2</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二类物流仓储用地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1.04</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0.13</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0.15</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8</w:t>
            </w: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S</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道路与交通设施用地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140.95</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323.67</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18.13</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21.32</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20.58</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21.58</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S1</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城市道路用地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139.46</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316.10</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17.94</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20.82</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20.36</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21.07</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S3</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交通枢纽用地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1.49</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2.01</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0.19</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0.13</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0.22</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0.13</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S4</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交通站场用地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5.56</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0.37</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0.37</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9</w:t>
            </w: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U</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公共设施用地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6.84</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31.80</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0.88</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2.09</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1.00</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2.12</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U1</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供应设施用地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3.45</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5.78</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0.44</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0.38</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0.50</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0.39</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U2</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环境设施用地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3</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4.45</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0.39</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0.29</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0.44</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0.30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U3</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安全设施用地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0.39</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2.00</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0.05</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0.13</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0.06</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0.13</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10</w:t>
            </w: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G</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绿化与广场用地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15.21</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233.74</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1.93</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15.40</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2.22</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15.58</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G1</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公园绿地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13.79</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160.08</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1.77</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10.55</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2.01</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10.67</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G2</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防护绿地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63.54</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4.19</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4.24</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G3</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广场用地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1.42</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10.13</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0.18</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0.67</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0.21</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0.68</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42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合计</w:t>
            </w:r>
          </w:p>
        </w:tc>
        <w:tc>
          <w:tcPr>
            <w:tcW w:w="6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H11</w:t>
            </w:r>
          </w:p>
        </w:tc>
        <w:tc>
          <w:tcPr>
            <w:tcW w:w="192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城市建设用地</w:t>
            </w:r>
          </w:p>
        </w:tc>
        <w:tc>
          <w:tcPr>
            <w:tcW w:w="9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777.41</w:t>
            </w:r>
          </w:p>
        </w:tc>
        <w:tc>
          <w:tcPr>
            <w:tcW w:w="89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1517.81</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100</w:t>
            </w:r>
          </w:p>
        </w:tc>
        <w:tc>
          <w:tcPr>
            <w:tcW w:w="86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100</w:t>
            </w:r>
          </w:p>
        </w:tc>
        <w:tc>
          <w:tcPr>
            <w:tcW w:w="9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113.49</w:t>
            </w:r>
          </w:p>
        </w:tc>
        <w:tc>
          <w:tcPr>
            <w:tcW w:w="93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101.17</w:t>
            </w:r>
          </w:p>
        </w:tc>
      </w:tr>
    </w:tbl>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eastAsia" w:ascii="Times New Roman" w:hAnsi="Times New Roman" w:cs="Times New Roman" w:eastAsiaTheme="minorEastAsia"/>
          <w:color w:val="auto"/>
          <w:sz w:val="28"/>
          <w:szCs w:val="28"/>
          <w:lang w:val="en-US" w:eastAsia="zh-CN"/>
        </w:rPr>
        <w:t>3.1.3</w:t>
      </w:r>
      <w:r>
        <w:rPr>
          <w:rFonts w:hint="default" w:ascii="Times New Roman" w:hAnsi="Times New Roman" w:cs="Times New Roman" w:eastAsiaTheme="minorEastAsia"/>
          <w:color w:val="auto"/>
          <w:sz w:val="28"/>
          <w:szCs w:val="28"/>
          <w:lang w:val="en-US" w:eastAsia="zh-CN"/>
        </w:rPr>
        <w:t>道路交通规划</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b/>
          <w:bCs/>
          <w:color w:val="auto"/>
          <w:sz w:val="24"/>
          <w:szCs w:val="24"/>
          <w:lang w:val="en-US" w:eastAsia="zh-CN"/>
        </w:rPr>
      </w:pPr>
      <w:r>
        <w:rPr>
          <w:rFonts w:hint="eastAsia" w:ascii="Times New Roman" w:hAnsi="Times New Roman" w:cs="Times New Roman" w:eastAsiaTheme="minorEastAsia"/>
          <w:b/>
          <w:bCs/>
          <w:color w:val="auto"/>
          <w:sz w:val="24"/>
          <w:szCs w:val="24"/>
          <w:lang w:val="en-US" w:eastAsia="zh-CN"/>
        </w:rPr>
        <w:t>3.1.3.1</w:t>
      </w:r>
      <w:r>
        <w:rPr>
          <w:rFonts w:hint="default" w:ascii="Times New Roman" w:hAnsi="Times New Roman" w:cs="Times New Roman" w:eastAsiaTheme="minorEastAsia"/>
          <w:b/>
          <w:bCs/>
          <w:color w:val="auto"/>
          <w:sz w:val="24"/>
          <w:szCs w:val="24"/>
          <w:lang w:val="en-US" w:eastAsia="zh-CN"/>
        </w:rPr>
        <w:t>对外交通用地</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对外交通通道的重点是108国道的改线以及与侯马路网的衔接。未来对外交通通道主要依托108国道、坪曲线、曲绛线等道路形成曲沃县城过境交通体系。</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108国道：原108国道过城区段将改为城市内部主干道，新108国道在曲沃县城重新选线：由神泉村南处开始改线，向东跨过马庄工业园区向南延伸，连接曲绛线，过浍河后沿紫金山北向西延伸对接侯马候凤线，最终在侯马市西侧连接108国道。</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坪曲线：城区段纳为城市道路，局部区间取消；城区以外段保留，西端起于曲绛线，向东可延伸至翼城县。</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 xml:space="preserve">曲绛线：城区段进行亮化、拓宽，成为城区外环路；城区外段保留，向东南延伸至绛县。 </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贡院街西延段、府西街西延段、文公大街西延段为城区城市干道向西延伸的新建道路，分别与侯马市北环路、主一路（规划）、北外环路对接。</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b/>
          <w:bCs/>
          <w:color w:val="auto"/>
          <w:sz w:val="24"/>
          <w:szCs w:val="24"/>
          <w:lang w:val="en-US" w:eastAsia="zh-CN"/>
        </w:rPr>
      </w:pPr>
      <w:r>
        <w:rPr>
          <w:rFonts w:hint="eastAsia" w:ascii="Times New Roman" w:hAnsi="Times New Roman" w:cs="Times New Roman" w:eastAsiaTheme="minorEastAsia"/>
          <w:b/>
          <w:bCs/>
          <w:color w:val="auto"/>
          <w:sz w:val="24"/>
          <w:szCs w:val="24"/>
          <w:lang w:val="en-US" w:eastAsia="zh-CN"/>
        </w:rPr>
        <w:t>3.1.3.2</w:t>
      </w:r>
      <w:r>
        <w:rPr>
          <w:rFonts w:hint="default" w:ascii="Times New Roman" w:hAnsi="Times New Roman" w:cs="Times New Roman" w:eastAsiaTheme="minorEastAsia"/>
          <w:b/>
          <w:bCs/>
          <w:color w:val="auto"/>
          <w:sz w:val="24"/>
          <w:szCs w:val="24"/>
          <w:lang w:val="en-US" w:eastAsia="zh-CN"/>
        </w:rPr>
        <w:t>中心城区道路系统规划</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曲沃中心城区道路网的现状布局较为复杂，老城区道路网密度大、道路宽度较小，东城区路网密度小、道路宽度大，两者尺度相差较大，规划经过分析和多方案比较，确定了</w:t>
      </w:r>
      <w:r>
        <w:rPr>
          <w:rFonts w:hint="eastAsia"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一环、一斜、四横、四纵</w:t>
      </w:r>
      <w:r>
        <w:rPr>
          <w:rFonts w:hint="eastAsia"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 xml:space="preserve">的主干路网体系。 </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一环：由南环路、东环路、北环路、西环路形成的环状路网；</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一斜：即新兴南、北路（原108国道），将过境道路调整为城市生活主干路；</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四横：由北至南依次为规划主一街、文公大街、府东西街、贡院街；</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四纵：由西至东依次为规划主一路、晋都路、绛山路、吉祥路。</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eastAsia" w:ascii="Times New Roman" w:hAnsi="Times New Roman" w:cs="Times New Roman" w:eastAsiaTheme="minorEastAsia"/>
          <w:color w:val="auto"/>
          <w:sz w:val="28"/>
          <w:szCs w:val="28"/>
          <w:lang w:val="en-US" w:eastAsia="zh-CN"/>
        </w:rPr>
        <w:t>3.1.4</w:t>
      </w:r>
      <w:r>
        <w:rPr>
          <w:rFonts w:hint="default" w:ascii="Times New Roman" w:hAnsi="Times New Roman" w:cs="Times New Roman" w:eastAsiaTheme="minorEastAsia"/>
          <w:color w:val="auto"/>
          <w:sz w:val="28"/>
          <w:szCs w:val="28"/>
          <w:lang w:val="en-US" w:eastAsia="zh-CN"/>
        </w:rPr>
        <w:t>城市环境保护规划</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以建设生态城市为目标，通过加强工业污染防治、城市环境和自然环境的综合整治，加大绿化建设力度，使全县工业污染源达标排放，在县域范围各城镇按不同职能分工和自身生态环境质量，进行环境功能区划，使重要自然景观和生态功能区得到保护。应使区域与村镇环境污染趋势得到有效控制，城乡环境质量有明显改善。通过环境分区严格控制环境质量，从总体上全面改善环境质量，实现经济发展与环境保护的良性循环。</w:t>
      </w:r>
    </w:p>
    <w:p>
      <w:pPr>
        <w:ind w:firstLine="560"/>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rPr>
        <w:t>到规划期末2030年，县城空气环境质量实现按功能区达标，其它城镇空气环境质量力争按国家规定的功能区标准达标。浍河水库、滏河水库等四座水库以及境内河流按功能实现达标；工农业生产水质达到《GB3838-88地面水环境质量标准》Ⅲ类；县城声环境按功能区划达到国家规定标准，其它城镇力争按功能区划基本达到国家规定标准。工业废气达标率95%以上，工业粉尘回收90%以上，废水处理率95%以上，垃圾无害处理率达到90%。曲沃县主要环境功能分区控制指标</w:t>
      </w:r>
      <w:r>
        <w:rPr>
          <w:rFonts w:hint="eastAsia" w:ascii="Times New Roman" w:hAnsi="Times New Roman" w:cs="Times New Roman" w:eastAsiaTheme="minorEastAsia"/>
          <w:color w:val="auto"/>
          <w:sz w:val="24"/>
          <w:szCs w:val="24"/>
          <w:lang w:eastAsia="zh-CN"/>
        </w:rPr>
        <w:t>见表</w:t>
      </w:r>
      <w:r>
        <w:rPr>
          <w:rFonts w:hint="eastAsia" w:ascii="Times New Roman" w:hAnsi="Times New Roman" w:cs="Times New Roman" w:eastAsiaTheme="minorEastAsia"/>
          <w:color w:val="auto"/>
          <w:sz w:val="24"/>
          <w:szCs w:val="24"/>
          <w:lang w:val="en-US" w:eastAsia="zh-CN"/>
        </w:rPr>
        <w:t>3-2。</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表3-2</w:t>
      </w:r>
      <w:r>
        <w:rPr>
          <w:rFonts w:hint="eastAsia" w:ascii="Times New Roman" w:hAnsi="Times New Roman" w:cs="Times New Roman" w:eastAsiaTheme="minorEastAsia"/>
          <w:b/>
          <w:bCs/>
          <w:color w:val="auto"/>
          <w:sz w:val="21"/>
          <w:szCs w:val="21"/>
          <w:lang w:val="en-US" w:eastAsia="zh-CN"/>
        </w:rPr>
        <w:t xml:space="preserve"> </w:t>
      </w:r>
      <w:r>
        <w:rPr>
          <w:rFonts w:hint="default" w:ascii="Times New Roman" w:hAnsi="Times New Roman" w:cs="Times New Roman" w:eastAsiaTheme="minorEastAsia"/>
          <w:b/>
          <w:bCs/>
          <w:color w:val="auto"/>
          <w:sz w:val="21"/>
          <w:szCs w:val="21"/>
        </w:rPr>
        <w:t xml:space="preserve"> 曲沃县主要环境功能分区控制指标（2030年）</w:t>
      </w:r>
    </w:p>
    <w:tbl>
      <w:tblPr>
        <w:tblStyle w:val="25"/>
        <w:tblW w:w="8528"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2279"/>
        <w:gridCol w:w="2082"/>
        <w:gridCol w:w="1445"/>
        <w:gridCol w:w="1360"/>
        <w:gridCol w:w="1362"/>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blHeader/>
        </w:trPr>
        <w:tc>
          <w:tcPr>
            <w:tcW w:w="2279"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环境功能分区</w:t>
            </w:r>
          </w:p>
        </w:tc>
        <w:tc>
          <w:tcPr>
            <w:tcW w:w="208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大气环境质量</w:t>
            </w:r>
          </w:p>
        </w:tc>
        <w:tc>
          <w:tcPr>
            <w:tcW w:w="144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水质</w:t>
            </w:r>
          </w:p>
        </w:tc>
        <w:tc>
          <w:tcPr>
            <w:tcW w:w="2722" w:type="dxa"/>
            <w:gridSpan w:val="2"/>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噪声（分贝）</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blHeader/>
        </w:trPr>
        <w:tc>
          <w:tcPr>
            <w:tcW w:w="2279"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p>
        </w:tc>
        <w:tc>
          <w:tcPr>
            <w:tcW w:w="208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p>
        </w:tc>
        <w:tc>
          <w:tcPr>
            <w:tcW w:w="144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p>
        </w:tc>
        <w:tc>
          <w:tcPr>
            <w:tcW w:w="136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昼</w:t>
            </w:r>
          </w:p>
        </w:tc>
        <w:tc>
          <w:tcPr>
            <w:tcW w:w="136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夜</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227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景明诗经山水旅游区晋国博物馆旅游区等</w:t>
            </w:r>
          </w:p>
        </w:tc>
        <w:tc>
          <w:tcPr>
            <w:tcW w:w="208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Ⅰ</w:t>
            </w:r>
          </w:p>
        </w:tc>
        <w:tc>
          <w:tcPr>
            <w:tcW w:w="144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Ⅱ</w:t>
            </w:r>
          </w:p>
        </w:tc>
        <w:tc>
          <w:tcPr>
            <w:tcW w:w="136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50</w:t>
            </w:r>
          </w:p>
        </w:tc>
        <w:tc>
          <w:tcPr>
            <w:tcW w:w="136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227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城镇居住区、商业区与居住商业混合区</w:t>
            </w:r>
          </w:p>
        </w:tc>
        <w:tc>
          <w:tcPr>
            <w:tcW w:w="208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Ⅱ</w:t>
            </w:r>
          </w:p>
        </w:tc>
        <w:tc>
          <w:tcPr>
            <w:tcW w:w="144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w:t>
            </w:r>
          </w:p>
        </w:tc>
        <w:tc>
          <w:tcPr>
            <w:tcW w:w="136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50~60</w:t>
            </w:r>
          </w:p>
        </w:tc>
        <w:tc>
          <w:tcPr>
            <w:tcW w:w="136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50~55</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227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水库</w:t>
            </w:r>
          </w:p>
        </w:tc>
        <w:tc>
          <w:tcPr>
            <w:tcW w:w="208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w:t>
            </w:r>
          </w:p>
        </w:tc>
        <w:tc>
          <w:tcPr>
            <w:tcW w:w="144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Ⅲ</w:t>
            </w:r>
          </w:p>
        </w:tc>
        <w:tc>
          <w:tcPr>
            <w:tcW w:w="136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w:t>
            </w:r>
          </w:p>
        </w:tc>
        <w:tc>
          <w:tcPr>
            <w:tcW w:w="136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227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农业区</w:t>
            </w:r>
          </w:p>
        </w:tc>
        <w:tc>
          <w:tcPr>
            <w:tcW w:w="208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Ⅱ</w:t>
            </w:r>
          </w:p>
        </w:tc>
        <w:tc>
          <w:tcPr>
            <w:tcW w:w="144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Ⅱ</w:t>
            </w:r>
          </w:p>
        </w:tc>
        <w:tc>
          <w:tcPr>
            <w:tcW w:w="136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w:t>
            </w:r>
          </w:p>
        </w:tc>
        <w:tc>
          <w:tcPr>
            <w:tcW w:w="136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227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水土流失重点治理区</w:t>
            </w:r>
          </w:p>
        </w:tc>
        <w:tc>
          <w:tcPr>
            <w:tcW w:w="208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Ⅱ</w:t>
            </w:r>
          </w:p>
        </w:tc>
        <w:tc>
          <w:tcPr>
            <w:tcW w:w="144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Ⅱ</w:t>
            </w:r>
          </w:p>
        </w:tc>
        <w:tc>
          <w:tcPr>
            <w:tcW w:w="136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w:t>
            </w:r>
          </w:p>
        </w:tc>
        <w:tc>
          <w:tcPr>
            <w:tcW w:w="136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227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水源保护区</w:t>
            </w:r>
          </w:p>
        </w:tc>
        <w:tc>
          <w:tcPr>
            <w:tcW w:w="208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Ⅱ</w:t>
            </w:r>
          </w:p>
        </w:tc>
        <w:tc>
          <w:tcPr>
            <w:tcW w:w="144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Ⅰ</w:t>
            </w:r>
          </w:p>
        </w:tc>
        <w:tc>
          <w:tcPr>
            <w:tcW w:w="136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w:t>
            </w:r>
          </w:p>
        </w:tc>
        <w:tc>
          <w:tcPr>
            <w:tcW w:w="136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w:t>
            </w:r>
          </w:p>
        </w:tc>
      </w:tr>
    </w:tbl>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（1）空气污染控制</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按环境功能要求及各乡镇生态建设要求，调整产业布局。加强对重点行业的分类指导和管理，开展清洁生产审核，淘汰工艺落后、污染严重、附加值低、资源消耗高的企业。严格控制新的污染源。积极推进主要资源型工业小区的循环经济发展，建设生态型工业小区。尽快推进县城集中联片供热工程，改善能源消费结构，提高气化率，减少煤烟型污染。加强道路硬化，对裸露地面实施绿色覆盖，减少扬尘污染。</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（2）水污染控制规划</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建设污水处理设施。2030年城镇污水处理率达90％以上。规划建设县城污水处理厂和其他城镇污水处理站。对已有污染企业与新建企业加强管理，做到循环利用与达标排放；严禁在河道、水库附近倾倒、堆积各种固体废弃物，水库周围1km之内，严禁上马污染项目，水库、河道周围两侧应绿化、美化。</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（3）固体废弃物污染控制规划</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建立和完善生活垃圾的分类、收集、运输、处理系统，建设县城垃圾处理场，在有条件的乡镇，积极建设符合要求的固定垃圾处理厂；加强工业废弃物综合利用、无害化处理和堆放管理；加强危险废弃物产生、收集、运输、处理等各环节的监管，确保危险废弃物的全部安全处置和零排放；加强建筑垃圾的综合利用。2030年垃圾处理率达95％以上。</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（4）噪声污染控制规划</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曲沃县交通密度大，工业发展迅速，因而，要加强对交通、建筑施工作业、工业噪声和商业娱乐场所等噪声源的监测与管理，确保县域，尤其是重点城镇环境噪声质量。</w:t>
      </w:r>
    </w:p>
    <w:p>
      <w:pPr>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严禁通过城镇各交通干线的各种机动车辆鸣笛。建设公路绿化带，发挥其滞尘降噪的作用。重点加强居民区、文教区噪声污染源管理和控制。积极采用各种消声技术，控制工业噪音污染。</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default" w:cs="Times New Roman" w:eastAsiaTheme="minorEastAsia"/>
          <w:color w:val="auto"/>
          <w:sz w:val="30"/>
          <w:szCs w:val="30"/>
          <w:highlight w:val="none"/>
          <w:lang w:val="en-US" w:eastAsia="zh-CN"/>
        </w:rPr>
      </w:pPr>
      <w:bookmarkStart w:id="14" w:name="_Toc508"/>
      <w:r>
        <w:rPr>
          <w:rFonts w:hint="eastAsia" w:cs="Times New Roman" w:eastAsiaTheme="minorEastAsia"/>
          <w:color w:val="auto"/>
          <w:sz w:val="30"/>
          <w:szCs w:val="30"/>
          <w:highlight w:val="none"/>
          <w:lang w:val="en-US" w:eastAsia="zh-CN"/>
        </w:rPr>
        <w:t>3.2</w:t>
      </w:r>
      <w:r>
        <w:rPr>
          <w:rFonts w:hint="default" w:cs="Times New Roman" w:eastAsiaTheme="minorEastAsia"/>
          <w:color w:val="auto"/>
          <w:sz w:val="30"/>
          <w:szCs w:val="30"/>
          <w:highlight w:val="none"/>
          <w:lang w:val="en-US" w:eastAsia="zh-CN"/>
        </w:rPr>
        <w:t>现行</w:t>
      </w:r>
      <w:r>
        <w:rPr>
          <w:rFonts w:hint="eastAsia" w:cs="Times New Roman" w:eastAsiaTheme="minorEastAsia"/>
          <w:color w:val="auto"/>
          <w:sz w:val="30"/>
          <w:szCs w:val="30"/>
          <w:highlight w:val="none"/>
          <w:lang w:val="en-US" w:eastAsia="zh-CN"/>
        </w:rPr>
        <w:t>声环境功能区划</w:t>
      </w:r>
      <w:bookmarkEnd w:id="14"/>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eastAsia" w:ascii="Times New Roman" w:hAnsi="Times New Roman" w:cs="Times New Roman" w:eastAsiaTheme="minorEastAsia"/>
          <w:color w:val="auto"/>
          <w:sz w:val="28"/>
          <w:szCs w:val="28"/>
          <w:lang w:val="en-US" w:eastAsia="zh-CN"/>
        </w:rPr>
        <w:t>3.2.1现行声环境功能区划概况</w:t>
      </w:r>
    </w:p>
    <w:p>
      <w:pPr>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highlight w:val="none"/>
          <w:lang w:eastAsia="zh-CN"/>
        </w:rPr>
      </w:pPr>
      <w:r>
        <w:rPr>
          <w:rFonts w:hint="default" w:ascii="Times New Roman" w:hAnsi="Times New Roman" w:cs="Times New Roman" w:eastAsiaTheme="minorEastAsia"/>
          <w:color w:val="auto"/>
          <w:sz w:val="24"/>
          <w:szCs w:val="24"/>
          <w:lang w:val="en-US" w:eastAsia="zh-CN"/>
        </w:rPr>
        <w:t>2014年12月，</w:t>
      </w:r>
      <w:r>
        <w:rPr>
          <w:rFonts w:hint="default" w:ascii="Times New Roman" w:hAnsi="Times New Roman" w:cs="Times New Roman" w:eastAsiaTheme="minorEastAsia"/>
          <w:color w:val="auto"/>
          <w:sz w:val="24"/>
          <w:szCs w:val="24"/>
          <w:highlight w:val="none"/>
          <w:lang w:eastAsia="zh-CN"/>
        </w:rPr>
        <w:t>《曲沃县城市区域声环境功能区划分技术报告》（</w:t>
      </w:r>
      <w:r>
        <w:rPr>
          <w:rFonts w:hint="default" w:ascii="Times New Roman" w:hAnsi="Times New Roman" w:cs="Times New Roman" w:eastAsiaTheme="minorEastAsia"/>
          <w:color w:val="auto"/>
          <w:sz w:val="24"/>
          <w:szCs w:val="24"/>
          <w:highlight w:val="none"/>
          <w:lang w:val="en-US" w:eastAsia="zh-CN"/>
        </w:rPr>
        <w:t>2014年12月</w:t>
      </w:r>
      <w:r>
        <w:rPr>
          <w:rFonts w:hint="default" w:ascii="Times New Roman" w:hAnsi="Times New Roman" w:cs="Times New Roman" w:eastAsiaTheme="minorEastAsia"/>
          <w:color w:val="auto"/>
          <w:sz w:val="24"/>
          <w:szCs w:val="24"/>
          <w:highlight w:val="none"/>
          <w:lang w:eastAsia="zh-CN"/>
        </w:rPr>
        <w:t>）编制完成。</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cs="Times New Roman" w:eastAsiaTheme="minorEastAsia"/>
          <w:b/>
          <w:bCs/>
          <w:color w:val="auto"/>
          <w:sz w:val="24"/>
          <w:szCs w:val="24"/>
          <w:highlight w:val="none"/>
          <w:lang w:eastAsia="zh-CN"/>
        </w:rPr>
      </w:pPr>
      <w:r>
        <w:rPr>
          <w:rFonts w:hint="eastAsia" w:cs="Times New Roman" w:eastAsiaTheme="minorEastAsia"/>
          <w:b/>
          <w:bCs/>
          <w:color w:val="auto"/>
          <w:sz w:val="24"/>
          <w:szCs w:val="24"/>
          <w:highlight w:val="none"/>
          <w:lang w:val="en-US" w:eastAsia="zh-CN"/>
        </w:rPr>
        <w:t>3.2.1.1</w:t>
      </w:r>
      <w:r>
        <w:rPr>
          <w:rFonts w:hint="eastAsia" w:cs="Times New Roman" w:eastAsiaTheme="minorEastAsia"/>
          <w:b/>
          <w:bCs/>
          <w:color w:val="auto"/>
          <w:sz w:val="24"/>
          <w:szCs w:val="24"/>
          <w:highlight w:val="none"/>
          <w:lang w:eastAsia="zh-CN"/>
        </w:rPr>
        <w:t>规划范围及期限</w:t>
      </w:r>
    </w:p>
    <w:p>
      <w:pPr>
        <w:pStyle w:val="23"/>
        <w:pageBreakBefore w:val="0"/>
        <w:widowControl w:val="0"/>
        <w:kinsoku/>
        <w:wordWrap/>
        <w:overflowPunct/>
        <w:topLinePunct w:val="0"/>
        <w:autoSpaceDE/>
        <w:autoSpaceDN/>
        <w:bidi w:val="0"/>
        <w:adjustRightInd/>
        <w:snapToGrid/>
        <w:textAlignment w:val="auto"/>
        <w:rPr>
          <w:rFonts w:hint="default" w:ascii="Times New Roman" w:hAnsi="Times New Roman" w:cs="Times New Roman" w:eastAsiaTheme="minorEastAsia"/>
          <w:color w:val="auto"/>
          <w:sz w:val="24"/>
          <w:szCs w:val="24"/>
          <w:highlight w:val="none"/>
          <w:lang w:val="en-US" w:eastAsia="zh-CN"/>
        </w:rPr>
      </w:pPr>
      <w:r>
        <w:rPr>
          <w:rFonts w:hint="eastAsia" w:ascii="Times New Roman" w:hAnsi="Times New Roman" w:cs="Times New Roman" w:eastAsiaTheme="minorEastAsia"/>
          <w:color w:val="auto"/>
          <w:sz w:val="24"/>
          <w:szCs w:val="24"/>
          <w:highlight w:val="none"/>
          <w:lang w:eastAsia="zh-CN"/>
        </w:rPr>
        <w:t>规划范围为</w:t>
      </w:r>
      <w:r>
        <w:rPr>
          <w:rFonts w:hint="default" w:ascii="Times New Roman" w:hAnsi="Times New Roman" w:cs="Times New Roman" w:eastAsiaTheme="minorEastAsia"/>
          <w:color w:val="auto"/>
          <w:sz w:val="24"/>
          <w:szCs w:val="24"/>
          <w:highlight w:val="none"/>
        </w:rPr>
        <w:t>北至宇晋路——G108——东许小学以南，西至曲郑路——</w:t>
      </w:r>
      <w:r>
        <w:rPr>
          <w:rFonts w:hint="eastAsia" w:ascii="Times New Roman" w:hAnsi="Times New Roman" w:cs="Times New Roman" w:eastAsiaTheme="minorEastAsia"/>
          <w:color w:val="auto"/>
          <w:sz w:val="24"/>
          <w:szCs w:val="24"/>
          <w:highlight w:val="none"/>
          <w:lang w:eastAsia="zh-CN"/>
        </w:rPr>
        <w:t>新华北路</w:t>
      </w:r>
      <w:r>
        <w:rPr>
          <w:rFonts w:hint="default" w:ascii="Times New Roman" w:hAnsi="Times New Roman" w:cs="Times New Roman" w:eastAsiaTheme="minorEastAsia"/>
          <w:color w:val="auto"/>
          <w:sz w:val="24"/>
          <w:szCs w:val="24"/>
          <w:highlight w:val="none"/>
        </w:rPr>
        <w:t>与</w:t>
      </w:r>
      <w:r>
        <w:rPr>
          <w:rFonts w:hint="eastAsia" w:ascii="Times New Roman" w:hAnsi="Times New Roman" w:cs="Times New Roman" w:eastAsiaTheme="minorEastAsia"/>
          <w:color w:val="auto"/>
          <w:sz w:val="24"/>
          <w:szCs w:val="24"/>
          <w:highlight w:val="none"/>
          <w:lang w:eastAsia="zh-CN"/>
        </w:rPr>
        <w:t>新华南路</w:t>
      </w:r>
      <w:r>
        <w:rPr>
          <w:rFonts w:hint="default" w:ascii="Times New Roman" w:hAnsi="Times New Roman" w:cs="Times New Roman" w:eastAsiaTheme="minorEastAsia"/>
          <w:color w:val="auto"/>
          <w:sz w:val="24"/>
          <w:szCs w:val="24"/>
          <w:highlight w:val="none"/>
        </w:rPr>
        <w:t>以西的规划区，南至三星焦化厂——吉利街——致富西街——致富东街（包括致富东街以南的规划区），东至S234及S234北沿</w:t>
      </w:r>
      <w:r>
        <w:rPr>
          <w:rFonts w:hint="eastAsia" w:ascii="Times New Roman" w:hAnsi="Times New Roman" w:cs="Times New Roman" w:eastAsiaTheme="minorEastAsia"/>
          <w:color w:val="auto"/>
          <w:sz w:val="24"/>
          <w:szCs w:val="24"/>
          <w:highlight w:val="none"/>
          <w:lang w:eastAsia="zh-CN"/>
        </w:rPr>
        <w:t>，规划面积</w:t>
      </w:r>
      <w:r>
        <w:rPr>
          <w:rFonts w:hint="eastAsia" w:ascii="Times New Roman" w:hAnsi="Times New Roman" w:cs="Times New Roman" w:eastAsiaTheme="minorEastAsia"/>
          <w:color w:val="auto"/>
          <w:sz w:val="24"/>
          <w:szCs w:val="24"/>
          <w:highlight w:val="none"/>
          <w:lang w:val="en-US" w:eastAsia="zh-CN"/>
        </w:rPr>
        <w:t>15.35km</w:t>
      </w:r>
      <w:r>
        <w:rPr>
          <w:rFonts w:hint="eastAsia" w:ascii="Times New Roman" w:hAnsi="Times New Roman" w:cs="Times New Roman" w:eastAsiaTheme="minorEastAsia"/>
          <w:color w:val="auto"/>
          <w:sz w:val="24"/>
          <w:szCs w:val="24"/>
          <w:highlight w:val="none"/>
          <w:vertAlign w:val="superscript"/>
          <w:lang w:val="en-US" w:eastAsia="zh-CN"/>
        </w:rPr>
        <w:t>2</w:t>
      </w:r>
      <w:r>
        <w:rPr>
          <w:rFonts w:hint="eastAsia" w:ascii="Times New Roman" w:hAnsi="Times New Roman" w:cs="Times New Roman" w:eastAsiaTheme="minorEastAsia"/>
          <w:color w:val="auto"/>
          <w:sz w:val="24"/>
          <w:szCs w:val="24"/>
          <w:highlight w:val="none"/>
          <w:lang w:val="en-US" w:eastAsia="zh-CN"/>
        </w:rPr>
        <w:t>。上期区划结果示意图详见附图12。</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eastAsiaTheme="minorEastAsia"/>
          <w:b/>
          <w:bCs/>
          <w:color w:val="auto"/>
          <w:sz w:val="24"/>
          <w:szCs w:val="24"/>
          <w:lang w:val="en-US" w:eastAsia="zh-CN"/>
        </w:rPr>
      </w:pPr>
      <w:r>
        <w:rPr>
          <w:rFonts w:hint="eastAsia" w:ascii="Times New Roman" w:hAnsi="Times New Roman" w:cs="Times New Roman" w:eastAsiaTheme="minorEastAsia"/>
          <w:b/>
          <w:bCs/>
          <w:color w:val="auto"/>
          <w:sz w:val="24"/>
          <w:szCs w:val="24"/>
          <w:lang w:val="en-US" w:eastAsia="zh-CN"/>
        </w:rPr>
        <w:t>3.2.1.2功能区类别、范围、面积、覆盖区域</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eastAsia" w:ascii="Times New Roman" w:hAnsi="Times New Roman" w:cs="Times New Roman" w:eastAsiaTheme="minorEastAsia"/>
          <w:color w:val="auto"/>
          <w:sz w:val="24"/>
          <w:szCs w:val="24"/>
          <w:lang w:eastAsia="zh-CN"/>
        </w:rPr>
        <w:t>现行声环境功能区划</w:t>
      </w:r>
      <w:r>
        <w:rPr>
          <w:rFonts w:hint="default" w:ascii="Times New Roman" w:hAnsi="Times New Roman" w:cs="Times New Roman" w:eastAsiaTheme="minorEastAsia"/>
          <w:color w:val="auto"/>
          <w:sz w:val="24"/>
          <w:szCs w:val="24"/>
        </w:rPr>
        <w:t>将曲沃县城市区域划分为3类声环境功能适用区域。其中，1类区1个，2类区1个，沿城市道路及铁路两侧为4类区。</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（1）0类声环境功能适用区域</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无0类区。</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（2）1类声环境功能适用区域执行标准55-45dB(A)</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北至宇晋路——G108——东许小学以南，西至曲郑路——</w:t>
      </w:r>
      <w:r>
        <w:rPr>
          <w:rFonts w:hint="eastAsia" w:cs="Times New Roman" w:eastAsiaTheme="minorEastAsia"/>
          <w:color w:val="auto"/>
          <w:sz w:val="24"/>
          <w:szCs w:val="24"/>
          <w:lang w:eastAsia="zh-CN"/>
        </w:rPr>
        <w:t>新华北路</w:t>
      </w:r>
      <w:r>
        <w:rPr>
          <w:rFonts w:hint="default" w:ascii="Times New Roman" w:hAnsi="Times New Roman" w:cs="Times New Roman" w:eastAsiaTheme="minorEastAsia"/>
          <w:color w:val="auto"/>
          <w:sz w:val="24"/>
          <w:szCs w:val="24"/>
        </w:rPr>
        <w:t>与</w:t>
      </w:r>
      <w:r>
        <w:rPr>
          <w:rFonts w:hint="eastAsia" w:cs="Times New Roman" w:eastAsiaTheme="minorEastAsia"/>
          <w:color w:val="auto"/>
          <w:sz w:val="24"/>
          <w:szCs w:val="24"/>
          <w:lang w:eastAsia="zh-CN"/>
        </w:rPr>
        <w:t>新华南路</w:t>
      </w:r>
      <w:r>
        <w:rPr>
          <w:rFonts w:hint="default" w:ascii="Times New Roman" w:hAnsi="Times New Roman" w:cs="Times New Roman" w:eastAsiaTheme="minorEastAsia"/>
          <w:color w:val="auto"/>
          <w:sz w:val="24"/>
          <w:szCs w:val="24"/>
        </w:rPr>
        <w:t>以西的规划区，南至三星焦化厂——吉利街——致富西街——致富东街（包括致富东街以南的规划区），东至S234及S234北沿。区域面积14.10km</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（3）2类声环境功能适用区域执行标准60-50dB(A)</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城区中心区：北至</w:t>
      </w:r>
      <w:r>
        <w:rPr>
          <w:rFonts w:hint="eastAsia" w:cs="Times New Roman" w:eastAsiaTheme="minorEastAsia"/>
          <w:color w:val="auto"/>
          <w:sz w:val="24"/>
          <w:szCs w:val="24"/>
          <w:lang w:eastAsia="zh-CN"/>
        </w:rPr>
        <w:t>新华北路</w:t>
      </w:r>
      <w:r>
        <w:rPr>
          <w:rFonts w:hint="default" w:ascii="Times New Roman" w:hAnsi="Times New Roman" w:cs="Times New Roman" w:eastAsiaTheme="minorEastAsia"/>
          <w:color w:val="auto"/>
          <w:sz w:val="24"/>
          <w:szCs w:val="24"/>
        </w:rPr>
        <w:t>——晋都北路——文公大街，西至</w:t>
      </w:r>
      <w:r>
        <w:rPr>
          <w:rFonts w:hint="eastAsia" w:cs="Times New Roman" w:eastAsiaTheme="minorEastAsia"/>
          <w:color w:val="auto"/>
          <w:sz w:val="24"/>
          <w:szCs w:val="24"/>
          <w:lang w:eastAsia="zh-CN"/>
        </w:rPr>
        <w:t>新华南路</w:t>
      </w:r>
      <w:r>
        <w:rPr>
          <w:rFonts w:hint="default" w:ascii="Times New Roman" w:hAnsi="Times New Roman" w:cs="Times New Roman" w:eastAsiaTheme="minorEastAsia"/>
          <w:color w:val="auto"/>
          <w:sz w:val="24"/>
          <w:szCs w:val="24"/>
        </w:rPr>
        <w:t>——府西街——太和路，南至贡院西街——贡院东街，东至浍滨北路——文明街——五一路——府东街——浍滨南路。区域面积1.25km</w:t>
      </w:r>
      <w:r>
        <w:rPr>
          <w:rFonts w:hint="default" w:ascii="Times New Roman" w:hAnsi="Times New Roman" w:cs="Times New Roman" w:eastAsiaTheme="minorEastAsia"/>
          <w:color w:val="auto"/>
          <w:sz w:val="24"/>
          <w:szCs w:val="24"/>
          <w:vertAlign w:val="superscript"/>
        </w:rPr>
        <w:t>2</w:t>
      </w:r>
      <w:r>
        <w:rPr>
          <w:rFonts w:hint="default" w:ascii="Times New Roman" w:hAnsi="Times New Roman" w:cs="Times New Roman" w:eastAsiaTheme="minorEastAsia"/>
          <w:color w:val="auto"/>
          <w:sz w:val="24"/>
          <w:szCs w:val="24"/>
        </w:rPr>
        <w:t>。</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（4）3类声环境功能适用区域执行标准65-55dB(A)</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无3类区。</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b/>
          <w:bCs/>
          <w:color w:val="auto"/>
          <w:sz w:val="24"/>
          <w:szCs w:val="24"/>
        </w:rPr>
      </w:pPr>
      <w:r>
        <w:rPr>
          <w:rFonts w:hint="default" w:ascii="Times New Roman" w:hAnsi="Times New Roman" w:cs="Times New Roman" w:eastAsiaTheme="minorEastAsia"/>
          <w:b/>
          <w:bCs/>
          <w:color w:val="auto"/>
          <w:sz w:val="24"/>
          <w:szCs w:val="24"/>
        </w:rPr>
        <w:t>（5）4类声环境功能适用区域执行标准70-55dB(A)</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以城市主干道及支线一定距离内的区域划为4a类声环境功能区域。其中：城市主干道5条，城市次干道5条，国道2条，省道1条，支路2条。包括府西街、府东街、贡院西街、贡院东街、文公大街、北大街、南大街、</w:t>
      </w:r>
      <w:r>
        <w:rPr>
          <w:rFonts w:hint="eastAsia" w:cs="Times New Roman" w:eastAsiaTheme="minorEastAsia"/>
          <w:color w:val="auto"/>
          <w:sz w:val="24"/>
          <w:szCs w:val="24"/>
          <w:lang w:eastAsia="zh-CN"/>
        </w:rPr>
        <w:t>新华北路</w:t>
      </w:r>
      <w:r>
        <w:rPr>
          <w:rFonts w:hint="default" w:ascii="Times New Roman" w:hAnsi="Times New Roman" w:cs="Times New Roman" w:eastAsiaTheme="minorEastAsia"/>
          <w:color w:val="auto"/>
          <w:sz w:val="24"/>
          <w:szCs w:val="24"/>
        </w:rPr>
        <w:t>、</w:t>
      </w:r>
      <w:r>
        <w:rPr>
          <w:rFonts w:hint="eastAsia" w:cs="Times New Roman" w:eastAsiaTheme="minorEastAsia"/>
          <w:color w:val="auto"/>
          <w:sz w:val="24"/>
          <w:szCs w:val="24"/>
          <w:lang w:eastAsia="zh-CN"/>
        </w:rPr>
        <w:t>新华南路</w:t>
      </w:r>
      <w:r>
        <w:rPr>
          <w:rFonts w:hint="default" w:ascii="Times New Roman" w:hAnsi="Times New Roman" w:cs="Times New Roman" w:eastAsiaTheme="minorEastAsia"/>
          <w:color w:val="auto"/>
          <w:sz w:val="24"/>
          <w:szCs w:val="24"/>
        </w:rPr>
        <w:t>、S234、浍滨北路、浍滨南路、绛山路、兴隆东街、太和路。其中，相邻区域为1类声环境功能区域，距离为50m；相邻区域为2类声环境功能区域，距离为30m；相邻区域为3类声环境功能区域，距离为20m。</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区内无铁路穿越，不设4b类声环境功能区域。</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eastAsia" w:ascii="Times New Roman" w:hAnsi="Times New Roman" w:cs="Times New Roman" w:eastAsiaTheme="minorEastAsia"/>
          <w:color w:val="auto"/>
          <w:sz w:val="28"/>
          <w:szCs w:val="28"/>
          <w:lang w:val="en-US" w:eastAsia="zh-CN"/>
        </w:rPr>
        <w:t>3.2.</w:t>
      </w:r>
      <w:r>
        <w:rPr>
          <w:rFonts w:hint="eastAsia" w:cs="Times New Roman" w:eastAsiaTheme="minorEastAsia"/>
          <w:color w:val="auto"/>
          <w:sz w:val="28"/>
          <w:szCs w:val="28"/>
          <w:lang w:val="en-US" w:eastAsia="zh-CN"/>
        </w:rPr>
        <w:t>2相关规划一致性分析</w:t>
      </w:r>
    </w:p>
    <w:p>
      <w:pPr>
        <w:pStyle w:val="23"/>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lang w:eastAsia="zh-CN"/>
        </w:rPr>
        <w:t>根据近期城市总体规划、土地利用规划，城市区域规划面积</w:t>
      </w:r>
      <w:r>
        <w:rPr>
          <w:rFonts w:hint="eastAsia" w:ascii="Times New Roman" w:hAnsi="Times New Roman" w:cs="Times New Roman" w:eastAsiaTheme="minorEastAsia"/>
          <w:color w:val="auto"/>
          <w:lang w:eastAsia="zh-CN"/>
        </w:rPr>
        <w:t>、位置</w:t>
      </w:r>
      <w:r>
        <w:rPr>
          <w:rFonts w:hint="default" w:ascii="Times New Roman" w:hAnsi="Times New Roman" w:cs="Times New Roman" w:eastAsiaTheme="minorEastAsia"/>
          <w:color w:val="auto"/>
          <w:lang w:eastAsia="zh-CN"/>
        </w:rPr>
        <w:t>发生变化，城市建成区面积、位置发生变化，</w:t>
      </w:r>
      <w:r>
        <w:rPr>
          <w:rFonts w:hint="default" w:ascii="Times New Roman" w:hAnsi="Times New Roman" w:cs="Times New Roman" w:eastAsiaTheme="minorEastAsia"/>
          <w:color w:val="auto"/>
          <w:sz w:val="24"/>
          <w:szCs w:val="24"/>
          <w:lang w:eastAsia="zh-CN"/>
        </w:rPr>
        <w:t>现行声环境功能区划与相关规划不一致，且即将超过</w:t>
      </w:r>
      <w:r>
        <w:rPr>
          <w:rFonts w:hint="default" w:ascii="Times New Roman" w:hAnsi="Times New Roman" w:cs="Times New Roman" w:eastAsiaTheme="minorEastAsia"/>
          <w:color w:val="auto"/>
          <w:sz w:val="24"/>
          <w:szCs w:val="24"/>
          <w:lang w:val="en-US" w:eastAsia="zh-CN"/>
        </w:rPr>
        <w:t>规划期限，有必要对</w:t>
      </w:r>
      <w:r>
        <w:rPr>
          <w:rFonts w:hint="default" w:ascii="Times New Roman" w:hAnsi="Times New Roman" w:cs="Times New Roman" w:eastAsiaTheme="minorEastAsia"/>
          <w:color w:val="auto"/>
          <w:sz w:val="24"/>
          <w:szCs w:val="24"/>
          <w:lang w:eastAsia="zh-CN"/>
        </w:rPr>
        <w:t>声环境功能区划进行调整。</w:t>
      </w:r>
    </w:p>
    <w:p>
      <w:pPr>
        <w:rPr>
          <w:rFonts w:hint="default" w:ascii="Times New Roman" w:hAnsi="Times New Roman" w:cs="Times New Roman" w:eastAsiaTheme="minorEastAsia"/>
          <w:color w:val="auto"/>
          <w:sz w:val="24"/>
          <w:szCs w:val="24"/>
          <w:lang w:eastAsia="zh-CN"/>
        </w:rPr>
      </w:pPr>
    </w:p>
    <w:p>
      <w:pPr>
        <w:rPr>
          <w:rFonts w:hint="default" w:ascii="Times New Roman" w:hAnsi="Times New Roman" w:cs="Times New Roman" w:eastAsiaTheme="minorEastAsia"/>
          <w:color w:val="auto"/>
          <w:sz w:val="24"/>
          <w:szCs w:val="24"/>
          <w:lang w:eastAsia="zh-CN"/>
        </w:rPr>
      </w:pPr>
    </w:p>
    <w:p>
      <w:pPr>
        <w:rPr>
          <w:rFonts w:hint="default" w:ascii="Times New Roman" w:hAnsi="Times New Roman" w:cs="Times New Roman" w:eastAsiaTheme="minorEastAsia"/>
          <w:color w:val="auto"/>
          <w:sz w:val="24"/>
          <w:szCs w:val="24"/>
          <w:lang w:eastAsia="zh-CN"/>
        </w:rPr>
      </w:pPr>
    </w:p>
    <w:p>
      <w:pPr>
        <w:rPr>
          <w:rFonts w:hint="default" w:ascii="Times New Roman" w:hAnsi="Times New Roman" w:cs="Times New Roman" w:eastAsiaTheme="minorEastAsia"/>
          <w:color w:val="auto"/>
          <w:sz w:val="24"/>
          <w:szCs w:val="24"/>
          <w:lang w:eastAsia="zh-CN"/>
        </w:rPr>
      </w:pPr>
    </w:p>
    <w:p>
      <w:pPr>
        <w:rPr>
          <w:rFonts w:hint="default" w:ascii="Times New Roman" w:hAnsi="Times New Roman" w:cs="Times New Roman" w:eastAsiaTheme="minorEastAsia"/>
          <w:color w:val="auto"/>
          <w:sz w:val="24"/>
          <w:szCs w:val="24"/>
          <w:lang w:eastAsia="zh-CN"/>
        </w:rPr>
      </w:pPr>
    </w:p>
    <w:p>
      <w:pPr>
        <w:rPr>
          <w:rFonts w:hint="default" w:ascii="Times New Roman" w:hAnsi="Times New Roman" w:cs="Times New Roman" w:eastAsiaTheme="minorEastAsia"/>
          <w:color w:val="auto"/>
          <w:sz w:val="24"/>
          <w:szCs w:val="24"/>
          <w:lang w:eastAsia="zh-CN"/>
        </w:rPr>
      </w:pPr>
    </w:p>
    <w:p>
      <w:pPr>
        <w:rPr>
          <w:rFonts w:hint="default" w:ascii="Times New Roman" w:hAnsi="Times New Roman" w:cs="Times New Roman" w:eastAsiaTheme="minorEastAsia"/>
          <w:color w:val="auto"/>
          <w:sz w:val="24"/>
          <w:szCs w:val="24"/>
          <w:lang w:eastAsia="zh-CN"/>
        </w:rPr>
      </w:pPr>
    </w:p>
    <w:p>
      <w:pPr>
        <w:rPr>
          <w:rFonts w:hint="default" w:ascii="Times New Roman" w:hAnsi="Times New Roman" w:cs="Times New Roman" w:eastAsiaTheme="minorEastAsia"/>
          <w:color w:val="auto"/>
          <w:sz w:val="24"/>
          <w:szCs w:val="24"/>
          <w:lang w:eastAsia="zh-CN"/>
        </w:rPr>
      </w:pPr>
    </w:p>
    <w:p>
      <w:pPr>
        <w:rPr>
          <w:rFonts w:hint="default" w:ascii="Times New Roman" w:hAnsi="Times New Roman" w:cs="Times New Roman" w:eastAsiaTheme="minorEastAsia"/>
          <w:color w:val="auto"/>
          <w:sz w:val="24"/>
          <w:szCs w:val="24"/>
          <w:lang w:eastAsia="zh-CN"/>
        </w:rPr>
      </w:pPr>
    </w:p>
    <w:p>
      <w:pPr>
        <w:rPr>
          <w:rFonts w:hint="default" w:ascii="Times New Roman" w:hAnsi="Times New Roman" w:cs="Times New Roman" w:eastAsiaTheme="minorEastAsia"/>
          <w:color w:val="auto"/>
          <w:sz w:val="24"/>
          <w:szCs w:val="24"/>
          <w:lang w:eastAsia="zh-CN"/>
        </w:rPr>
      </w:pPr>
    </w:p>
    <w:p>
      <w:pPr>
        <w:rPr>
          <w:rFonts w:hint="default" w:ascii="Times New Roman" w:hAnsi="Times New Roman" w:cs="Times New Roman" w:eastAsiaTheme="minorEastAsia"/>
          <w:color w:val="auto"/>
          <w:sz w:val="24"/>
          <w:szCs w:val="24"/>
          <w:lang w:eastAsia="zh-CN"/>
        </w:rPr>
      </w:pPr>
    </w:p>
    <w:p>
      <w:pPr>
        <w:rPr>
          <w:rFonts w:hint="default" w:ascii="Times New Roman" w:hAnsi="Times New Roman" w:cs="Times New Roman" w:eastAsiaTheme="minorEastAsia"/>
          <w:color w:val="auto"/>
          <w:sz w:val="24"/>
          <w:szCs w:val="24"/>
          <w:lang w:eastAsia="zh-CN"/>
        </w:rPr>
      </w:pPr>
    </w:p>
    <w:p>
      <w:pPr>
        <w:rPr>
          <w:rFonts w:hint="default" w:ascii="Times New Roman" w:hAnsi="Times New Roman" w:cs="Times New Roman" w:eastAsiaTheme="minorEastAsia"/>
          <w:color w:val="auto"/>
          <w:sz w:val="24"/>
          <w:szCs w:val="24"/>
          <w:lang w:eastAsia="zh-CN"/>
        </w:rPr>
      </w:pPr>
    </w:p>
    <w:p>
      <w:pPr>
        <w:rPr>
          <w:rFonts w:hint="default" w:ascii="Times New Roman" w:hAnsi="Times New Roman" w:cs="Times New Roman" w:eastAsiaTheme="minorEastAsia"/>
          <w:color w:val="auto"/>
          <w:sz w:val="24"/>
          <w:szCs w:val="24"/>
          <w:lang w:eastAsia="zh-CN"/>
        </w:rPr>
      </w:pPr>
    </w:p>
    <w:p>
      <w:pPr>
        <w:rPr>
          <w:rFonts w:hint="default" w:ascii="Times New Roman" w:hAnsi="Times New Roman" w:cs="Times New Roman" w:eastAsiaTheme="minorEastAsia"/>
          <w:color w:val="auto"/>
          <w:sz w:val="24"/>
          <w:szCs w:val="24"/>
          <w:lang w:eastAsia="zh-CN"/>
        </w:rPr>
      </w:pPr>
    </w:p>
    <w:p>
      <w:pPr>
        <w:rPr>
          <w:rFonts w:hint="default" w:ascii="Times New Roman" w:hAnsi="Times New Roman" w:cs="Times New Roman" w:eastAsiaTheme="minorEastAsia"/>
          <w:color w:val="auto"/>
          <w:sz w:val="24"/>
          <w:szCs w:val="24"/>
          <w:lang w:eastAsia="zh-CN"/>
        </w:rPr>
      </w:pPr>
    </w:p>
    <w:p>
      <w:pPr>
        <w:rPr>
          <w:rFonts w:hint="default" w:ascii="Times New Roman" w:hAnsi="Times New Roman" w:cs="Times New Roman" w:eastAsiaTheme="minorEastAsia"/>
          <w:color w:val="auto"/>
          <w:sz w:val="24"/>
          <w:szCs w:val="24"/>
          <w:lang w:eastAsia="zh-CN"/>
        </w:rPr>
      </w:pPr>
    </w:p>
    <w:p>
      <w:pPr>
        <w:rPr>
          <w:rFonts w:hint="default" w:ascii="Times New Roman" w:hAnsi="Times New Roman" w:cs="Times New Roman" w:eastAsiaTheme="minorEastAsia"/>
          <w:color w:val="auto"/>
          <w:sz w:val="24"/>
          <w:szCs w:val="24"/>
          <w:lang w:eastAsia="zh-CN"/>
        </w:rPr>
      </w:pPr>
    </w:p>
    <w:p>
      <w:pPr>
        <w:rPr>
          <w:rFonts w:hint="default" w:ascii="Times New Roman" w:hAnsi="Times New Roman" w:cs="Times New Roman" w:eastAsiaTheme="minorEastAsia"/>
          <w:color w:val="auto"/>
          <w:sz w:val="24"/>
          <w:szCs w:val="24"/>
          <w:lang w:eastAsia="zh-CN"/>
        </w:rPr>
      </w:pPr>
    </w:p>
    <w:p>
      <w:pPr>
        <w:rPr>
          <w:rFonts w:hint="default" w:ascii="Times New Roman" w:hAnsi="Times New Roman" w:cs="Times New Roman" w:eastAsiaTheme="minorEastAsia"/>
          <w:color w:val="auto"/>
          <w:sz w:val="24"/>
          <w:szCs w:val="24"/>
          <w:lang w:val="en-US" w:eastAsia="zh-CN"/>
        </w:rPr>
      </w:pPr>
    </w:p>
    <w:p>
      <w:pPr>
        <w:pStyle w:val="2"/>
        <w:keepNext/>
        <w:keepLines/>
        <w:pageBreakBefore w:val="0"/>
        <w:widowControl w:val="0"/>
        <w:numPr>
          <w:ilvl w:val="0"/>
          <w:numId w:val="0"/>
        </w:numPr>
        <w:kinsoku/>
        <w:wordWrap/>
        <w:overflowPunct/>
        <w:topLinePunct w:val="0"/>
        <w:autoSpaceDE/>
        <w:autoSpaceDN/>
        <w:bidi w:val="0"/>
        <w:adjustRightInd/>
        <w:snapToGrid/>
        <w:spacing w:before="0" w:beforeLines="0" w:line="360" w:lineRule="auto"/>
        <w:ind w:leftChars="0"/>
        <w:jc w:val="both"/>
        <w:textAlignment w:val="auto"/>
        <w:rPr>
          <w:rFonts w:hint="default" w:ascii="Times New Roman" w:hAnsi="Times New Roman" w:cs="Times New Roman" w:eastAsiaTheme="minorEastAsia"/>
          <w:color w:val="auto"/>
          <w:sz w:val="32"/>
          <w:szCs w:val="32"/>
          <w:highlight w:val="none"/>
          <w:lang w:val="en-US" w:eastAsia="zh-CN"/>
        </w:rPr>
      </w:pPr>
      <w:bookmarkStart w:id="15" w:name="_Toc10314"/>
      <w:r>
        <w:rPr>
          <w:rFonts w:hint="eastAsia" w:cs="Times New Roman" w:eastAsiaTheme="minorEastAsia"/>
          <w:color w:val="auto"/>
          <w:sz w:val="32"/>
          <w:szCs w:val="32"/>
          <w:highlight w:val="none"/>
          <w:lang w:val="en-US" w:eastAsia="zh-CN"/>
        </w:rPr>
        <w:t>4</w:t>
      </w:r>
      <w:r>
        <w:rPr>
          <w:rFonts w:hint="default" w:ascii="Times New Roman" w:hAnsi="Times New Roman" w:cs="Times New Roman" w:eastAsiaTheme="minorEastAsia"/>
          <w:color w:val="auto"/>
          <w:sz w:val="32"/>
          <w:szCs w:val="32"/>
          <w:highlight w:val="none"/>
          <w:lang w:val="en-US" w:eastAsia="zh-CN"/>
        </w:rPr>
        <w:t>城市噪声环境现状调查与分析</w:t>
      </w:r>
      <w:bookmarkEnd w:id="15"/>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default" w:cs="Times New Roman" w:eastAsiaTheme="minorEastAsia"/>
          <w:color w:val="auto"/>
          <w:sz w:val="30"/>
          <w:szCs w:val="30"/>
          <w:highlight w:val="none"/>
          <w:lang w:val="en-US" w:eastAsia="zh-CN"/>
        </w:rPr>
      </w:pPr>
      <w:bookmarkStart w:id="16" w:name="_Toc14913"/>
      <w:r>
        <w:rPr>
          <w:rFonts w:hint="eastAsia" w:cs="Times New Roman" w:eastAsiaTheme="minorEastAsia"/>
          <w:color w:val="auto"/>
          <w:sz w:val="30"/>
          <w:szCs w:val="30"/>
          <w:highlight w:val="none"/>
          <w:lang w:val="en-US" w:eastAsia="zh-CN"/>
        </w:rPr>
        <w:t>4.1</w:t>
      </w:r>
      <w:r>
        <w:rPr>
          <w:rFonts w:hint="default" w:cs="Times New Roman" w:eastAsiaTheme="minorEastAsia"/>
          <w:color w:val="auto"/>
          <w:sz w:val="30"/>
          <w:szCs w:val="30"/>
          <w:highlight w:val="none"/>
          <w:lang w:val="en-US" w:eastAsia="zh-CN"/>
        </w:rPr>
        <w:t>现状调查的目的</w:t>
      </w:r>
      <w:bookmarkEnd w:id="16"/>
    </w:p>
    <w:p>
      <w:pPr>
        <w:snapToGrid w:val="0"/>
        <w:ind w:firstLine="560"/>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通过收集曲沃县区域环境噪声及道路交通噪声的例行监测资料</w:t>
      </w:r>
      <w:r>
        <w:rPr>
          <w:rFonts w:hint="eastAsia" w:ascii="Times New Roman" w:hAnsi="Times New Roman" w:cs="Times New Roman" w:eastAsiaTheme="minorEastAsia"/>
          <w:color w:val="auto"/>
          <w:sz w:val="24"/>
          <w:szCs w:val="24"/>
          <w:lang w:eastAsia="zh-CN"/>
        </w:rPr>
        <w:t>、历史监测资料</w:t>
      </w:r>
      <w:r>
        <w:rPr>
          <w:rFonts w:hint="default" w:ascii="Times New Roman" w:hAnsi="Times New Roman" w:cs="Times New Roman" w:eastAsiaTheme="minorEastAsia"/>
          <w:color w:val="auto"/>
          <w:sz w:val="24"/>
          <w:szCs w:val="24"/>
        </w:rPr>
        <w:t>，了解整个区域的环境噪声、道路交通噪声现状及噪声污染控制程度，可分析城市声环境质量的年度变化规律和变化趋势。</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default" w:cs="Times New Roman" w:eastAsiaTheme="minorEastAsia"/>
          <w:color w:val="auto"/>
          <w:sz w:val="30"/>
          <w:szCs w:val="30"/>
          <w:highlight w:val="none"/>
          <w:lang w:val="en-US" w:eastAsia="zh-CN"/>
        </w:rPr>
      </w:pPr>
      <w:bookmarkStart w:id="17" w:name="_Toc9391"/>
      <w:r>
        <w:rPr>
          <w:rFonts w:hint="eastAsia" w:cs="Times New Roman" w:eastAsiaTheme="minorEastAsia"/>
          <w:color w:val="auto"/>
          <w:sz w:val="30"/>
          <w:szCs w:val="30"/>
          <w:highlight w:val="none"/>
          <w:lang w:val="en-US" w:eastAsia="zh-CN"/>
        </w:rPr>
        <w:t>4.2现状调查资料来源</w:t>
      </w:r>
      <w:bookmarkEnd w:id="17"/>
    </w:p>
    <w:p>
      <w:pPr>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本次声环境功能区划分声环境现状资料为2020年11月3日至11月7日、11月9日至11月13</w:t>
      </w:r>
      <w:r>
        <w:rPr>
          <w:rFonts w:hint="default" w:ascii="Times New Roman" w:hAnsi="Times New Roman" w:cs="Times New Roman" w:eastAsiaTheme="minorEastAsia"/>
          <w:color w:val="auto"/>
          <w:sz w:val="24"/>
          <w:szCs w:val="24"/>
          <w:lang w:val="en-US" w:eastAsia="zh-CN"/>
        </w:rPr>
        <w:t>日的区域监测数据和交通监测数据</w:t>
      </w:r>
      <w:r>
        <w:rPr>
          <w:rFonts w:hint="default" w:ascii="Times New Roman" w:hAnsi="Times New Roman" w:cs="Times New Roman" w:eastAsiaTheme="minorEastAsia"/>
          <w:color w:val="auto"/>
          <w:sz w:val="24"/>
          <w:szCs w:val="24"/>
        </w:rPr>
        <w:t>。</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default" w:cs="Times New Roman" w:eastAsiaTheme="minorEastAsia"/>
          <w:color w:val="auto"/>
          <w:sz w:val="30"/>
          <w:szCs w:val="30"/>
          <w:highlight w:val="none"/>
          <w:lang w:val="en-US" w:eastAsia="zh-CN"/>
        </w:rPr>
      </w:pPr>
      <w:bookmarkStart w:id="18" w:name="_Toc14235"/>
      <w:r>
        <w:rPr>
          <w:rFonts w:hint="eastAsia" w:cs="Times New Roman" w:eastAsiaTheme="minorEastAsia"/>
          <w:color w:val="auto"/>
          <w:sz w:val="30"/>
          <w:szCs w:val="30"/>
          <w:highlight w:val="none"/>
          <w:lang w:val="en-US" w:eastAsia="zh-CN"/>
        </w:rPr>
        <w:t>4.2</w:t>
      </w:r>
      <w:r>
        <w:rPr>
          <w:rFonts w:hint="default" w:cs="Times New Roman" w:eastAsiaTheme="minorEastAsia"/>
          <w:color w:val="auto"/>
          <w:sz w:val="30"/>
          <w:szCs w:val="30"/>
          <w:highlight w:val="none"/>
          <w:lang w:val="en-US" w:eastAsia="zh-CN"/>
        </w:rPr>
        <w:t>区域环境噪声现状监测</w:t>
      </w:r>
      <w:bookmarkEnd w:id="18"/>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eastAsia" w:ascii="Times New Roman" w:hAnsi="Times New Roman" w:cs="Times New Roman" w:eastAsiaTheme="minorEastAsia"/>
          <w:color w:val="auto"/>
          <w:sz w:val="28"/>
          <w:szCs w:val="28"/>
          <w:lang w:val="en-US" w:eastAsia="zh-CN"/>
        </w:rPr>
        <w:t>4.2.1</w:t>
      </w:r>
      <w:r>
        <w:rPr>
          <w:rFonts w:hint="default" w:ascii="Times New Roman" w:hAnsi="Times New Roman" w:cs="Times New Roman" w:eastAsiaTheme="minorEastAsia"/>
          <w:color w:val="auto"/>
          <w:sz w:val="28"/>
          <w:szCs w:val="28"/>
          <w:lang w:val="en-US" w:eastAsia="zh-CN"/>
        </w:rPr>
        <w:t>区域监测点位设置</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 w:val="24"/>
          <w:szCs w:val="24"/>
          <w:lang w:val="en-US" w:eastAsia="zh-CN"/>
        </w:rPr>
        <w:t>（1）点位布设原则</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按照《声环境质量标准》（GB3096-2008）附录B中声环境质量功能区普查监测方法，确定本次声环境监测原则是：将整个城市划分成多个等大的正方形网格，对于未连成片的建设区，正方形网格可以不衔接。网格中水面面积为100%或非建成区面积大于50%的网格为无效网格。整个城市建成区有效网格总数应大于100个。</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在每个网格的中心布设1个监测点位，若网格中心点不易测量（如水面、禁区等），应将监测点位移到距离中心点最近的可测量位置进行测量。测点位置要符合《声环境质量标准》（GB3096-2008）中测点一般选择户外的要求。监测点位高度距离地面1.2</w:t>
      </w:r>
      <w:r>
        <w:rPr>
          <w:rFonts w:hint="eastAsia" w:cs="Times New Roman" w:eastAsiaTheme="minorEastAsia"/>
          <w:color w:val="auto"/>
          <w:sz w:val="24"/>
          <w:szCs w:val="24"/>
          <w:lang w:val="en-US" w:eastAsia="zh-CN"/>
        </w:rPr>
        <w:t>~6</w:t>
      </w:r>
      <w:r>
        <w:rPr>
          <w:rFonts w:hint="default" w:ascii="Times New Roman" w:hAnsi="Times New Roman" w:cs="Times New Roman" w:eastAsiaTheme="minorEastAsia"/>
          <w:color w:val="auto"/>
          <w:sz w:val="24"/>
          <w:szCs w:val="24"/>
        </w:rPr>
        <w:t>.0m。</w:t>
      </w:r>
    </w:p>
    <w:p>
      <w:pPr>
        <w:pStyle w:val="23"/>
        <w:keepNext w:val="0"/>
        <w:keepLines w:val="0"/>
        <w:pageBreakBefore w:val="0"/>
        <w:widowControl w:val="0"/>
        <w:kinsoku/>
        <w:wordWrap/>
        <w:overflowPunct/>
        <w:topLinePunct w:val="0"/>
        <w:autoSpaceDE/>
        <w:autoSpaceDN/>
        <w:bidi w:val="0"/>
        <w:adjustRightInd/>
        <w:snapToGrid/>
        <w:textAlignment w:val="auto"/>
        <w:rPr>
          <w:rFonts w:hint="eastAsia" w:eastAsiaTheme="minorEastAsia"/>
          <w:color w:val="auto"/>
          <w:sz w:val="24"/>
          <w:szCs w:val="24"/>
          <w:lang w:eastAsia="zh-CN"/>
        </w:rPr>
      </w:pPr>
      <w:r>
        <w:rPr>
          <w:rFonts w:hint="eastAsia" w:ascii="Times New Roman" w:hAnsi="Times New Roman" w:cs="Times New Roman" w:eastAsiaTheme="minorEastAsia"/>
          <w:color w:val="auto"/>
          <w:sz w:val="24"/>
          <w:szCs w:val="24"/>
          <w:lang w:eastAsia="zh-CN"/>
        </w:rPr>
        <w:t>（</w:t>
      </w:r>
      <w:r>
        <w:rPr>
          <w:rFonts w:hint="eastAsia" w:ascii="Times New Roman" w:hAnsi="Times New Roman" w:cs="Times New Roman" w:eastAsiaTheme="minorEastAsia"/>
          <w:color w:val="auto"/>
          <w:sz w:val="24"/>
          <w:szCs w:val="24"/>
          <w:lang w:val="en-US" w:eastAsia="zh-CN"/>
        </w:rPr>
        <w:t>2</w:t>
      </w:r>
      <w:r>
        <w:rPr>
          <w:rFonts w:hint="eastAsia" w:ascii="Times New Roman" w:hAnsi="Times New Roman" w:cs="Times New Roman" w:eastAsiaTheme="minorEastAsia"/>
          <w:color w:val="auto"/>
          <w:sz w:val="24"/>
          <w:szCs w:val="24"/>
          <w:lang w:eastAsia="zh-CN"/>
        </w:rPr>
        <w:t>）区域监测点位设置情况</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0000FF"/>
          <w:sz w:val="24"/>
          <w:szCs w:val="24"/>
          <w:highlight w:val="red"/>
        </w:rPr>
      </w:pPr>
      <w:r>
        <w:rPr>
          <w:rFonts w:hint="eastAsia" w:ascii="Times New Roman" w:hAnsi="Times New Roman" w:cs="Times New Roman" w:eastAsiaTheme="minorEastAsia"/>
          <w:color w:val="auto"/>
          <w:sz w:val="24"/>
          <w:szCs w:val="24"/>
          <w:lang w:eastAsia="zh-CN"/>
        </w:rPr>
        <w:t>结合现行声环境功能区划布点</w:t>
      </w:r>
      <w:r>
        <w:rPr>
          <w:rFonts w:hint="eastAsia"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采用直角坐标网格体系，对现有建成区进行监测布点，在遥感影像图上将曲沃县建成区分成</w:t>
      </w:r>
      <w:r>
        <w:rPr>
          <w:rFonts w:hint="eastAsia" w:ascii="Times New Roman" w:hAnsi="Times New Roman" w:cs="Times New Roman" w:eastAsiaTheme="minorEastAsia"/>
          <w:color w:val="auto"/>
          <w:sz w:val="24"/>
          <w:szCs w:val="24"/>
          <w:lang w:val="en-US" w:eastAsia="zh-CN"/>
        </w:rPr>
        <w:t>280</w:t>
      </w:r>
      <w:r>
        <w:rPr>
          <w:rFonts w:hint="default" w:ascii="Times New Roman" w:hAnsi="Times New Roman" w:cs="Times New Roman" w:eastAsiaTheme="minorEastAsia"/>
          <w:color w:val="auto"/>
          <w:sz w:val="24"/>
          <w:szCs w:val="24"/>
        </w:rPr>
        <w:t>m×</w:t>
      </w:r>
      <w:r>
        <w:rPr>
          <w:rFonts w:hint="eastAsia" w:ascii="Times New Roman" w:hAnsi="Times New Roman" w:cs="Times New Roman" w:eastAsiaTheme="minorEastAsia"/>
          <w:color w:val="auto"/>
          <w:sz w:val="24"/>
          <w:szCs w:val="24"/>
          <w:lang w:val="en-US" w:eastAsia="zh-CN"/>
        </w:rPr>
        <w:t>28</w:t>
      </w:r>
      <w:r>
        <w:rPr>
          <w:rFonts w:hint="default" w:ascii="Times New Roman" w:hAnsi="Times New Roman" w:cs="Times New Roman" w:eastAsiaTheme="minorEastAsia"/>
          <w:color w:val="auto"/>
          <w:sz w:val="24"/>
          <w:szCs w:val="24"/>
        </w:rPr>
        <w:t>0m等距离的网格</w:t>
      </w:r>
      <w:r>
        <w:rPr>
          <w:rFonts w:hint="eastAsia" w:cs="Times New Roman" w:eastAsiaTheme="minorEastAsia"/>
          <w:color w:val="auto"/>
          <w:sz w:val="24"/>
          <w:szCs w:val="24"/>
          <w:lang w:eastAsia="zh-CN"/>
        </w:rPr>
        <w:t>（网格间距、位置与</w:t>
      </w:r>
      <w:r>
        <w:rPr>
          <w:rFonts w:hint="eastAsia" w:ascii="Times New Roman" w:hAnsi="Times New Roman" w:cs="Times New Roman" w:eastAsiaTheme="minorEastAsia"/>
          <w:color w:val="auto"/>
          <w:sz w:val="24"/>
          <w:szCs w:val="24"/>
          <w:lang w:eastAsia="zh-CN"/>
        </w:rPr>
        <w:t>现行声环境功能区划</w:t>
      </w:r>
      <w:r>
        <w:rPr>
          <w:rFonts w:hint="eastAsia" w:cs="Times New Roman" w:eastAsiaTheme="minorEastAsia"/>
          <w:color w:val="auto"/>
          <w:sz w:val="24"/>
          <w:szCs w:val="24"/>
          <w:lang w:eastAsia="zh-CN"/>
        </w:rPr>
        <w:t>一致）</w:t>
      </w:r>
      <w:r>
        <w:rPr>
          <w:rFonts w:hint="eastAsia" w:ascii="Times New Roman" w:hAnsi="Times New Roman" w:cs="Times New Roman" w:eastAsiaTheme="minorEastAsia"/>
          <w:color w:val="auto"/>
          <w:sz w:val="24"/>
          <w:szCs w:val="24"/>
          <w:lang w:eastAsia="zh-CN"/>
        </w:rPr>
        <w:t>，共</w:t>
      </w:r>
      <w:r>
        <w:rPr>
          <w:rFonts w:hint="default" w:ascii="Times New Roman" w:hAnsi="Times New Roman" w:cs="Times New Roman" w:eastAsiaTheme="minorEastAsia"/>
          <w:color w:val="auto"/>
          <w:sz w:val="24"/>
          <w:szCs w:val="24"/>
        </w:rPr>
        <w:t>划分为</w:t>
      </w:r>
      <w:r>
        <w:rPr>
          <w:rFonts w:hint="eastAsia" w:cs="Times New Roman" w:eastAsiaTheme="minorEastAsia"/>
          <w:color w:val="auto"/>
          <w:sz w:val="24"/>
          <w:szCs w:val="24"/>
          <w:lang w:val="en-US" w:eastAsia="zh-CN"/>
        </w:rPr>
        <w:t>133</w:t>
      </w:r>
      <w:r>
        <w:rPr>
          <w:rFonts w:hint="default" w:ascii="Times New Roman" w:hAnsi="Times New Roman" w:cs="Times New Roman" w:eastAsiaTheme="minorEastAsia"/>
          <w:color w:val="auto"/>
          <w:sz w:val="24"/>
          <w:szCs w:val="24"/>
        </w:rPr>
        <w:t>个网格，其中，有效点位</w:t>
      </w:r>
      <w:r>
        <w:rPr>
          <w:rFonts w:hint="default" w:ascii="Times New Roman" w:hAnsi="Times New Roman" w:cs="Times New Roman" w:eastAsiaTheme="minorEastAsia"/>
          <w:color w:val="auto"/>
          <w:sz w:val="24"/>
          <w:szCs w:val="24"/>
          <w:lang w:val="en-US" w:eastAsia="zh-CN"/>
        </w:rPr>
        <w:t>1</w:t>
      </w:r>
      <w:r>
        <w:rPr>
          <w:rFonts w:hint="eastAsia" w:cs="Times New Roman" w:eastAsiaTheme="minorEastAsia"/>
          <w:color w:val="auto"/>
          <w:sz w:val="24"/>
          <w:szCs w:val="24"/>
          <w:lang w:val="en-US" w:eastAsia="zh-CN"/>
        </w:rPr>
        <w:t>10</w:t>
      </w:r>
      <w:r>
        <w:rPr>
          <w:rFonts w:hint="default" w:ascii="Times New Roman" w:hAnsi="Times New Roman" w:cs="Times New Roman" w:eastAsiaTheme="minorEastAsia"/>
          <w:color w:val="auto"/>
          <w:sz w:val="24"/>
          <w:szCs w:val="24"/>
        </w:rPr>
        <w:t>个</w:t>
      </w:r>
      <w:r>
        <w:rPr>
          <w:rFonts w:hint="default" w:ascii="Times New Roman" w:hAnsi="Times New Roman" w:cs="Times New Roman" w:eastAsiaTheme="minorEastAsia"/>
          <w:color w:val="auto"/>
          <w:sz w:val="24"/>
          <w:szCs w:val="24"/>
          <w:highlight w:val="none"/>
        </w:rPr>
        <w:t>，覆盖面积</w:t>
      </w:r>
      <w:r>
        <w:rPr>
          <w:rFonts w:hint="eastAsia" w:cs="Times New Roman" w:eastAsiaTheme="minorEastAsia"/>
          <w:color w:val="auto"/>
          <w:sz w:val="24"/>
          <w:szCs w:val="24"/>
          <w:highlight w:val="none"/>
          <w:lang w:val="en-US" w:eastAsia="zh-CN"/>
        </w:rPr>
        <w:t>8.62km</w:t>
      </w:r>
      <w:r>
        <w:rPr>
          <w:rFonts w:hint="eastAsia" w:cs="Times New Roman" w:eastAsiaTheme="minorEastAsia"/>
          <w:color w:val="auto"/>
          <w:sz w:val="24"/>
          <w:szCs w:val="24"/>
          <w:highlight w:val="none"/>
          <w:vertAlign w:val="superscript"/>
          <w:lang w:val="en-US" w:eastAsia="zh-CN"/>
        </w:rPr>
        <w:t>2</w:t>
      </w:r>
      <w:r>
        <w:rPr>
          <w:rFonts w:hint="default" w:ascii="Times New Roman" w:hAnsi="Times New Roman" w:cs="Times New Roman" w:eastAsiaTheme="minorEastAsia"/>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rPr>
        <w:t>根据现场踏勘发现，</w:t>
      </w:r>
      <w:r>
        <w:rPr>
          <w:rFonts w:hint="eastAsia" w:ascii="Times New Roman" w:hAnsi="Times New Roman" w:cs="Times New Roman" w:eastAsiaTheme="minorEastAsia"/>
          <w:color w:val="auto"/>
          <w:sz w:val="24"/>
          <w:szCs w:val="24"/>
          <w:lang w:eastAsia="zh-CN"/>
        </w:rPr>
        <w:t>结合现有建成区现状、调整后的城市规划范围，对原有有效网格进行了筛选，剔除了不符合要求的无效网格、不在城市规划范围内的网格（城市规划范围于</w:t>
      </w:r>
      <w:r>
        <w:rPr>
          <w:rFonts w:hint="eastAsia" w:ascii="Times New Roman" w:hAnsi="Times New Roman" w:cs="Times New Roman" w:eastAsiaTheme="minorEastAsia"/>
          <w:color w:val="auto"/>
          <w:sz w:val="24"/>
          <w:szCs w:val="24"/>
          <w:lang w:val="en-US" w:eastAsia="zh-CN"/>
        </w:rPr>
        <w:t>2016年进行了</w:t>
      </w:r>
      <w:r>
        <w:rPr>
          <w:rFonts w:hint="eastAsia" w:ascii="Times New Roman" w:hAnsi="Times New Roman" w:cs="Times New Roman" w:eastAsiaTheme="minorEastAsia"/>
          <w:color w:val="auto"/>
          <w:sz w:val="24"/>
          <w:szCs w:val="24"/>
          <w:lang w:eastAsia="zh-CN"/>
        </w:rPr>
        <w:t>调整）；增设了近年来新增建成区的有效网格、新增规划面积内的有效网格。</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网格分布情况见</w:t>
      </w:r>
      <w:r>
        <w:rPr>
          <w:rFonts w:hint="eastAsia" w:cs="Times New Roman" w:eastAsiaTheme="minorEastAsia"/>
          <w:color w:val="auto"/>
          <w:sz w:val="24"/>
          <w:szCs w:val="24"/>
          <w:lang w:val="en-US" w:eastAsia="zh-CN"/>
        </w:rPr>
        <w:t>下</w:t>
      </w:r>
      <w:r>
        <w:rPr>
          <w:rFonts w:hint="default" w:ascii="Times New Roman" w:hAnsi="Times New Roman" w:cs="Times New Roman" w:eastAsiaTheme="minorEastAsia"/>
          <w:color w:val="auto"/>
          <w:sz w:val="24"/>
          <w:szCs w:val="24"/>
          <w:lang w:val="en-US" w:eastAsia="zh-CN"/>
        </w:rPr>
        <w:t>图</w:t>
      </w:r>
      <w:r>
        <w:rPr>
          <w:rFonts w:hint="eastAsia" w:ascii="Times New Roman" w:hAnsi="Times New Roman" w:cs="Times New Roman" w:eastAsiaTheme="minorEastAsia"/>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 w:val="24"/>
          <w:szCs w:val="24"/>
          <w:lang w:eastAsia="zh-CN"/>
        </w:rPr>
        <w:t>监测点位增设情况见表</w:t>
      </w:r>
      <w:r>
        <w:rPr>
          <w:rFonts w:hint="eastAsia" w:ascii="Times New Roman" w:hAnsi="Times New Roman" w:cs="Times New Roman" w:eastAsiaTheme="minorEastAsia"/>
          <w:color w:val="auto"/>
          <w:sz w:val="24"/>
          <w:szCs w:val="24"/>
          <w:lang w:val="en-US" w:eastAsia="zh-CN"/>
        </w:rPr>
        <w:t>4-1。</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表</w:t>
      </w:r>
      <w:r>
        <w:rPr>
          <w:rFonts w:hint="default" w:ascii="Times New Roman" w:hAnsi="Times New Roman" w:cs="Times New Roman" w:eastAsiaTheme="minorEastAsia"/>
          <w:b/>
          <w:bCs/>
          <w:color w:val="auto"/>
          <w:sz w:val="21"/>
          <w:szCs w:val="21"/>
          <w:lang w:val="en-US" w:eastAsia="zh-CN"/>
        </w:rPr>
        <w:t xml:space="preserve">4-1  </w:t>
      </w:r>
      <w:r>
        <w:rPr>
          <w:rFonts w:hint="default" w:ascii="Times New Roman" w:hAnsi="Times New Roman" w:cs="Times New Roman" w:eastAsiaTheme="minorEastAsia"/>
          <w:b/>
          <w:bCs/>
          <w:color w:val="auto"/>
          <w:sz w:val="21"/>
          <w:szCs w:val="21"/>
        </w:rPr>
        <w:t>监测点位增删情况</w:t>
      </w:r>
    </w:p>
    <w:tbl>
      <w:tblPr>
        <w:tblStyle w:val="24"/>
        <w:tblW w:w="8528"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500"/>
        <w:gridCol w:w="2631"/>
        <w:gridCol w:w="1163"/>
        <w:gridCol w:w="3285"/>
        <w:gridCol w:w="949"/>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50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编号</w:t>
            </w:r>
          </w:p>
        </w:tc>
        <w:tc>
          <w:tcPr>
            <w:tcW w:w="2631"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监测点编号</w:t>
            </w:r>
          </w:p>
        </w:tc>
        <w:tc>
          <w:tcPr>
            <w:tcW w:w="116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增删情况</w:t>
            </w:r>
          </w:p>
        </w:tc>
        <w:tc>
          <w:tcPr>
            <w:tcW w:w="3285"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增删原因</w:t>
            </w:r>
          </w:p>
        </w:tc>
        <w:tc>
          <w:tcPr>
            <w:tcW w:w="949"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备注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50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w:t>
            </w:r>
          </w:p>
        </w:tc>
        <w:tc>
          <w:tcPr>
            <w:tcW w:w="2631"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1-7、12</w:t>
            </w:r>
          </w:p>
        </w:tc>
        <w:tc>
          <w:tcPr>
            <w:tcW w:w="116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删除</w:t>
            </w:r>
          </w:p>
        </w:tc>
        <w:tc>
          <w:tcPr>
            <w:tcW w:w="3285"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eastAsia" w:cs="Times New Roman" w:eastAsiaTheme="minorEastAsia"/>
                <w:color w:val="auto"/>
                <w:sz w:val="21"/>
                <w:szCs w:val="21"/>
                <w:lang w:val="en-US" w:eastAsia="zh-CN"/>
              </w:rPr>
              <w:t>本次</w:t>
            </w:r>
            <w:r>
              <w:rPr>
                <w:rFonts w:hint="eastAsia" w:ascii="Times New Roman" w:hAnsi="Times New Roman" w:cs="Times New Roman" w:eastAsiaTheme="minorEastAsia"/>
                <w:color w:val="auto"/>
                <w:sz w:val="21"/>
                <w:szCs w:val="21"/>
                <w:lang w:eastAsia="zh-CN"/>
              </w:rPr>
              <w:t>城市规划范围调整，</w:t>
            </w:r>
            <w:r>
              <w:rPr>
                <w:rFonts w:hint="eastAsia" w:cs="Times New Roman" w:eastAsiaTheme="minorEastAsia"/>
                <w:color w:val="auto"/>
                <w:sz w:val="21"/>
                <w:szCs w:val="21"/>
                <w:lang w:val="en-US" w:eastAsia="zh-CN"/>
              </w:rPr>
              <w:t>这些点位</w:t>
            </w:r>
            <w:r>
              <w:rPr>
                <w:rFonts w:hint="eastAsia" w:ascii="Times New Roman" w:hAnsi="Times New Roman" w:cs="Times New Roman" w:eastAsiaTheme="minorEastAsia"/>
                <w:color w:val="auto"/>
                <w:sz w:val="21"/>
                <w:szCs w:val="21"/>
                <w:lang w:eastAsia="zh-CN"/>
              </w:rPr>
              <w:t>不在</w:t>
            </w:r>
            <w:r>
              <w:rPr>
                <w:rFonts w:hint="eastAsia" w:cs="Times New Roman" w:eastAsiaTheme="minorEastAsia"/>
                <w:color w:val="auto"/>
                <w:sz w:val="21"/>
                <w:szCs w:val="21"/>
                <w:lang w:val="en-US" w:eastAsia="zh-CN"/>
              </w:rPr>
              <w:t>本次</w:t>
            </w:r>
            <w:r>
              <w:rPr>
                <w:rFonts w:hint="eastAsia" w:ascii="Times New Roman" w:hAnsi="Times New Roman" w:cs="Times New Roman" w:eastAsiaTheme="minorEastAsia"/>
                <w:color w:val="auto"/>
                <w:sz w:val="21"/>
                <w:szCs w:val="21"/>
                <w:lang w:eastAsia="zh-CN"/>
              </w:rPr>
              <w:t>城市规划范围内</w:t>
            </w:r>
          </w:p>
        </w:tc>
        <w:tc>
          <w:tcPr>
            <w:tcW w:w="949" w:type="dxa"/>
            <w:vMerge w:val="restart"/>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本次延用上期监测点位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02" w:hRule="atLeast"/>
        </w:trPr>
        <w:tc>
          <w:tcPr>
            <w:tcW w:w="50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w:t>
            </w:r>
          </w:p>
        </w:tc>
        <w:tc>
          <w:tcPr>
            <w:tcW w:w="2631"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27</w:t>
            </w:r>
            <w:r>
              <w:rPr>
                <w:rFonts w:hint="eastAsia" w:cs="Times New Roman" w:eastAsiaTheme="minorEastAsia"/>
                <w:color w:val="auto"/>
                <w:sz w:val="21"/>
                <w:szCs w:val="21"/>
                <w:lang w:val="en-US" w:eastAsia="zh-CN"/>
              </w:rPr>
              <w:t>-</w:t>
            </w:r>
            <w:r>
              <w:rPr>
                <w:rFonts w:hint="eastAsia" w:ascii="Times New Roman" w:hAnsi="Times New Roman" w:cs="Times New Roman" w:eastAsiaTheme="minorEastAsia"/>
                <w:color w:val="auto"/>
                <w:sz w:val="21"/>
                <w:szCs w:val="21"/>
                <w:lang w:val="en-US" w:eastAsia="zh-CN"/>
              </w:rPr>
              <w:t>29、37</w:t>
            </w:r>
            <w:r>
              <w:rPr>
                <w:rFonts w:hint="eastAsia" w:cs="Times New Roman" w:eastAsiaTheme="minorEastAsia"/>
                <w:color w:val="auto"/>
                <w:sz w:val="21"/>
                <w:szCs w:val="21"/>
                <w:lang w:val="en-US" w:eastAsia="zh-CN"/>
              </w:rPr>
              <w:t>-</w:t>
            </w:r>
            <w:r>
              <w:rPr>
                <w:rFonts w:hint="eastAsia" w:ascii="Times New Roman" w:hAnsi="Times New Roman" w:cs="Times New Roman" w:eastAsiaTheme="minorEastAsia"/>
                <w:color w:val="auto"/>
                <w:sz w:val="21"/>
                <w:szCs w:val="21"/>
                <w:lang w:val="en-US" w:eastAsia="zh-CN"/>
              </w:rPr>
              <w:t>38</w:t>
            </w:r>
            <w:r>
              <w:rPr>
                <w:rFonts w:hint="eastAsia" w:cs="Times New Roman" w:eastAsiaTheme="minorEastAsia"/>
                <w:color w:val="auto"/>
                <w:sz w:val="21"/>
                <w:szCs w:val="21"/>
                <w:lang w:val="en-US" w:eastAsia="zh-CN"/>
              </w:rPr>
              <w:t>、</w:t>
            </w:r>
            <w:r>
              <w:rPr>
                <w:rFonts w:hint="eastAsia" w:ascii="Times New Roman" w:hAnsi="Times New Roman" w:cs="Times New Roman" w:eastAsiaTheme="minorEastAsia"/>
                <w:color w:val="auto"/>
                <w:sz w:val="21"/>
                <w:szCs w:val="21"/>
                <w:lang w:val="en-US" w:eastAsia="zh-CN"/>
              </w:rPr>
              <w:t>105、114</w:t>
            </w:r>
            <w:r>
              <w:rPr>
                <w:rFonts w:hint="eastAsia" w:cs="Times New Roman" w:eastAsiaTheme="minorEastAsia"/>
                <w:color w:val="auto"/>
                <w:sz w:val="21"/>
                <w:szCs w:val="21"/>
                <w:lang w:val="en-US" w:eastAsia="zh-CN"/>
              </w:rPr>
              <w:t>-</w:t>
            </w:r>
            <w:r>
              <w:rPr>
                <w:rFonts w:hint="eastAsia" w:ascii="Times New Roman" w:hAnsi="Times New Roman" w:cs="Times New Roman" w:eastAsiaTheme="minorEastAsia"/>
                <w:color w:val="auto"/>
                <w:sz w:val="21"/>
                <w:szCs w:val="21"/>
                <w:lang w:val="en-US" w:eastAsia="zh-CN"/>
              </w:rPr>
              <w:t>116</w:t>
            </w:r>
          </w:p>
        </w:tc>
        <w:tc>
          <w:tcPr>
            <w:tcW w:w="116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删除</w:t>
            </w:r>
          </w:p>
        </w:tc>
        <w:tc>
          <w:tcPr>
            <w:tcW w:w="3285"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cs="Times New Roman" w:eastAsiaTheme="minorEastAsia"/>
                <w:color w:val="auto"/>
                <w:sz w:val="21"/>
                <w:szCs w:val="21"/>
                <w:lang w:eastAsia="zh-CN"/>
              </w:rPr>
            </w:pPr>
            <w:r>
              <w:rPr>
                <w:rFonts w:hint="eastAsia" w:cs="Times New Roman" w:eastAsiaTheme="minorEastAsia"/>
                <w:color w:val="auto"/>
                <w:sz w:val="21"/>
                <w:szCs w:val="21"/>
                <w:lang w:val="en-US" w:eastAsia="zh-CN"/>
              </w:rPr>
              <w:t>本次现场调查，网格处为空地，</w:t>
            </w:r>
            <w:r>
              <w:rPr>
                <w:rFonts w:hint="eastAsia" w:ascii="Times New Roman" w:hAnsi="Times New Roman" w:cs="Times New Roman" w:eastAsiaTheme="minorEastAsia"/>
                <w:color w:val="auto"/>
                <w:sz w:val="21"/>
                <w:szCs w:val="21"/>
                <w:lang w:eastAsia="zh-CN"/>
              </w:rPr>
              <w:t>变成无效网格</w:t>
            </w:r>
          </w:p>
        </w:tc>
        <w:tc>
          <w:tcPr>
            <w:tcW w:w="949" w:type="dxa"/>
            <w:vMerge w:val="continue"/>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50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3</w:t>
            </w:r>
          </w:p>
        </w:tc>
        <w:tc>
          <w:tcPr>
            <w:tcW w:w="2631"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eastAsiaTheme="minorEastAsia"/>
                <w:color w:val="auto"/>
                <w:sz w:val="21"/>
                <w:szCs w:val="21"/>
                <w:lang w:val="en-US" w:eastAsia="zh-CN"/>
              </w:rPr>
              <w:t>95</w:t>
            </w:r>
            <w:r>
              <w:rPr>
                <w:rFonts w:hint="eastAsia" w:cs="Times New Roman" w:eastAsiaTheme="minorEastAsia"/>
                <w:color w:val="auto"/>
                <w:sz w:val="21"/>
                <w:szCs w:val="21"/>
                <w:lang w:val="en-US" w:eastAsia="zh-CN"/>
              </w:rPr>
              <w:t>-</w:t>
            </w:r>
            <w:r>
              <w:rPr>
                <w:rFonts w:hint="eastAsia" w:ascii="Times New Roman" w:hAnsi="Times New Roman" w:cs="Times New Roman" w:eastAsiaTheme="minorEastAsia"/>
                <w:color w:val="auto"/>
                <w:sz w:val="21"/>
                <w:szCs w:val="21"/>
                <w:lang w:val="en-US" w:eastAsia="zh-CN"/>
              </w:rPr>
              <w:t>97、107</w:t>
            </w:r>
            <w:r>
              <w:rPr>
                <w:rFonts w:hint="eastAsia" w:cs="Times New Roman" w:eastAsiaTheme="minorEastAsia"/>
                <w:color w:val="auto"/>
                <w:sz w:val="21"/>
                <w:szCs w:val="21"/>
                <w:lang w:val="en-US" w:eastAsia="zh-CN"/>
              </w:rPr>
              <w:t>-</w:t>
            </w:r>
            <w:r>
              <w:rPr>
                <w:rFonts w:hint="eastAsia" w:ascii="Times New Roman" w:hAnsi="Times New Roman" w:cs="Times New Roman" w:eastAsiaTheme="minorEastAsia"/>
                <w:color w:val="auto"/>
                <w:sz w:val="21"/>
                <w:szCs w:val="21"/>
                <w:lang w:val="en-US" w:eastAsia="zh-CN"/>
              </w:rPr>
              <w:t>108</w:t>
            </w:r>
            <w:r>
              <w:rPr>
                <w:rFonts w:hint="eastAsia" w:cs="Times New Roman" w:eastAsiaTheme="minorEastAsia"/>
                <w:color w:val="auto"/>
                <w:sz w:val="21"/>
                <w:szCs w:val="21"/>
                <w:lang w:val="en-US" w:eastAsia="zh-CN"/>
              </w:rPr>
              <w:t>、</w:t>
            </w:r>
            <w:r>
              <w:rPr>
                <w:rFonts w:hint="eastAsia" w:ascii="Times New Roman" w:hAnsi="Times New Roman" w:cs="Times New Roman" w:eastAsiaTheme="minorEastAsia"/>
                <w:color w:val="auto"/>
                <w:sz w:val="21"/>
                <w:szCs w:val="21"/>
                <w:lang w:val="en-US" w:eastAsia="zh-CN"/>
              </w:rPr>
              <w:t>118</w:t>
            </w:r>
          </w:p>
        </w:tc>
        <w:tc>
          <w:tcPr>
            <w:tcW w:w="116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删除</w:t>
            </w:r>
          </w:p>
        </w:tc>
        <w:tc>
          <w:tcPr>
            <w:tcW w:w="3285"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Times New Roman" w:cs="Times New Roman" w:eastAsiaTheme="minorEastAsia"/>
                <w:color w:val="auto"/>
                <w:sz w:val="21"/>
                <w:szCs w:val="21"/>
                <w:lang w:eastAsia="zh-CN"/>
              </w:rPr>
            </w:pPr>
            <w:r>
              <w:rPr>
                <w:rFonts w:hint="eastAsia" w:cs="Times New Roman" w:eastAsiaTheme="minorEastAsia"/>
                <w:color w:val="auto"/>
                <w:sz w:val="21"/>
                <w:szCs w:val="21"/>
                <w:lang w:val="en-US" w:eastAsia="zh-CN"/>
              </w:rPr>
              <w:t>本次</w:t>
            </w:r>
            <w:r>
              <w:rPr>
                <w:rFonts w:hint="eastAsia" w:ascii="Times New Roman" w:hAnsi="Times New Roman" w:cs="Times New Roman" w:eastAsiaTheme="minorEastAsia"/>
                <w:color w:val="auto"/>
                <w:sz w:val="21"/>
                <w:szCs w:val="21"/>
                <w:lang w:eastAsia="zh-CN"/>
              </w:rPr>
              <w:t>城市规划范围调整，</w:t>
            </w:r>
            <w:r>
              <w:rPr>
                <w:rFonts w:hint="eastAsia" w:cs="Times New Roman" w:eastAsiaTheme="minorEastAsia"/>
                <w:color w:val="auto"/>
                <w:sz w:val="21"/>
                <w:szCs w:val="21"/>
                <w:lang w:val="en-US" w:eastAsia="zh-CN"/>
              </w:rPr>
              <w:t>这些点位</w:t>
            </w:r>
            <w:r>
              <w:rPr>
                <w:rFonts w:hint="eastAsia" w:ascii="Times New Roman" w:hAnsi="Times New Roman" w:cs="Times New Roman" w:eastAsiaTheme="minorEastAsia"/>
                <w:color w:val="auto"/>
                <w:sz w:val="21"/>
                <w:szCs w:val="21"/>
                <w:lang w:eastAsia="zh-CN"/>
              </w:rPr>
              <w:t>不在</w:t>
            </w:r>
            <w:r>
              <w:rPr>
                <w:rFonts w:hint="eastAsia" w:cs="Times New Roman" w:eastAsiaTheme="minorEastAsia"/>
                <w:color w:val="auto"/>
                <w:sz w:val="21"/>
                <w:szCs w:val="21"/>
                <w:lang w:val="en-US" w:eastAsia="zh-CN"/>
              </w:rPr>
              <w:t>本次</w:t>
            </w:r>
            <w:r>
              <w:rPr>
                <w:rFonts w:hint="eastAsia" w:ascii="Times New Roman" w:hAnsi="Times New Roman" w:cs="Times New Roman" w:eastAsiaTheme="minorEastAsia"/>
                <w:color w:val="auto"/>
                <w:sz w:val="21"/>
                <w:szCs w:val="21"/>
                <w:lang w:eastAsia="zh-CN"/>
              </w:rPr>
              <w:t>城市规划范围内</w:t>
            </w:r>
          </w:p>
        </w:tc>
        <w:tc>
          <w:tcPr>
            <w:tcW w:w="949" w:type="dxa"/>
            <w:vMerge w:val="continue"/>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50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p>
        </w:tc>
        <w:tc>
          <w:tcPr>
            <w:tcW w:w="2631"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highlight w:val="yellow"/>
                <w:lang w:val="en-US" w:eastAsia="zh-CN"/>
              </w:rPr>
            </w:pPr>
            <w:r>
              <w:rPr>
                <w:rFonts w:hint="eastAsia" w:ascii="Times New Roman" w:hAnsi="Times New Roman" w:cs="Times New Roman" w:eastAsiaTheme="minorEastAsia"/>
                <w:color w:val="auto"/>
                <w:sz w:val="21"/>
                <w:szCs w:val="21"/>
                <w:lang w:val="en-US" w:eastAsia="zh-CN"/>
              </w:rPr>
              <w:t>121</w:t>
            </w:r>
            <w:r>
              <w:rPr>
                <w:rFonts w:hint="eastAsia" w:cs="Times New Roman" w:eastAsiaTheme="minorEastAsia"/>
                <w:color w:val="auto"/>
                <w:sz w:val="21"/>
                <w:szCs w:val="21"/>
                <w:lang w:val="en-US" w:eastAsia="zh-CN"/>
              </w:rPr>
              <w:t>-</w:t>
            </w:r>
            <w:r>
              <w:rPr>
                <w:rFonts w:hint="eastAsia" w:ascii="Times New Roman" w:hAnsi="Times New Roman" w:cs="Times New Roman" w:eastAsiaTheme="minorEastAsia"/>
                <w:color w:val="auto"/>
                <w:sz w:val="21"/>
                <w:szCs w:val="21"/>
                <w:lang w:val="en-US" w:eastAsia="zh-CN"/>
              </w:rPr>
              <w:t>1</w:t>
            </w:r>
            <w:r>
              <w:rPr>
                <w:rFonts w:hint="eastAsia" w:cs="Times New Roman" w:eastAsiaTheme="minorEastAsia"/>
                <w:color w:val="auto"/>
                <w:sz w:val="21"/>
                <w:szCs w:val="21"/>
                <w:lang w:val="en-US" w:eastAsia="zh-CN"/>
              </w:rPr>
              <w:t>33</w:t>
            </w:r>
          </w:p>
        </w:tc>
        <w:tc>
          <w:tcPr>
            <w:tcW w:w="116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Times New Roman" w:cs="Times New Roman" w:eastAsiaTheme="minorEastAsia"/>
                <w:color w:val="auto"/>
                <w:sz w:val="21"/>
                <w:szCs w:val="21"/>
                <w:lang w:eastAsia="zh-CN"/>
              </w:rPr>
            </w:pPr>
            <w:r>
              <w:rPr>
                <w:rFonts w:hint="eastAsia" w:ascii="Times New Roman" w:hAnsi="Times New Roman" w:cs="Times New Roman" w:eastAsiaTheme="minorEastAsia"/>
                <w:color w:val="auto"/>
                <w:sz w:val="21"/>
                <w:szCs w:val="21"/>
                <w:lang w:eastAsia="zh-CN"/>
              </w:rPr>
              <w:t>增加</w:t>
            </w:r>
          </w:p>
        </w:tc>
        <w:tc>
          <w:tcPr>
            <w:tcW w:w="3285"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Times New Roman" w:hAnsi="Times New Roman" w:cs="Times New Roman" w:eastAsiaTheme="minorEastAsia"/>
                <w:color w:val="auto"/>
                <w:sz w:val="21"/>
                <w:szCs w:val="21"/>
                <w:lang w:val="en-US" w:eastAsia="zh-CN"/>
              </w:rPr>
            </w:pPr>
            <w:r>
              <w:rPr>
                <w:rFonts w:hint="eastAsia" w:cs="Times New Roman" w:eastAsiaTheme="minorEastAsia"/>
                <w:color w:val="auto"/>
                <w:sz w:val="21"/>
                <w:szCs w:val="21"/>
                <w:lang w:val="en-US" w:eastAsia="zh-CN"/>
              </w:rPr>
              <w:t>本次新增监测点位，建成区面积大于50%</w:t>
            </w:r>
          </w:p>
        </w:tc>
        <w:tc>
          <w:tcPr>
            <w:tcW w:w="949" w:type="dxa"/>
            <w:vMerge w:val="continue"/>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p>
        </w:tc>
      </w:tr>
    </w:tbl>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 w:val="24"/>
          <w:szCs w:val="24"/>
          <w:lang w:eastAsia="zh-CN"/>
        </w:rPr>
        <w:t>最终确定的</w:t>
      </w:r>
      <w:r>
        <w:rPr>
          <w:rFonts w:hint="eastAsia" w:ascii="Times New Roman" w:hAnsi="Times New Roman" w:cs="Times New Roman" w:eastAsiaTheme="minorEastAsia"/>
          <w:color w:val="auto"/>
          <w:sz w:val="24"/>
          <w:szCs w:val="24"/>
          <w:lang w:val="en-US" w:eastAsia="zh-CN"/>
        </w:rPr>
        <w:t>曲沃</w:t>
      </w:r>
      <w:r>
        <w:rPr>
          <w:rFonts w:hint="eastAsia" w:ascii="Times New Roman" w:hAnsi="Times New Roman" w:cs="Times New Roman" w:eastAsiaTheme="minorEastAsia"/>
          <w:color w:val="auto"/>
          <w:sz w:val="24"/>
          <w:szCs w:val="24"/>
          <w:lang w:eastAsia="zh-CN"/>
        </w:rPr>
        <w:t>县声</w:t>
      </w:r>
      <w:r>
        <w:rPr>
          <w:rFonts w:hint="eastAsia" w:ascii="Times New Roman" w:hAnsi="Times New Roman" w:cs="Times New Roman" w:eastAsiaTheme="minorEastAsia"/>
          <w:color w:val="auto"/>
          <w:sz w:val="24"/>
          <w:szCs w:val="24"/>
          <w:lang w:val="en-US" w:eastAsia="zh-CN"/>
        </w:rPr>
        <w:t>环境监测点位见</w:t>
      </w:r>
      <w:r>
        <w:rPr>
          <w:rFonts w:hint="eastAsia" w:cs="Times New Roman" w:eastAsiaTheme="minorEastAsia"/>
          <w:color w:val="auto"/>
          <w:sz w:val="24"/>
          <w:szCs w:val="24"/>
          <w:lang w:val="en-US" w:eastAsia="zh-CN"/>
        </w:rPr>
        <w:t>下</w:t>
      </w:r>
      <w:r>
        <w:rPr>
          <w:rFonts w:hint="eastAsia" w:ascii="Times New Roman" w:hAnsi="Times New Roman" w:cs="Times New Roman" w:eastAsiaTheme="minorEastAsia"/>
          <w:color w:val="auto"/>
          <w:sz w:val="24"/>
          <w:szCs w:val="24"/>
          <w:lang w:val="en-US" w:eastAsia="zh-CN"/>
        </w:rPr>
        <w:t>图。</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 w:val="24"/>
          <w:szCs w:val="24"/>
          <w:lang w:val="en-US" w:eastAsia="zh-CN"/>
        </w:rPr>
        <w:drawing>
          <wp:anchor distT="0" distB="0" distL="114300" distR="114300" simplePos="0" relativeHeight="251995136" behindDoc="1" locked="0" layoutInCell="1" allowOverlap="1">
            <wp:simplePos x="0" y="0"/>
            <wp:positionH relativeFrom="column">
              <wp:posOffset>-371475</wp:posOffset>
            </wp:positionH>
            <wp:positionV relativeFrom="paragraph">
              <wp:posOffset>-139065</wp:posOffset>
            </wp:positionV>
            <wp:extent cx="6144895" cy="8691880"/>
            <wp:effectExtent l="0" t="0" r="8255" b="13970"/>
            <wp:wrapNone/>
            <wp:docPr id="22" name="图片 22" descr="附图2 曲沃县城市区域声环境监测布点图"/>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 name="图片 22" descr="附图2 曲沃县城市区域声环境监测布点图"/>
                    <pic:cNvPicPr>
                      <a:picLocks noChangeAspect="true"/>
                    </pic:cNvPicPr>
                  </pic:nvPicPr>
                  <pic:blipFill>
                    <a:blip r:embed="rId24"/>
                    <a:stretch>
                      <a:fillRect/>
                    </a:stretch>
                  </pic:blipFill>
                  <pic:spPr>
                    <a:xfrm>
                      <a:off x="0" y="0"/>
                      <a:ext cx="6144895" cy="869188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jc w:val="center"/>
        <w:textAlignment w:val="auto"/>
        <w:rPr>
          <w:rFonts w:hint="eastAsia" w:ascii="华文中宋" w:hAnsi="华文中宋" w:eastAsia="华文中宋" w:cs="华文中宋"/>
          <w:b/>
          <w:bCs/>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jc w:val="center"/>
        <w:textAlignment w:val="auto"/>
        <w:rPr>
          <w:rFonts w:hint="eastAsia" w:ascii="华文中宋" w:hAnsi="华文中宋" w:eastAsia="华文中宋" w:cs="华文中宋"/>
          <w:b/>
          <w:bCs/>
          <w:color w:val="auto"/>
          <w:sz w:val="24"/>
          <w:szCs w:val="24"/>
          <w:lang w:val="en-US" w:eastAsia="zh-CN"/>
        </w:rPr>
      </w:pPr>
      <w:r>
        <w:rPr>
          <w:rFonts w:hint="eastAsia" w:ascii="华文中宋" w:hAnsi="华文中宋" w:eastAsia="华文中宋" w:cs="华文中宋"/>
          <w:b/>
          <w:bCs/>
          <w:color w:val="auto"/>
          <w:sz w:val="24"/>
          <w:szCs w:val="24"/>
          <w:lang w:val="en-US" w:eastAsia="zh-CN"/>
        </w:rPr>
        <w:t>图4-1   曲沃县城市区域声环境监测布点图</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eastAsia" w:ascii="Times New Roman" w:hAnsi="Times New Roman" w:cs="Times New Roman" w:eastAsiaTheme="minorEastAsia"/>
          <w:color w:val="auto"/>
          <w:sz w:val="28"/>
          <w:szCs w:val="28"/>
          <w:lang w:val="en-US" w:eastAsia="zh-CN"/>
        </w:rPr>
        <w:t>4.2.2</w:t>
      </w:r>
      <w:r>
        <w:rPr>
          <w:rFonts w:hint="default" w:ascii="Times New Roman" w:hAnsi="Times New Roman" w:cs="Times New Roman" w:eastAsiaTheme="minorEastAsia"/>
          <w:color w:val="auto"/>
          <w:sz w:val="28"/>
          <w:szCs w:val="28"/>
          <w:lang w:val="en-US" w:eastAsia="zh-CN"/>
        </w:rPr>
        <w:t>区域监测的频次、时间及监测量</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（1）昼间监测1次，监测在昼间正常工作时间段内测量，测量时间段覆盖整个正常工作时段。</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（2）夜间监测1次，监测从夜间起始时间开始，测量时段覆盖整个夜间时段。</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（3）监测工作尽量安排在春季或秋季，监测避开节假日和非正常工作日。</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（4）每个监测点位测量10min的等效连续A声级L</w:t>
      </w:r>
      <w:r>
        <w:rPr>
          <w:rFonts w:hint="default" w:ascii="Times New Roman" w:hAnsi="Times New Roman" w:cs="Times New Roman" w:eastAsiaTheme="minorEastAsia"/>
          <w:color w:val="auto"/>
          <w:sz w:val="24"/>
          <w:szCs w:val="24"/>
          <w:vertAlign w:val="subscript"/>
        </w:rPr>
        <w:t>eq</w:t>
      </w:r>
      <w:r>
        <w:rPr>
          <w:rFonts w:hint="default" w:ascii="Times New Roman" w:hAnsi="Times New Roman" w:cs="Times New Roman" w:eastAsiaTheme="minorEastAsia"/>
          <w:color w:val="auto"/>
          <w:sz w:val="24"/>
          <w:szCs w:val="24"/>
        </w:rPr>
        <w:t>。</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eastAsia" w:ascii="Times New Roman" w:hAnsi="Times New Roman" w:cs="Times New Roman" w:eastAsiaTheme="minorEastAsia"/>
          <w:color w:val="auto"/>
          <w:sz w:val="28"/>
          <w:szCs w:val="28"/>
          <w:lang w:val="en-US" w:eastAsia="zh-CN"/>
        </w:rPr>
        <w:t>4.2.3</w:t>
      </w:r>
      <w:r>
        <w:rPr>
          <w:rFonts w:hint="default" w:ascii="Times New Roman" w:hAnsi="Times New Roman" w:cs="Times New Roman" w:eastAsiaTheme="minorEastAsia"/>
          <w:color w:val="auto"/>
          <w:sz w:val="28"/>
          <w:szCs w:val="28"/>
          <w:lang w:val="en-US" w:eastAsia="zh-CN"/>
        </w:rPr>
        <w:t>区域噪声监测结果与评价</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（1）区域声环境监测结果</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rPr>
        <w:t>按照监测方案</w:t>
      </w:r>
      <w:r>
        <w:rPr>
          <w:rFonts w:hint="default" w:ascii="Times New Roman" w:hAnsi="Times New Roman" w:cs="Times New Roman" w:eastAsiaTheme="minorEastAsia"/>
          <w:color w:val="auto"/>
          <w:sz w:val="24"/>
          <w:szCs w:val="24"/>
          <w:lang w:eastAsia="zh-CN"/>
        </w:rPr>
        <w:t>和</w:t>
      </w:r>
      <w:r>
        <w:rPr>
          <w:rFonts w:hint="default" w:ascii="Times New Roman" w:hAnsi="Times New Roman" w:cs="Times New Roman" w:eastAsiaTheme="minorEastAsia"/>
          <w:color w:val="auto"/>
          <w:sz w:val="24"/>
          <w:szCs w:val="24"/>
          <w:lang w:val="en-US" w:eastAsia="zh-CN"/>
        </w:rPr>
        <w:t>《环境噪声监测技术规范  城市声环境常规监测》（HJ640-2012），山西鑫合诚环境监测有限公司于2020年11月3日至11月7日对确定的</w:t>
      </w:r>
      <w:r>
        <w:rPr>
          <w:rFonts w:hint="default" w:ascii="Times New Roman" w:hAnsi="Times New Roman" w:cs="Times New Roman" w:eastAsiaTheme="minorEastAsia"/>
          <w:color w:val="auto"/>
          <w:sz w:val="24"/>
          <w:szCs w:val="24"/>
          <w:lang w:eastAsia="zh-CN"/>
        </w:rPr>
        <w:t>有效</w:t>
      </w:r>
      <w:r>
        <w:rPr>
          <w:rFonts w:hint="default" w:ascii="Times New Roman" w:hAnsi="Times New Roman" w:cs="Times New Roman" w:eastAsiaTheme="minorEastAsia"/>
          <w:color w:val="auto"/>
          <w:sz w:val="24"/>
          <w:szCs w:val="24"/>
        </w:rPr>
        <w:t>网格进行了监测。</w:t>
      </w:r>
      <w:r>
        <w:rPr>
          <w:rFonts w:hint="default" w:ascii="Times New Roman" w:hAnsi="Times New Roman" w:cs="Times New Roman" w:eastAsiaTheme="minorEastAsia"/>
          <w:color w:val="auto"/>
          <w:sz w:val="24"/>
          <w:szCs w:val="24"/>
          <w:lang w:eastAsia="zh-CN"/>
        </w:rPr>
        <w:t>监测结果见附件。</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2</w:t>
      </w:r>
      <w:r>
        <w:rPr>
          <w:rFonts w:hint="default" w:ascii="Times New Roman" w:hAnsi="Times New Roman" w:cs="Times New Roman" w:eastAsiaTheme="minorEastAsia"/>
          <w:color w:val="auto"/>
          <w:sz w:val="24"/>
          <w:szCs w:val="24"/>
          <w:lang w:eastAsia="zh-CN"/>
        </w:rPr>
        <w:t>）</w:t>
      </w:r>
      <w:r>
        <w:rPr>
          <w:rFonts w:hint="eastAsia" w:ascii="Times New Roman" w:hAnsi="Times New Roman" w:cs="Times New Roman" w:eastAsiaTheme="minorEastAsia"/>
          <w:color w:val="auto"/>
          <w:sz w:val="24"/>
          <w:szCs w:val="24"/>
          <w:lang w:eastAsia="zh-CN"/>
        </w:rPr>
        <w:t>城市区域声环境质量总体水平</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lang w:val="en-US" w:eastAsia="zh-CN"/>
        </w:rPr>
        <w:t>将整个城市全部网络测点测得的等效声级分昼间和夜间，按式（a）进行算术平均运算，所得到的昼间平均值</w:t>
      </w:r>
      <w:r>
        <w:rPr>
          <w:rFonts w:hint="default" w:ascii="Times New Roman" w:hAnsi="Times New Roman" w:cs="Times New Roman" w:eastAsiaTheme="minorEastAsia"/>
          <w:color w:val="auto"/>
          <w:sz w:val="24"/>
          <w:szCs w:val="24"/>
          <w:lang w:val="en-US" w:eastAsia="zh-CN"/>
        </w:rPr>
        <w:object>
          <v:shape id="_x0000_i1025" o:spt="75" type="#_x0000_t75" style="height:20.25pt;width:17.25pt;" o:ole="t" filled="f" o:preferrelative="t" stroked="f" coordsize="21600,21600">
            <v:path/>
            <v:fill on="f" focussize="0,0"/>
            <v:stroke on="f" joinstyle="miter"/>
            <v:imagedata r:id="rId26" o:title=""/>
            <o:lock v:ext="edit" aspectratio="t"/>
            <w10:wrap type="none"/>
            <w10:anchorlock/>
          </v:shape>
          <o:OLEObject Type="Embed" ProgID="Equation.3" ShapeID="_x0000_i1025" DrawAspect="Content" ObjectID="_1468075725" r:id="rId25">
            <o:LockedField>false</o:LockedField>
          </o:OLEObject>
        </w:object>
      </w:r>
      <w:r>
        <w:rPr>
          <w:rFonts w:hint="default" w:ascii="Times New Roman" w:hAnsi="Times New Roman" w:cs="Times New Roman" w:eastAsiaTheme="minorEastAsia"/>
          <w:color w:val="auto"/>
          <w:sz w:val="24"/>
          <w:szCs w:val="24"/>
          <w:lang w:val="en-US" w:eastAsia="zh-CN"/>
        </w:rPr>
        <w:t>和夜间平均值</w:t>
      </w:r>
      <w:r>
        <w:rPr>
          <w:rFonts w:hint="default" w:ascii="Times New Roman" w:hAnsi="Times New Roman" w:cs="Times New Roman" w:eastAsiaTheme="minorEastAsia"/>
          <w:color w:val="auto"/>
          <w:sz w:val="24"/>
          <w:szCs w:val="24"/>
          <w:lang w:val="en-US" w:eastAsia="zh-CN"/>
        </w:rPr>
        <w:object>
          <v:shape id="_x0000_i1026" o:spt="75" type="#_x0000_t75" style="height:20.25pt;width:15.75pt;" o:ole="t" filled="f" o:preferrelative="t" stroked="f" coordsize="21600,21600">
            <v:path/>
            <v:fill on="f" focussize="0,0"/>
            <v:stroke on="f" joinstyle="miter"/>
            <v:imagedata r:id="rId28" o:title=""/>
            <o:lock v:ext="edit" aspectratio="t"/>
            <w10:wrap type="none"/>
            <w10:anchorlock/>
          </v:shape>
          <o:OLEObject Type="Embed" ProgID="Equation.3" ShapeID="_x0000_i1026" DrawAspect="Content" ObjectID="_1468075726" r:id="rId27">
            <o:LockedField>false</o:LockedField>
          </o:OLEObject>
        </w:object>
      </w:r>
      <w:r>
        <w:rPr>
          <w:rFonts w:hint="default" w:ascii="Times New Roman" w:hAnsi="Times New Roman" w:cs="Times New Roman" w:eastAsiaTheme="minorEastAsia"/>
          <w:color w:val="auto"/>
          <w:sz w:val="24"/>
          <w:szCs w:val="24"/>
          <w:lang w:val="en-US" w:eastAsia="zh-CN"/>
        </w:rPr>
        <w:t>代表该城市昼间和夜间的环境噪声总体水平。</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0000FF"/>
          <w:sz w:val="24"/>
          <w:szCs w:val="24"/>
          <w:lang w:val="en-US" w:eastAsia="zh-CN"/>
        </w:rPr>
        <w:t xml:space="preserve">                   </w:t>
      </w:r>
      <w:r>
        <w:rPr>
          <w:rFonts w:hint="default" w:ascii="Times New Roman" w:hAnsi="Times New Roman" w:cs="Times New Roman" w:eastAsiaTheme="minorEastAsia"/>
          <w:color w:val="0000FF"/>
          <w:sz w:val="24"/>
          <w:szCs w:val="24"/>
          <w:lang w:val="en-US" w:eastAsia="zh-CN"/>
        </w:rPr>
        <w:object>
          <v:shape id="_x0000_i1027" o:spt="75" type="#_x0000_t75" style="height:33.75pt;width:65.25pt;" o:ole="t" filled="f" o:preferrelative="t" stroked="f" coordsize="21600,21600">
            <v:path/>
            <v:fill on="f" focussize="0,0"/>
            <v:stroke on="f" joinstyle="miter"/>
            <v:imagedata r:id="rId30" o:title=""/>
            <o:lock v:ext="edit" aspectratio="t"/>
            <w10:wrap type="none"/>
            <w10:anchorlock/>
          </v:shape>
          <o:OLEObject Type="Embed" ProgID="Equation.3" ShapeID="_x0000_i1027" DrawAspect="Content" ObjectID="_1468075727" r:id="rId29">
            <o:LockedField>false</o:LockedField>
          </o:OLEObject>
        </w:object>
      </w:r>
      <w:r>
        <w:rPr>
          <w:rFonts w:hint="default" w:ascii="Times New Roman" w:hAnsi="Times New Roman" w:cs="Times New Roman" w:eastAsiaTheme="minorEastAsia"/>
          <w:color w:val="0000FF"/>
          <w:sz w:val="24"/>
          <w:szCs w:val="24"/>
          <w:lang w:val="en-US" w:eastAsia="zh-CN"/>
        </w:rPr>
        <w:t xml:space="preserve">         </w:t>
      </w:r>
      <w:r>
        <w:rPr>
          <w:rFonts w:hint="default" w:ascii="Times New Roman" w:hAnsi="Times New Roman" w:cs="Times New Roman" w:eastAsiaTheme="minorEastAsia"/>
          <w:color w:val="auto"/>
          <w:sz w:val="24"/>
          <w:szCs w:val="24"/>
          <w:lang w:val="en-US" w:eastAsia="zh-CN"/>
        </w:rPr>
        <w:t xml:space="preserve"> ……………………………（a）</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val="en-US" w:eastAsia="zh-CN"/>
        </w:rPr>
        <w:t xml:space="preserve">                 </w:t>
      </w:r>
      <w:r>
        <w:rPr>
          <w:rFonts w:hint="default" w:ascii="Times New Roman" w:hAnsi="Times New Roman" w:cs="Times New Roman" w:eastAsiaTheme="minorEastAsia"/>
          <w:color w:val="auto"/>
          <w:sz w:val="24"/>
          <w:szCs w:val="24"/>
          <w:lang w:val="en-US" w:eastAsia="zh-CN"/>
        </w:rPr>
        <w:object>
          <v:shape id="_x0000_i1028" o:spt="75" type="#_x0000_t75" style="height:38.25pt;width:122.25pt;" o:ole="t" filled="f" o:preferrelative="t" stroked="f" coordsize="21600,21600">
            <v:path/>
            <v:fill on="f" focussize="0,0"/>
            <v:stroke on="f" joinstyle="miter"/>
            <v:imagedata r:id="rId32" o:title=""/>
            <o:lock v:ext="edit" aspectratio="t"/>
            <w10:wrap type="none"/>
            <w10:anchorlock/>
          </v:shape>
          <o:OLEObject Type="Embed" ProgID="Equation.3" ShapeID="_x0000_i1028" DrawAspect="Content" ObjectID="_1468075728" r:id="rId31">
            <o:LockedField>false</o:LockedField>
          </o:OLEObject>
        </w:object>
      </w:r>
      <w:r>
        <w:rPr>
          <w:rFonts w:hint="default" w:ascii="Times New Roman" w:hAnsi="Times New Roman" w:cs="Times New Roman" w:eastAsiaTheme="minorEastAsia"/>
          <w:color w:val="auto"/>
          <w:sz w:val="24"/>
          <w:szCs w:val="24"/>
          <w:lang w:val="en-US" w:eastAsia="zh-CN"/>
        </w:rPr>
        <w:t xml:space="preserve">  ……………………………（b）</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val="en-US" w:eastAsia="zh-CN"/>
        </w:rPr>
        <w:t>式中：</w:t>
      </w:r>
      <w:r>
        <w:rPr>
          <w:rFonts w:hint="default" w:ascii="Times New Roman" w:hAnsi="Times New Roman" w:cs="Times New Roman" w:eastAsiaTheme="minorEastAsia"/>
          <w:color w:val="auto"/>
          <w:sz w:val="24"/>
          <w:szCs w:val="24"/>
          <w:lang w:val="en-US" w:eastAsia="zh-CN"/>
        </w:rPr>
        <w:object>
          <v:shape id="_x0000_i1029" o:spt="75" type="#_x0000_t75" style="height:21pt;width:15.75pt;" o:ole="t" filled="f" o:preferrelative="t" stroked="f" coordsize="21600,21600">
            <v:path/>
            <v:fill on="f" focussize="0,0"/>
            <v:stroke on="f" joinstyle="miter"/>
            <v:imagedata r:id="rId34" o:title=""/>
            <o:lock v:ext="edit" aspectratio="t"/>
            <w10:wrap type="none"/>
            <w10:anchorlock/>
          </v:shape>
          <o:OLEObject Type="Embed" ProgID="Equation.3" ShapeID="_x0000_i1029" DrawAspect="Content" ObjectID="_1468075729" r:id="rId33">
            <o:LockedField>false</o:LockedField>
          </o:OLEObject>
        </w:object>
      </w:r>
      <w:r>
        <w:rPr>
          <w:rFonts w:hint="default" w:ascii="Times New Roman" w:hAnsi="Times New Roman" w:cs="Times New Roman" w:eastAsiaTheme="minorEastAsia"/>
          <w:color w:val="auto"/>
          <w:sz w:val="24"/>
          <w:szCs w:val="24"/>
          <w:lang w:val="en-US" w:eastAsia="zh-CN"/>
        </w:rPr>
        <w:t>——表示</w:t>
      </w:r>
      <w:r>
        <w:rPr>
          <w:rFonts w:hint="default" w:ascii="Times New Roman" w:hAnsi="Times New Roman" w:cs="Times New Roman" w:eastAsiaTheme="minorEastAsia"/>
          <w:color w:val="auto"/>
          <w:sz w:val="24"/>
          <w:szCs w:val="24"/>
          <w:lang w:val="en-US" w:eastAsia="zh-CN"/>
        </w:rPr>
        <w:object>
          <v:shape id="_x0000_i1030" o:spt="75" type="#_x0000_t75" style="height:20.25pt;width:17.25pt;" o:ole="t" filled="f" o:preferrelative="t" stroked="f" coordsize="21600,21600">
            <v:path/>
            <v:fill on="f" focussize="0,0"/>
            <v:stroke on="f" joinstyle="miter"/>
            <v:imagedata r:id="rId36" o:title=""/>
            <o:lock v:ext="edit" aspectratio="t"/>
            <w10:wrap type="none"/>
            <w10:anchorlock/>
          </v:shape>
          <o:OLEObject Type="Embed" ProgID="Equation.3" ShapeID="_x0000_i1030" DrawAspect="Content" ObjectID="_1468075730" r:id="rId35">
            <o:LockedField>false</o:LockedField>
          </o:OLEObject>
        </w:object>
      </w:r>
      <w:r>
        <w:rPr>
          <w:rFonts w:hint="default" w:ascii="Times New Roman" w:hAnsi="Times New Roman" w:cs="Times New Roman" w:eastAsiaTheme="minorEastAsia"/>
          <w:color w:val="auto"/>
          <w:sz w:val="24"/>
          <w:szCs w:val="24"/>
          <w:lang w:val="en-US" w:eastAsia="zh-CN"/>
        </w:rPr>
        <w:t>（或</w:t>
      </w:r>
      <w:r>
        <w:rPr>
          <w:rFonts w:hint="default" w:ascii="Times New Roman" w:hAnsi="Times New Roman" w:cs="Times New Roman" w:eastAsiaTheme="minorEastAsia"/>
          <w:color w:val="auto"/>
          <w:sz w:val="24"/>
          <w:szCs w:val="24"/>
          <w:lang w:val="en-US" w:eastAsia="zh-CN"/>
        </w:rPr>
        <w:object>
          <v:shape id="_x0000_i1031" o:spt="75" type="#_x0000_t75" style="height:20.25pt;width:15.75pt;" o:ole="t" filled="f" o:preferrelative="t" stroked="f" coordsize="21600,21600">
            <v:path/>
            <v:fill on="f" focussize="0,0"/>
            <v:stroke on="f" joinstyle="miter"/>
            <v:imagedata r:id="rId38" o:title=""/>
            <o:lock v:ext="edit" aspectratio="t"/>
            <w10:wrap type="none"/>
            <w10:anchorlock/>
          </v:shape>
          <o:OLEObject Type="Embed" ProgID="Equation.3" ShapeID="_x0000_i1031" DrawAspect="Content" ObjectID="_1468075731" r:id="rId37">
            <o:LockedField>false</o:LockedField>
          </o:OLEObject>
        </w:object>
      </w:r>
      <w:r>
        <w:rPr>
          <w:rFonts w:hint="default" w:ascii="Times New Roman" w:hAnsi="Times New Roman" w:cs="Times New Roman" w:eastAsiaTheme="minorEastAsia"/>
          <w:color w:val="auto"/>
          <w:sz w:val="24"/>
          <w:szCs w:val="24"/>
          <w:lang w:val="en-US" w:eastAsia="zh-CN"/>
        </w:rPr>
        <w:t>），dB(A)；</w:t>
      </w:r>
    </w:p>
    <w:p>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val="en-US" w:eastAsia="zh-CN"/>
        </w:rPr>
        <w:object>
          <v:shape id="_x0000_i1032" o:spt="75" type="#_x0000_t75" style="height:18.75pt;width:20.25pt;" o:ole="t" filled="f" o:preferrelative="t" stroked="f" coordsize="21600,21600">
            <v:path/>
            <v:fill on="f" focussize="0,0"/>
            <v:stroke on="f" joinstyle="miter"/>
            <v:imagedata r:id="rId40" o:title=""/>
            <o:lock v:ext="edit" aspectratio="t"/>
            <w10:wrap type="none"/>
            <w10:anchorlock/>
          </v:shape>
          <o:OLEObject Type="Embed" ProgID="Equation.3" ShapeID="_x0000_i1032" DrawAspect="Content" ObjectID="_1468075732" r:id="rId39">
            <o:LockedField>false</o:LockedField>
          </o:OLEObject>
        </w:object>
      </w:r>
      <w:r>
        <w:rPr>
          <w:rFonts w:hint="default" w:ascii="Times New Roman" w:hAnsi="Times New Roman" w:cs="Times New Roman" w:eastAsiaTheme="minorEastAsia"/>
          <w:color w:val="auto"/>
          <w:sz w:val="24"/>
          <w:szCs w:val="24"/>
          <w:lang w:val="en-US" w:eastAsia="zh-CN"/>
        </w:rPr>
        <w:t>——第i个网格测得的等效声级</w:t>
      </w:r>
      <w:r>
        <w:rPr>
          <w:rFonts w:hint="default" w:ascii="Times New Roman" w:hAnsi="Times New Roman" w:cs="Times New Roman" w:eastAsiaTheme="minorEastAsia"/>
          <w:color w:val="auto"/>
          <w:sz w:val="24"/>
          <w:szCs w:val="24"/>
          <w:lang w:val="en-US" w:eastAsia="zh-CN"/>
        </w:rPr>
        <w:object>
          <v:shape id="_x0000_i1033" o:spt="75" type="#_x0000_t75" style="height:18.75pt;width:18pt;" o:ole="t" filled="f" o:preferrelative="t" stroked="f" coordsize="21600,21600">
            <v:path/>
            <v:fill on="f" focussize="0,0"/>
            <v:stroke on="f" joinstyle="miter"/>
            <v:imagedata r:id="rId42" o:title=""/>
            <o:lock v:ext="edit" aspectratio="t"/>
            <w10:wrap type="none"/>
            <w10:anchorlock/>
          </v:shape>
          <o:OLEObject Type="Embed" ProgID="Equation.3" ShapeID="_x0000_i1033" DrawAspect="Content" ObjectID="_1468075733" r:id="rId41">
            <o:LockedField>false</o:LockedField>
          </o:OLEObject>
        </w:object>
      </w:r>
      <w:r>
        <w:rPr>
          <w:rFonts w:hint="default" w:ascii="Times New Roman" w:hAnsi="Times New Roman" w:cs="Times New Roman" w:eastAsiaTheme="minorEastAsia"/>
          <w:color w:val="auto"/>
          <w:sz w:val="24"/>
          <w:szCs w:val="24"/>
          <w:lang w:val="en-US" w:eastAsia="zh-CN"/>
        </w:rPr>
        <w:t>，dB(A)；</w:t>
      </w:r>
    </w:p>
    <w:p>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val="en-US" w:eastAsia="zh-CN"/>
        </w:rPr>
        <w:t>δ  ——标准偏差；</w:t>
      </w:r>
    </w:p>
    <w:p>
      <w:pPr>
        <w:keepNext w:val="0"/>
        <w:keepLines w:val="0"/>
        <w:pageBreakBefore w:val="0"/>
        <w:widowControl w:val="0"/>
        <w:kinsoku/>
        <w:wordWrap/>
        <w:overflowPunct/>
        <w:topLinePunct w:val="0"/>
        <w:autoSpaceDE/>
        <w:autoSpaceDN/>
        <w:bidi w:val="0"/>
        <w:adjustRightInd/>
        <w:snapToGrid/>
        <w:ind w:firstLine="1200" w:firstLineChars="500"/>
        <w:textAlignment w:val="auto"/>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val="en-US" w:eastAsia="zh-CN"/>
        </w:rPr>
        <w:t>n  ——有效网格总数。</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eastAsiaTheme="minorEastAsia"/>
          <w:color w:val="auto"/>
          <w:sz w:val="24"/>
          <w:szCs w:val="24"/>
        </w:rPr>
        <w:t>根据《声环境质量常规监测暂行技术规定》中的相关评价要求，城市区域声环境质量总体水平等级</w:t>
      </w:r>
      <w:r>
        <w:rPr>
          <w:rFonts w:hint="default" w:ascii="Times New Roman" w:hAnsi="Times New Roman" w:cs="Times New Roman" w:eastAsiaTheme="minorEastAsia"/>
          <w:color w:val="auto"/>
          <w:sz w:val="24"/>
          <w:szCs w:val="24"/>
          <w:lang w:eastAsia="zh-CN"/>
        </w:rPr>
        <w:t>划分见表</w:t>
      </w:r>
      <w:r>
        <w:rPr>
          <w:rFonts w:hint="default" w:ascii="Times New Roman" w:hAnsi="Times New Roman" w:cs="Times New Roman" w:eastAsiaTheme="minorEastAsia"/>
          <w:color w:val="auto"/>
          <w:sz w:val="24"/>
          <w:szCs w:val="24"/>
          <w:lang w:val="en-US" w:eastAsia="zh-CN"/>
        </w:rPr>
        <w:t>4-2。</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表</w:t>
      </w:r>
      <w:r>
        <w:rPr>
          <w:rFonts w:hint="eastAsia" w:ascii="Times New Roman" w:hAnsi="Times New Roman" w:cs="Times New Roman" w:eastAsiaTheme="minorEastAsia"/>
          <w:b/>
          <w:bCs/>
          <w:color w:val="auto"/>
          <w:sz w:val="21"/>
          <w:szCs w:val="21"/>
          <w:lang w:val="en-US" w:eastAsia="zh-CN"/>
        </w:rPr>
        <w:t xml:space="preserve">4-2  </w:t>
      </w:r>
      <w:r>
        <w:rPr>
          <w:rFonts w:hint="default" w:ascii="Times New Roman" w:hAnsi="Times New Roman" w:cs="Times New Roman" w:eastAsiaTheme="minorEastAsia"/>
          <w:b/>
          <w:bCs/>
          <w:color w:val="auto"/>
          <w:sz w:val="21"/>
          <w:szCs w:val="21"/>
        </w:rPr>
        <w:t>城市区域声环境质量总体水平等级划分</w:t>
      </w:r>
      <w:r>
        <w:rPr>
          <w:rFonts w:hint="eastAsia" w:ascii="Times New Roman" w:hAnsi="Times New Roman" w:cs="Times New Roman" w:eastAsiaTheme="minorEastAsia"/>
          <w:b/>
          <w:bCs/>
          <w:color w:val="auto"/>
          <w:sz w:val="21"/>
          <w:szCs w:val="21"/>
          <w:lang w:eastAsia="zh-CN"/>
        </w:rPr>
        <w:t>表</w:t>
      </w:r>
      <w:r>
        <w:rPr>
          <w:rFonts w:hint="eastAsia" w:ascii="Times New Roman" w:hAnsi="Times New Roman" w:cs="Times New Roman" w:eastAsiaTheme="minorEastAsia"/>
          <w:b/>
          <w:bCs/>
          <w:color w:val="auto"/>
          <w:sz w:val="21"/>
          <w:szCs w:val="21"/>
          <w:lang w:val="en-US" w:eastAsia="zh-CN"/>
        </w:rPr>
        <w:t xml:space="preserve">  </w:t>
      </w:r>
      <w:r>
        <w:rPr>
          <w:rFonts w:hint="default" w:ascii="Times New Roman" w:hAnsi="Times New Roman" w:cs="Times New Roman" w:eastAsiaTheme="minorEastAsia"/>
          <w:b/>
          <w:bCs/>
          <w:color w:val="auto"/>
          <w:sz w:val="21"/>
          <w:szCs w:val="21"/>
        </w:rPr>
        <w:t>单位：dB（A）</w:t>
      </w:r>
    </w:p>
    <w:tbl>
      <w:tblPr>
        <w:tblStyle w:val="24"/>
        <w:tblW w:w="852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1022"/>
        <w:gridCol w:w="1329"/>
        <w:gridCol w:w="1329"/>
        <w:gridCol w:w="1329"/>
        <w:gridCol w:w="102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96"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质量等级</w:t>
            </w:r>
          </w:p>
        </w:tc>
        <w:tc>
          <w:tcPr>
            <w:tcW w:w="1022"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一级</w:t>
            </w:r>
          </w:p>
        </w:tc>
        <w:tc>
          <w:tcPr>
            <w:tcW w:w="1329"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二级</w:t>
            </w:r>
          </w:p>
        </w:tc>
        <w:tc>
          <w:tcPr>
            <w:tcW w:w="1329"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三级</w:t>
            </w:r>
          </w:p>
        </w:tc>
        <w:tc>
          <w:tcPr>
            <w:tcW w:w="1329"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四级</w:t>
            </w:r>
          </w:p>
        </w:tc>
        <w:tc>
          <w:tcPr>
            <w:tcW w:w="1023"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五级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trPr>
        <w:tc>
          <w:tcPr>
            <w:tcW w:w="2496"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昼间平均等效声级</w:t>
            </w:r>
          </w:p>
        </w:tc>
        <w:tc>
          <w:tcPr>
            <w:tcW w:w="1022"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≤50.0</w:t>
            </w:r>
          </w:p>
        </w:tc>
        <w:tc>
          <w:tcPr>
            <w:tcW w:w="1329"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50.1-55.0</w:t>
            </w:r>
          </w:p>
        </w:tc>
        <w:tc>
          <w:tcPr>
            <w:tcW w:w="1329"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55.1-60.0</w:t>
            </w:r>
          </w:p>
        </w:tc>
        <w:tc>
          <w:tcPr>
            <w:tcW w:w="1329"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60.1-65.0</w:t>
            </w:r>
          </w:p>
        </w:tc>
        <w:tc>
          <w:tcPr>
            <w:tcW w:w="1023"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＞65.0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496"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夜间平均等效声级</w:t>
            </w:r>
          </w:p>
        </w:tc>
        <w:tc>
          <w:tcPr>
            <w:tcW w:w="1022"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≤40.0</w:t>
            </w:r>
          </w:p>
        </w:tc>
        <w:tc>
          <w:tcPr>
            <w:tcW w:w="1329"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40.1-45.0</w:t>
            </w:r>
          </w:p>
        </w:tc>
        <w:tc>
          <w:tcPr>
            <w:tcW w:w="1329"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45.1-50.0</w:t>
            </w:r>
          </w:p>
        </w:tc>
        <w:tc>
          <w:tcPr>
            <w:tcW w:w="1329"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50.1-55.0</w:t>
            </w:r>
          </w:p>
        </w:tc>
        <w:tc>
          <w:tcPr>
            <w:tcW w:w="1023"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＞55.0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trPr>
        <w:tc>
          <w:tcPr>
            <w:tcW w:w="2496"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评价水平</w:t>
            </w:r>
          </w:p>
        </w:tc>
        <w:tc>
          <w:tcPr>
            <w:tcW w:w="1022"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好</w:t>
            </w:r>
          </w:p>
        </w:tc>
        <w:tc>
          <w:tcPr>
            <w:tcW w:w="1329"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较好</w:t>
            </w:r>
          </w:p>
        </w:tc>
        <w:tc>
          <w:tcPr>
            <w:tcW w:w="1329"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一般</w:t>
            </w:r>
          </w:p>
        </w:tc>
        <w:tc>
          <w:tcPr>
            <w:tcW w:w="1329"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较差</w:t>
            </w:r>
          </w:p>
        </w:tc>
        <w:tc>
          <w:tcPr>
            <w:tcW w:w="1023" w:type="dxa"/>
            <w:tcBorders>
              <w:tl2br w:val="nil"/>
              <w:tr2bl w:val="nil"/>
            </w:tcBorders>
            <w:vAlign w:val="center"/>
          </w:tcPr>
          <w:p>
            <w:pPr>
              <w:pStyle w:val="4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差</w:t>
            </w:r>
          </w:p>
        </w:tc>
      </w:tr>
    </w:tbl>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imes New Roman" w:hAnsi="Times New Roman" w:eastAsia="宋体" w:cs="宋体"/>
          <w:color w:val="auto"/>
          <w:kern w:val="2"/>
          <w:sz w:val="24"/>
          <w:szCs w:val="24"/>
          <w:lang w:val="en-US" w:eastAsia="zh-CN" w:bidi="ar"/>
        </w:rPr>
      </w:pPr>
      <w:r>
        <w:rPr>
          <w:rFonts w:hint="eastAsia" w:ascii="Times New Roman" w:hAnsi="Times New Roman" w:eastAsia="宋体" w:cs="宋体"/>
          <w:color w:val="auto"/>
          <w:kern w:val="2"/>
          <w:sz w:val="24"/>
          <w:szCs w:val="24"/>
          <w:lang w:val="en-US" w:eastAsia="zh-CN" w:bidi="ar"/>
        </w:rPr>
        <w:t>通过计算（无效测点不计入计算范围），城市区域环境噪声总体水平见表</w:t>
      </w:r>
      <w:r>
        <w:rPr>
          <w:rFonts w:hint="default" w:ascii="Times New Roman" w:hAnsi="Times New Roman" w:eastAsia="宋体" w:cs="Times New Roman"/>
          <w:color w:val="auto"/>
          <w:kern w:val="2"/>
          <w:sz w:val="24"/>
          <w:szCs w:val="24"/>
          <w:lang w:val="en-US" w:eastAsia="zh-CN" w:bidi="ar"/>
        </w:rPr>
        <w:t>4-</w:t>
      </w:r>
      <w:r>
        <w:rPr>
          <w:rFonts w:hint="eastAsia" w:ascii="Times New Roman" w:hAnsi="Times New Roman" w:eastAsia="宋体" w:cs="Times New Roman"/>
          <w:color w:val="auto"/>
          <w:kern w:val="2"/>
          <w:sz w:val="24"/>
          <w:szCs w:val="24"/>
          <w:lang w:val="en-US" w:eastAsia="zh-CN" w:bidi="ar"/>
        </w:rPr>
        <w:t>3</w:t>
      </w:r>
      <w:r>
        <w:rPr>
          <w:rFonts w:hint="eastAsia" w:ascii="Times New Roman" w:hAnsi="Times New Roman" w:eastAsia="宋体" w:cs="宋体"/>
          <w:color w:val="auto"/>
          <w:kern w:val="2"/>
          <w:sz w:val="24"/>
          <w:szCs w:val="24"/>
          <w:lang w:val="en-US" w:eastAsia="zh-CN" w:bidi="ar"/>
        </w:rPr>
        <w:t>。</w:t>
      </w:r>
    </w:p>
    <w:p>
      <w:pPr>
        <w:pStyle w:val="2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bCs/>
          <w:color w:val="auto"/>
          <w:sz w:val="21"/>
          <w:szCs w:val="21"/>
        </w:rPr>
      </w:pPr>
      <w:r>
        <w:rPr>
          <w:rFonts w:hint="eastAsia" w:ascii="Times New Roman" w:hAnsi="Times New Roman" w:eastAsia="宋体" w:cs="宋体"/>
          <w:b/>
          <w:bCs/>
          <w:color w:val="auto"/>
          <w:kern w:val="2"/>
          <w:sz w:val="21"/>
          <w:szCs w:val="21"/>
          <w:lang w:val="en-US" w:eastAsia="zh-CN" w:bidi="ar"/>
        </w:rPr>
        <w:t>表</w:t>
      </w:r>
      <w:r>
        <w:rPr>
          <w:rFonts w:hint="default" w:ascii="Times New Roman" w:hAnsi="Times New Roman" w:eastAsia="宋体" w:cs="Times New Roman"/>
          <w:b/>
          <w:bCs/>
          <w:color w:val="auto"/>
          <w:kern w:val="2"/>
          <w:sz w:val="21"/>
          <w:szCs w:val="21"/>
          <w:lang w:val="en-US" w:eastAsia="zh-CN" w:bidi="ar"/>
        </w:rPr>
        <w:t>4-</w:t>
      </w:r>
      <w:r>
        <w:rPr>
          <w:rFonts w:hint="eastAsia" w:ascii="Times New Roman" w:hAnsi="Times New Roman" w:eastAsia="宋体" w:cs="Times New Roman"/>
          <w:b/>
          <w:bCs/>
          <w:color w:val="auto"/>
          <w:kern w:val="2"/>
          <w:sz w:val="21"/>
          <w:szCs w:val="21"/>
          <w:lang w:val="en-US" w:eastAsia="zh-CN" w:bidi="ar"/>
        </w:rPr>
        <w:t xml:space="preserve">3  </w:t>
      </w:r>
      <w:r>
        <w:rPr>
          <w:rFonts w:hint="eastAsia" w:ascii="Times New Roman" w:hAnsi="Times New Roman" w:eastAsia="宋体" w:cs="宋体"/>
          <w:b/>
          <w:bCs/>
          <w:color w:val="auto"/>
          <w:kern w:val="2"/>
          <w:sz w:val="21"/>
          <w:szCs w:val="21"/>
          <w:lang w:val="en-US" w:eastAsia="zh-CN" w:bidi="ar"/>
        </w:rPr>
        <w:t>城市区域环境噪声总体水平计算结果</w:t>
      </w:r>
    </w:p>
    <w:tbl>
      <w:tblPr>
        <w:tblStyle w:val="24"/>
        <w:tblW w:w="8526"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2084"/>
        <w:gridCol w:w="3147"/>
        <w:gridCol w:w="3295"/>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37" w:hRule="atLeast"/>
          <w:jc w:val="center"/>
        </w:trPr>
        <w:tc>
          <w:tcPr>
            <w:tcW w:w="2084" w:type="dxa"/>
            <w:vMerge w:val="restart"/>
            <w:tcBorders>
              <w:tl2br w:val="nil"/>
              <w:tr2bl w:val="nil"/>
            </w:tcBorders>
            <w:shd w:val="clear" w:color="auto" w:fill="auto"/>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指标</w:t>
            </w:r>
          </w:p>
        </w:tc>
        <w:tc>
          <w:tcPr>
            <w:tcW w:w="3147" w:type="dxa"/>
            <w:tcBorders>
              <w:tl2br w:val="nil"/>
              <w:tr2bl w:val="nil"/>
            </w:tcBorders>
            <w:shd w:val="clear" w:color="auto" w:fill="auto"/>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昼间平均值</w:t>
            </w:r>
          </w:p>
        </w:tc>
        <w:tc>
          <w:tcPr>
            <w:tcW w:w="3295" w:type="dxa"/>
            <w:tcBorders>
              <w:tl2br w:val="nil"/>
              <w:tr2bl w:val="nil"/>
            </w:tcBorders>
            <w:shd w:val="clear" w:color="auto" w:fill="auto"/>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夜间平均值</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24" w:hRule="atLeast"/>
          <w:jc w:val="center"/>
        </w:trPr>
        <w:tc>
          <w:tcPr>
            <w:tcW w:w="2084" w:type="dxa"/>
            <w:vMerge w:val="continue"/>
            <w:tcBorders>
              <w:tl2br w:val="nil"/>
              <w:tr2bl w:val="nil"/>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eastAsia="Times New Roman" w:cs="Times New Roman"/>
                <w:color w:val="auto"/>
                <w:sz w:val="20"/>
                <w:szCs w:val="20"/>
              </w:rPr>
            </w:pPr>
          </w:p>
        </w:tc>
        <w:tc>
          <w:tcPr>
            <w:tcW w:w="3147" w:type="dxa"/>
            <w:tcBorders>
              <w:tl2br w:val="nil"/>
              <w:tr2bl w:val="nil"/>
            </w:tcBorders>
            <w:shd w:val="clear" w:color="auto" w:fill="auto"/>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object>
                <v:shape id="_x0000_i1034" o:spt="75" type="#_x0000_t75" style="height:20.25pt;width:17.25pt;" o:ole="t" filled="f" o:preferrelative="t" stroked="f" coordsize="21600,21600">
                  <v:path/>
                  <v:fill on="f" focussize="0,0"/>
                  <v:stroke on="f" joinstyle="miter"/>
                  <v:imagedata r:id="rId36" o:title=""/>
                  <o:lock v:ext="edit" aspectratio="t"/>
                  <w10:wrap type="none"/>
                  <w10:anchorlock/>
                </v:shape>
                <o:OLEObject Type="Embed" ProgID="Equation.3" ShapeID="_x0000_i1034" DrawAspect="Content" ObjectID="_1468075734" r:id="rId43">
                  <o:LockedField>false</o:LockedField>
                </o:OLEObject>
              </w:object>
            </w:r>
          </w:p>
        </w:tc>
        <w:tc>
          <w:tcPr>
            <w:tcW w:w="3295" w:type="dxa"/>
            <w:tcBorders>
              <w:tl2br w:val="nil"/>
              <w:tr2bl w:val="nil"/>
            </w:tcBorders>
            <w:shd w:val="clear" w:color="auto" w:fill="auto"/>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object>
                <v:shape id="_x0000_i1035" o:spt="75" type="#_x0000_t75" style="height:20.25pt;width:15.75pt;" o:ole="t" filled="f" o:preferrelative="t" stroked="f" coordsize="21600,21600">
                  <v:path/>
                  <v:fill on="f" focussize="0,0"/>
                  <v:stroke on="f" joinstyle="miter"/>
                  <v:imagedata r:id="rId38" o:title=""/>
                  <o:lock v:ext="edit" aspectratio="t"/>
                  <w10:wrap type="none"/>
                  <w10:anchorlock/>
                </v:shape>
                <o:OLEObject Type="Embed" ProgID="Equation.3" ShapeID="_x0000_i1035" DrawAspect="Content" ObjectID="_1468075735" r:id="rId44">
                  <o:LockedField>false</o:LockedField>
                </o:OLEObject>
              </w:objec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62" w:hRule="atLeast"/>
          <w:jc w:val="center"/>
        </w:trPr>
        <w:tc>
          <w:tcPr>
            <w:tcW w:w="2084" w:type="dxa"/>
            <w:tcBorders>
              <w:tl2br w:val="nil"/>
              <w:tr2bl w:val="nil"/>
            </w:tcBorders>
            <w:shd w:val="clear" w:color="auto" w:fill="auto"/>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color w:val="auto"/>
                <w:sz w:val="21"/>
                <w:szCs w:val="21"/>
                <w:highlight w:val="none"/>
                <w:lang w:val="en-US"/>
              </w:rPr>
            </w:pPr>
            <w:r>
              <w:rPr>
                <w:rFonts w:hint="eastAsia" w:ascii="Times New Roman" w:hAnsi="Times New Roman" w:eastAsia="宋体" w:cs="宋体"/>
                <w:color w:val="auto"/>
                <w:kern w:val="2"/>
                <w:sz w:val="21"/>
                <w:szCs w:val="21"/>
                <w:highlight w:val="none"/>
                <w:lang w:val="en-US" w:eastAsia="zh-CN" w:bidi="ar"/>
              </w:rPr>
              <w:t>结果</w:t>
            </w:r>
          </w:p>
        </w:tc>
        <w:tc>
          <w:tcPr>
            <w:tcW w:w="3147" w:type="dxa"/>
            <w:tcBorders>
              <w:tl2br w:val="nil"/>
              <w:tr2bl w:val="nil"/>
            </w:tcBorders>
            <w:shd w:val="clear" w:color="auto" w:fill="auto"/>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color w:val="auto"/>
                <w:sz w:val="21"/>
                <w:szCs w:val="21"/>
                <w:highlight w:val="none"/>
                <w:lang w:val="en-US"/>
              </w:rPr>
            </w:pPr>
            <w:r>
              <w:rPr>
                <w:rFonts w:hint="eastAsia" w:eastAsia="宋体" w:cs="Times New Roman"/>
                <w:color w:val="auto"/>
                <w:kern w:val="2"/>
                <w:sz w:val="21"/>
                <w:szCs w:val="21"/>
                <w:highlight w:val="none"/>
                <w:lang w:val="en-US" w:eastAsia="zh-CN" w:bidi="ar"/>
              </w:rPr>
              <w:t>54.76</w:t>
            </w:r>
          </w:p>
        </w:tc>
        <w:tc>
          <w:tcPr>
            <w:tcW w:w="3295" w:type="dxa"/>
            <w:tcBorders>
              <w:tl2br w:val="nil"/>
              <w:tr2bl w:val="nil"/>
            </w:tcBorders>
            <w:shd w:val="clear" w:color="auto" w:fill="auto"/>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color w:val="auto"/>
                <w:sz w:val="21"/>
                <w:szCs w:val="21"/>
                <w:highlight w:val="none"/>
                <w:lang w:val="en-US"/>
              </w:rPr>
            </w:pPr>
            <w:r>
              <w:rPr>
                <w:rFonts w:hint="eastAsia" w:eastAsia="宋体" w:cs="Times New Roman"/>
                <w:color w:val="auto"/>
                <w:kern w:val="2"/>
                <w:sz w:val="21"/>
                <w:szCs w:val="21"/>
                <w:highlight w:val="none"/>
                <w:lang w:val="en-US" w:eastAsia="zh-CN" w:bidi="ar"/>
              </w:rPr>
              <w:t>44.2</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color w:val="auto"/>
          <w:highlight w:val="none"/>
        </w:rPr>
      </w:pPr>
      <w:r>
        <w:rPr>
          <w:rFonts w:hint="eastAsia" w:ascii="Times New Roman" w:hAnsi="Times New Roman" w:eastAsia="宋体" w:cs="宋体"/>
          <w:color w:val="auto"/>
          <w:kern w:val="2"/>
          <w:sz w:val="24"/>
          <w:szCs w:val="24"/>
          <w:highlight w:val="none"/>
          <w:lang w:val="en-US" w:eastAsia="zh-CN" w:bidi="ar"/>
        </w:rPr>
        <w:t>对比城市区域环境噪声总体水平等级划分，曲沃县城市区域声环境质量昼间平均值属于二级，水平等级为</w:t>
      </w:r>
      <w:r>
        <w:rPr>
          <w:rFonts w:hint="default" w:ascii="Times New Roman" w:hAnsi="Times New Roman" w:eastAsia="宋体" w:cs="Times New Roman"/>
          <w:color w:val="auto"/>
          <w:kern w:val="2"/>
          <w:sz w:val="24"/>
          <w:szCs w:val="24"/>
          <w:highlight w:val="none"/>
          <w:lang w:val="en-US" w:eastAsia="zh-CN" w:bidi="ar"/>
        </w:rPr>
        <w:t>“</w:t>
      </w:r>
      <w:r>
        <w:rPr>
          <w:rFonts w:hint="eastAsia" w:ascii="Times New Roman" w:hAnsi="Times New Roman" w:eastAsia="宋体" w:cs="宋体"/>
          <w:color w:val="auto"/>
          <w:kern w:val="2"/>
          <w:sz w:val="24"/>
          <w:szCs w:val="24"/>
          <w:highlight w:val="none"/>
          <w:lang w:val="en-US" w:eastAsia="zh-CN" w:bidi="ar"/>
        </w:rPr>
        <w:t>较好</w:t>
      </w:r>
      <w:r>
        <w:rPr>
          <w:rFonts w:hint="default" w:ascii="Times New Roman" w:hAnsi="Times New Roman" w:eastAsia="宋体" w:cs="Times New Roman"/>
          <w:color w:val="auto"/>
          <w:kern w:val="2"/>
          <w:sz w:val="24"/>
          <w:szCs w:val="24"/>
          <w:highlight w:val="none"/>
          <w:lang w:val="en-US" w:eastAsia="zh-CN" w:bidi="ar"/>
        </w:rPr>
        <w:t>”</w:t>
      </w:r>
      <w:r>
        <w:rPr>
          <w:rFonts w:hint="eastAsia" w:ascii="Times New Roman" w:hAnsi="Times New Roman" w:eastAsia="宋体" w:cs="宋体"/>
          <w:color w:val="auto"/>
          <w:kern w:val="2"/>
          <w:sz w:val="24"/>
          <w:szCs w:val="24"/>
          <w:highlight w:val="none"/>
          <w:lang w:val="en-US" w:eastAsia="zh-CN" w:bidi="ar"/>
        </w:rPr>
        <w:t>，夜间平均值属于二级，水平等级为</w:t>
      </w:r>
      <w:r>
        <w:rPr>
          <w:rFonts w:hint="default" w:ascii="Times New Roman" w:hAnsi="Times New Roman" w:eastAsia="宋体" w:cs="Times New Roman"/>
          <w:color w:val="auto"/>
          <w:kern w:val="2"/>
          <w:sz w:val="24"/>
          <w:szCs w:val="24"/>
          <w:highlight w:val="none"/>
          <w:lang w:val="en-US" w:eastAsia="zh-CN" w:bidi="ar"/>
        </w:rPr>
        <w:t>“</w:t>
      </w:r>
      <w:r>
        <w:rPr>
          <w:rFonts w:hint="eastAsia" w:ascii="Times New Roman" w:hAnsi="Times New Roman" w:eastAsia="宋体" w:cs="宋体"/>
          <w:color w:val="auto"/>
          <w:kern w:val="2"/>
          <w:sz w:val="24"/>
          <w:szCs w:val="24"/>
          <w:highlight w:val="none"/>
          <w:lang w:val="en-US" w:eastAsia="zh-CN" w:bidi="ar"/>
        </w:rPr>
        <w:t>较好</w:t>
      </w:r>
      <w:r>
        <w:rPr>
          <w:rFonts w:hint="default" w:ascii="Times New Roman" w:hAnsi="Times New Roman" w:eastAsia="宋体" w:cs="Times New Roman"/>
          <w:color w:val="auto"/>
          <w:kern w:val="2"/>
          <w:sz w:val="24"/>
          <w:szCs w:val="24"/>
          <w:highlight w:val="none"/>
          <w:lang w:val="en-US" w:eastAsia="zh-CN" w:bidi="ar"/>
        </w:rPr>
        <w:t>”</w:t>
      </w:r>
      <w:r>
        <w:rPr>
          <w:rFonts w:hint="eastAsia" w:ascii="Times New Roman" w:hAnsi="Times New Roman" w:eastAsia="宋体" w:cs="宋体"/>
          <w:color w:val="auto"/>
          <w:kern w:val="2"/>
          <w:sz w:val="24"/>
          <w:szCs w:val="24"/>
          <w:highlight w:val="none"/>
          <w:lang w:val="en-US" w:eastAsia="zh-CN" w:bidi="ar"/>
        </w:rPr>
        <w:t>。</w:t>
      </w:r>
    </w:p>
    <w:p>
      <w:pPr>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（3）噪声污染水平分析及空间分布图</w:t>
      </w:r>
    </w:p>
    <w:p>
      <w:pPr>
        <w:pStyle w:val="23"/>
        <w:rPr>
          <w:rFonts w:hint="default" w:ascii="Times New Roman" w:hAnsi="Times New Roman" w:cs="Times New Roman" w:eastAsiaTheme="minorEastAsia"/>
          <w:color w:val="auto"/>
          <w:lang w:val="en-US" w:eastAsia="zh-CN"/>
        </w:rPr>
      </w:pPr>
      <w:r>
        <w:rPr>
          <w:rFonts w:hint="default" w:ascii="Times New Roman" w:hAnsi="Times New Roman" w:cs="Times New Roman" w:eastAsiaTheme="minorEastAsia"/>
          <w:color w:val="auto"/>
          <w:lang w:val="en-US" w:eastAsia="zh-CN"/>
        </w:rPr>
        <w:t>根据每个监测网格中心的噪声值及对应的网格面积，统计不同噪声影响水平下的面积百分比</w:t>
      </w:r>
      <w:r>
        <w:rPr>
          <w:rFonts w:hint="eastAsia" w:ascii="Times New Roman" w:hAnsi="Times New Roman" w:cs="Times New Roman" w:eastAsiaTheme="minorEastAsia"/>
          <w:color w:val="auto"/>
          <w:lang w:val="en-US" w:eastAsia="zh-CN"/>
        </w:rPr>
        <w:t>，见表4-4</w:t>
      </w:r>
      <w:r>
        <w:rPr>
          <w:rFonts w:hint="default" w:ascii="Times New Roman" w:hAnsi="Times New Roman" w:cs="Times New Roman" w:eastAsiaTheme="minorEastAsia"/>
          <w:color w:val="auto"/>
          <w:lang w:val="en-US" w:eastAsia="zh-CN"/>
        </w:rPr>
        <w:t>。由于城市建成区人口分布不均匀，报告对受影响人口未进行估算。</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bCs/>
          <w:color w:val="auto"/>
          <w:kern w:val="2"/>
          <w:sz w:val="21"/>
          <w:szCs w:val="21"/>
          <w:lang w:val="en-US" w:eastAsia="zh-CN" w:bidi="ar"/>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FF"/>
          <w:sz w:val="21"/>
          <w:szCs w:val="21"/>
          <w:lang w:val="en-US" w:eastAsia="zh-CN"/>
        </w:rPr>
      </w:pPr>
      <w:r>
        <w:rPr>
          <w:rFonts w:hint="eastAsia" w:ascii="Times New Roman" w:hAnsi="Times New Roman" w:eastAsia="宋体" w:cs="Times New Roman"/>
          <w:b/>
          <w:bCs/>
          <w:color w:val="0000FF"/>
          <w:kern w:val="2"/>
          <w:sz w:val="21"/>
          <w:szCs w:val="21"/>
          <w:lang w:val="en-US" w:eastAsia="zh-CN" w:bidi="ar"/>
        </w:rPr>
        <w:t xml:space="preserve">表4-4  </w:t>
      </w:r>
      <w:r>
        <w:rPr>
          <w:rFonts w:hint="default" w:ascii="Times New Roman" w:hAnsi="Times New Roman" w:eastAsia="宋体" w:cs="Times New Roman"/>
          <w:b/>
          <w:bCs/>
          <w:color w:val="0000FF"/>
          <w:kern w:val="2"/>
          <w:sz w:val="21"/>
          <w:szCs w:val="21"/>
          <w:lang w:val="en-US" w:eastAsia="zh-CN" w:bidi="ar"/>
        </w:rPr>
        <w:t xml:space="preserve"> </w:t>
      </w:r>
      <w:r>
        <w:rPr>
          <w:rFonts w:hint="eastAsia" w:ascii="Times New Roman" w:hAnsi="Times New Roman" w:eastAsia="宋体" w:cs="Times New Roman"/>
          <w:b/>
          <w:bCs/>
          <w:color w:val="0000FF"/>
          <w:kern w:val="2"/>
          <w:sz w:val="21"/>
          <w:szCs w:val="21"/>
          <w:lang w:val="en-US" w:eastAsia="zh-CN" w:bidi="ar"/>
        </w:rPr>
        <w:t>区域环境不同噪声影响水平划分表</w:t>
      </w:r>
    </w:p>
    <w:tbl>
      <w:tblPr>
        <w:tblStyle w:val="24"/>
        <w:tblW w:w="852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5"/>
        <w:gridCol w:w="1484"/>
        <w:gridCol w:w="1102"/>
        <w:gridCol w:w="1102"/>
        <w:gridCol w:w="1102"/>
        <w:gridCol w:w="2"/>
        <w:gridCol w:w="1100"/>
        <w:gridCol w:w="1102"/>
        <w:gridCol w:w="110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425" w:type="dxa"/>
            <w:vMerge w:val="restar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lang w:val="en-US"/>
              </w:rPr>
            </w:pPr>
            <w:r>
              <w:rPr>
                <w:rFonts w:hint="default" w:ascii="Times New Roman" w:hAnsi="Times New Roman" w:cs="Times New Roman" w:eastAsiaTheme="minorEastAsia"/>
                <w:color w:val="0000FF"/>
                <w:kern w:val="2"/>
                <w:sz w:val="21"/>
                <w:szCs w:val="21"/>
                <w:lang w:val="en-US" w:eastAsia="zh-CN" w:bidi="ar"/>
              </w:rPr>
              <w:t>序号</w:t>
            </w:r>
          </w:p>
        </w:tc>
        <w:tc>
          <w:tcPr>
            <w:tcW w:w="1484" w:type="dxa"/>
            <w:vMerge w:val="restar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lang w:val="en-US"/>
              </w:rPr>
            </w:pPr>
            <w:r>
              <w:rPr>
                <w:rFonts w:hint="default" w:ascii="Times New Roman" w:hAnsi="Times New Roman" w:cs="Times New Roman" w:eastAsiaTheme="minorEastAsia"/>
                <w:color w:val="0000FF"/>
                <w:kern w:val="2"/>
                <w:sz w:val="21"/>
                <w:szCs w:val="21"/>
                <w:lang w:val="en-US" w:eastAsia="zh-CN" w:bidi="ar"/>
              </w:rPr>
              <w:t>等效声级范围（dB(A)）</w:t>
            </w:r>
          </w:p>
        </w:tc>
        <w:tc>
          <w:tcPr>
            <w:tcW w:w="3308" w:type="dxa"/>
            <w:gridSpan w:val="4"/>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lang w:val="en-US"/>
              </w:rPr>
            </w:pPr>
            <w:r>
              <w:rPr>
                <w:rFonts w:hint="default" w:ascii="Times New Roman" w:hAnsi="Times New Roman" w:cs="Times New Roman" w:eastAsiaTheme="minorEastAsia"/>
                <w:color w:val="0000FF"/>
                <w:kern w:val="2"/>
                <w:sz w:val="21"/>
                <w:szCs w:val="21"/>
                <w:lang w:val="en-US" w:eastAsia="zh-CN" w:bidi="ar"/>
              </w:rPr>
              <w:t>昼间</w:t>
            </w:r>
          </w:p>
        </w:tc>
        <w:tc>
          <w:tcPr>
            <w:tcW w:w="3308" w:type="dxa"/>
            <w:gridSpan w:val="3"/>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lang w:val="en-US"/>
              </w:rPr>
            </w:pPr>
            <w:r>
              <w:rPr>
                <w:rFonts w:hint="default" w:ascii="Times New Roman" w:hAnsi="Times New Roman" w:cs="Times New Roman" w:eastAsiaTheme="minorEastAsia"/>
                <w:color w:val="0000FF"/>
                <w:kern w:val="2"/>
                <w:sz w:val="21"/>
                <w:szCs w:val="21"/>
                <w:lang w:val="en-US" w:eastAsia="zh-CN" w:bidi="ar"/>
              </w:rPr>
              <w:t>夜间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25" w:type="dxa"/>
            <w:vMerge w:val="continue"/>
            <w:tcBorders>
              <w:tl2br w:val="nil"/>
              <w:tr2bl w:val="nil"/>
            </w:tcBorders>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rPr>
                <w:rFonts w:hint="default" w:ascii="Times New Roman" w:hAnsi="Times New Roman" w:cs="Times New Roman" w:eastAsiaTheme="minorEastAsia"/>
                <w:color w:val="0000FF"/>
                <w:sz w:val="21"/>
                <w:szCs w:val="21"/>
              </w:rPr>
            </w:pPr>
          </w:p>
        </w:tc>
        <w:tc>
          <w:tcPr>
            <w:tcW w:w="1484" w:type="dxa"/>
            <w:vMerge w:val="continue"/>
            <w:tcBorders>
              <w:tl2br w:val="nil"/>
              <w:tr2bl w:val="nil"/>
            </w:tcBorders>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rPr>
                <w:rFonts w:hint="default" w:ascii="Times New Roman" w:hAnsi="Times New Roman" w:cs="Times New Roman" w:eastAsiaTheme="minorEastAsia"/>
                <w:color w:val="0000FF"/>
                <w:sz w:val="21"/>
                <w:szCs w:val="21"/>
              </w:rPr>
            </w:pPr>
          </w:p>
        </w:tc>
        <w:tc>
          <w:tcPr>
            <w:tcW w:w="110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lang w:val="en-US" w:eastAsia="zh-CN"/>
              </w:rPr>
            </w:pPr>
            <w:r>
              <w:rPr>
                <w:rFonts w:hint="default" w:ascii="Times New Roman" w:hAnsi="Times New Roman" w:cs="Times New Roman" w:eastAsiaTheme="minorEastAsia"/>
                <w:color w:val="0000FF"/>
                <w:sz w:val="21"/>
                <w:szCs w:val="21"/>
                <w:lang w:val="en-US" w:eastAsia="zh-CN"/>
              </w:rPr>
              <w:t>网格数</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lang w:val="en-US"/>
              </w:rPr>
            </w:pPr>
            <w:r>
              <w:rPr>
                <w:rFonts w:hint="default" w:ascii="Times New Roman" w:hAnsi="Times New Roman" w:cs="Times New Roman" w:eastAsiaTheme="minorEastAsia"/>
                <w:color w:val="0000FF"/>
                <w:sz w:val="21"/>
                <w:szCs w:val="21"/>
                <w:lang w:val="en-US" w:eastAsia="zh-CN"/>
              </w:rPr>
              <w:t>（个）</w:t>
            </w:r>
          </w:p>
        </w:tc>
        <w:tc>
          <w:tcPr>
            <w:tcW w:w="110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kern w:val="2"/>
                <w:sz w:val="21"/>
                <w:szCs w:val="21"/>
                <w:lang w:val="en-US" w:eastAsia="zh-CN" w:bidi="ar"/>
              </w:rPr>
            </w:pPr>
            <w:r>
              <w:rPr>
                <w:rFonts w:hint="default" w:ascii="Times New Roman" w:hAnsi="Times New Roman" w:cs="Times New Roman" w:eastAsiaTheme="minorEastAsia"/>
                <w:color w:val="0000FF"/>
                <w:kern w:val="2"/>
                <w:sz w:val="21"/>
                <w:szCs w:val="21"/>
                <w:lang w:val="en-US" w:eastAsia="zh-CN" w:bidi="ar"/>
              </w:rPr>
              <w:t>面积</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cs="Times New Roman" w:eastAsiaTheme="minorEastAsia"/>
                <w:color w:val="0000FF"/>
                <w:kern w:val="2"/>
                <w:sz w:val="21"/>
                <w:szCs w:val="21"/>
                <w:lang w:val="en-US" w:eastAsia="zh-CN" w:bidi="ar"/>
              </w:rPr>
            </w:pPr>
            <w:r>
              <w:rPr>
                <w:rFonts w:hint="default" w:ascii="Times New Roman" w:hAnsi="Times New Roman" w:cs="Times New Roman" w:eastAsiaTheme="minorEastAsia"/>
                <w:color w:val="0000FF"/>
                <w:kern w:val="2"/>
                <w:sz w:val="21"/>
                <w:szCs w:val="21"/>
                <w:lang w:val="en-US" w:eastAsia="zh-CN" w:bidi="ar"/>
              </w:rPr>
              <w:t>（km</w:t>
            </w:r>
            <w:r>
              <w:rPr>
                <w:rFonts w:hint="default" w:ascii="Times New Roman" w:hAnsi="Times New Roman" w:cs="Times New Roman" w:eastAsiaTheme="minorEastAsia"/>
                <w:color w:val="0000FF"/>
                <w:kern w:val="2"/>
                <w:sz w:val="21"/>
                <w:szCs w:val="21"/>
                <w:vertAlign w:val="superscript"/>
                <w:lang w:val="en-US" w:eastAsia="zh-CN" w:bidi="ar"/>
              </w:rPr>
              <w:t>2</w:t>
            </w:r>
            <w:r>
              <w:rPr>
                <w:rFonts w:hint="default" w:ascii="Times New Roman" w:hAnsi="Times New Roman" w:cs="Times New Roman" w:eastAsiaTheme="minorEastAsia"/>
                <w:color w:val="0000FF"/>
                <w:kern w:val="2"/>
                <w:sz w:val="21"/>
                <w:szCs w:val="21"/>
                <w:lang w:val="en-US" w:eastAsia="zh-CN" w:bidi="ar"/>
              </w:rPr>
              <w:t>）</w:t>
            </w:r>
          </w:p>
        </w:tc>
        <w:tc>
          <w:tcPr>
            <w:tcW w:w="110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kern w:val="2"/>
                <w:sz w:val="21"/>
                <w:szCs w:val="21"/>
                <w:lang w:val="en-US" w:eastAsia="zh-CN" w:bidi="ar"/>
              </w:rPr>
            </w:pPr>
            <w:r>
              <w:rPr>
                <w:rFonts w:hint="default" w:ascii="Times New Roman" w:hAnsi="Times New Roman" w:cs="Times New Roman" w:eastAsiaTheme="minorEastAsia"/>
                <w:color w:val="0000FF"/>
                <w:kern w:val="2"/>
                <w:sz w:val="21"/>
                <w:szCs w:val="21"/>
                <w:lang w:val="en-US" w:eastAsia="zh-CN" w:bidi="ar"/>
              </w:rPr>
              <w:t>所占比</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lang w:val="en-US"/>
              </w:rPr>
            </w:pPr>
            <w:r>
              <w:rPr>
                <w:rFonts w:hint="default" w:ascii="Times New Roman" w:hAnsi="Times New Roman" w:cs="Times New Roman" w:eastAsiaTheme="minorEastAsia"/>
                <w:color w:val="0000FF"/>
                <w:kern w:val="2"/>
                <w:sz w:val="21"/>
                <w:szCs w:val="21"/>
                <w:lang w:val="en-US" w:eastAsia="zh-CN" w:bidi="ar"/>
              </w:rPr>
              <w:t>例（%）</w:t>
            </w:r>
          </w:p>
        </w:tc>
        <w:tc>
          <w:tcPr>
            <w:tcW w:w="1102" w:type="dxa"/>
            <w:gridSpan w:val="2"/>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lang w:val="en-US" w:eastAsia="zh-CN"/>
              </w:rPr>
            </w:pPr>
            <w:r>
              <w:rPr>
                <w:rFonts w:hint="default" w:ascii="Times New Roman" w:hAnsi="Times New Roman" w:cs="Times New Roman" w:eastAsiaTheme="minorEastAsia"/>
                <w:color w:val="0000FF"/>
                <w:sz w:val="21"/>
                <w:szCs w:val="21"/>
                <w:lang w:val="en-US" w:eastAsia="zh-CN"/>
              </w:rPr>
              <w:t>网格数</w:t>
            </w:r>
          </w:p>
          <w:p>
            <w:pPr>
              <w:pStyle w:val="23"/>
              <w:keepNext w:val="0"/>
              <w:keepLines w:val="0"/>
              <w:suppressLineNumbers w:val="0"/>
              <w:spacing w:before="0" w:beforeAutospacing="0" w:after="0" w:afterAutospacing="0"/>
              <w:ind w:left="0" w:leftChars="0" w:right="0" w:firstLine="0" w:firstLineChars="0"/>
              <w:jc w:val="center"/>
              <w:rPr>
                <w:rFonts w:hint="default" w:ascii="Times New Roman" w:hAnsi="Times New Roman" w:cs="Times New Roman" w:eastAsiaTheme="minorEastAsia"/>
                <w:color w:val="0000FF"/>
                <w:sz w:val="21"/>
                <w:szCs w:val="21"/>
                <w:lang w:val="en-US" w:eastAsia="zh-CN"/>
              </w:rPr>
            </w:pPr>
            <w:r>
              <w:rPr>
                <w:rFonts w:hint="default" w:ascii="Times New Roman" w:hAnsi="Times New Roman" w:cs="Times New Roman" w:eastAsiaTheme="minorEastAsia"/>
                <w:color w:val="0000FF"/>
                <w:sz w:val="21"/>
                <w:szCs w:val="21"/>
                <w:lang w:val="en-US" w:eastAsia="zh-CN"/>
              </w:rPr>
              <w:t>（个）</w:t>
            </w:r>
          </w:p>
        </w:tc>
        <w:tc>
          <w:tcPr>
            <w:tcW w:w="110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kern w:val="2"/>
                <w:sz w:val="21"/>
                <w:szCs w:val="21"/>
                <w:lang w:val="en-US" w:eastAsia="zh-CN" w:bidi="ar"/>
              </w:rPr>
            </w:pPr>
            <w:r>
              <w:rPr>
                <w:rFonts w:hint="default" w:ascii="Times New Roman" w:hAnsi="Times New Roman" w:cs="Times New Roman" w:eastAsiaTheme="minorEastAsia"/>
                <w:color w:val="0000FF"/>
                <w:kern w:val="2"/>
                <w:sz w:val="21"/>
                <w:szCs w:val="21"/>
                <w:lang w:val="en-US" w:eastAsia="zh-CN" w:bidi="ar"/>
              </w:rPr>
              <w:t>面积</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default" w:ascii="Times New Roman" w:hAnsi="Times New Roman" w:cs="Times New Roman" w:eastAsiaTheme="minorEastAsia"/>
                <w:color w:val="0000FF"/>
                <w:kern w:val="2"/>
                <w:sz w:val="21"/>
                <w:szCs w:val="21"/>
                <w:lang w:val="en-US" w:eastAsia="zh-CN" w:bidi="ar"/>
              </w:rPr>
            </w:pPr>
            <w:r>
              <w:rPr>
                <w:rFonts w:hint="default" w:ascii="Times New Roman" w:hAnsi="Times New Roman" w:cs="Times New Roman" w:eastAsiaTheme="minorEastAsia"/>
                <w:color w:val="0000FF"/>
                <w:kern w:val="2"/>
                <w:sz w:val="21"/>
                <w:szCs w:val="21"/>
                <w:lang w:val="en-US" w:eastAsia="zh-CN" w:bidi="ar"/>
              </w:rPr>
              <w:t>（km</w:t>
            </w:r>
            <w:r>
              <w:rPr>
                <w:rFonts w:hint="default" w:ascii="Times New Roman" w:hAnsi="Times New Roman" w:cs="Times New Roman" w:eastAsiaTheme="minorEastAsia"/>
                <w:color w:val="0000FF"/>
                <w:kern w:val="2"/>
                <w:sz w:val="21"/>
                <w:szCs w:val="21"/>
                <w:vertAlign w:val="superscript"/>
                <w:lang w:val="en-US" w:eastAsia="zh-CN" w:bidi="ar"/>
              </w:rPr>
              <w:t>2</w:t>
            </w:r>
            <w:r>
              <w:rPr>
                <w:rFonts w:hint="default" w:ascii="Times New Roman" w:hAnsi="Times New Roman" w:cs="Times New Roman" w:eastAsiaTheme="minorEastAsia"/>
                <w:color w:val="0000FF"/>
                <w:kern w:val="2"/>
                <w:sz w:val="21"/>
                <w:szCs w:val="21"/>
                <w:lang w:val="en-US" w:eastAsia="zh-CN" w:bidi="ar"/>
              </w:rPr>
              <w:t>）</w:t>
            </w:r>
          </w:p>
        </w:tc>
        <w:tc>
          <w:tcPr>
            <w:tcW w:w="1106"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kern w:val="2"/>
                <w:sz w:val="21"/>
                <w:szCs w:val="21"/>
                <w:lang w:val="en-US" w:eastAsia="zh-CN" w:bidi="ar"/>
              </w:rPr>
            </w:pPr>
            <w:r>
              <w:rPr>
                <w:rFonts w:hint="default" w:ascii="Times New Roman" w:hAnsi="Times New Roman" w:cs="Times New Roman" w:eastAsiaTheme="minorEastAsia"/>
                <w:color w:val="0000FF"/>
                <w:kern w:val="2"/>
                <w:sz w:val="21"/>
                <w:szCs w:val="21"/>
                <w:lang w:val="en-US" w:eastAsia="zh-CN" w:bidi="ar"/>
              </w:rPr>
              <w:t>所占比</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lang w:val="en-US"/>
              </w:rPr>
            </w:pPr>
            <w:r>
              <w:rPr>
                <w:rFonts w:hint="default" w:ascii="Times New Roman" w:hAnsi="Times New Roman" w:cs="Times New Roman" w:eastAsiaTheme="minorEastAsia"/>
                <w:color w:val="0000FF"/>
                <w:kern w:val="2"/>
                <w:sz w:val="21"/>
                <w:szCs w:val="21"/>
                <w:lang w:val="en-US" w:eastAsia="zh-CN" w:bidi="ar"/>
              </w:rPr>
              <w:t>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25"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lang w:val="en-US"/>
              </w:rPr>
            </w:pPr>
            <w:r>
              <w:rPr>
                <w:rFonts w:hint="default" w:ascii="Times New Roman" w:hAnsi="Times New Roman" w:cs="Times New Roman" w:eastAsiaTheme="minorEastAsia"/>
                <w:color w:val="0000FF"/>
                <w:kern w:val="2"/>
                <w:sz w:val="21"/>
                <w:szCs w:val="21"/>
                <w:lang w:val="en-US" w:eastAsia="zh-CN" w:bidi="ar"/>
              </w:rPr>
              <w:t>1</w:t>
            </w:r>
          </w:p>
        </w:tc>
        <w:tc>
          <w:tcPr>
            <w:tcW w:w="1484"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lang w:val="en-US"/>
              </w:rPr>
            </w:pPr>
            <w:r>
              <w:rPr>
                <w:rFonts w:hint="default" w:ascii="Times New Roman" w:hAnsi="Times New Roman" w:cs="Times New Roman" w:eastAsiaTheme="minorEastAsia"/>
                <w:color w:val="0000FF"/>
                <w:kern w:val="2"/>
                <w:sz w:val="21"/>
                <w:szCs w:val="21"/>
                <w:lang w:val="en-US" w:eastAsia="zh-CN" w:bidi="ar"/>
              </w:rPr>
              <w:t>L</w:t>
            </w:r>
            <w:r>
              <w:rPr>
                <w:rFonts w:hint="default" w:ascii="Times New Roman" w:hAnsi="Times New Roman" w:cs="Times New Roman" w:eastAsiaTheme="minorEastAsia"/>
                <w:color w:val="0000FF"/>
                <w:kern w:val="2"/>
                <w:sz w:val="21"/>
                <w:szCs w:val="21"/>
                <w:vertAlign w:val="subscript"/>
                <w:lang w:val="en-US" w:eastAsia="zh-CN" w:bidi="ar"/>
              </w:rPr>
              <w:t>eq</w:t>
            </w:r>
            <w:r>
              <w:rPr>
                <w:rFonts w:hint="default" w:ascii="Times New Roman" w:hAnsi="Times New Roman" w:cs="Times New Roman" w:eastAsiaTheme="minorEastAsia"/>
                <w:color w:val="0000FF"/>
                <w:kern w:val="2"/>
                <w:sz w:val="21"/>
                <w:szCs w:val="21"/>
                <w:lang w:val="en-US" w:eastAsia="zh-CN" w:bidi="ar"/>
              </w:rPr>
              <w:t xml:space="preserve"> ≤35</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left"/>
              <w:rPr>
                <w:rFonts w:hint="default"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0</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left"/>
              <w:rPr>
                <w:rFonts w:hint="default"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0</w:t>
            </w:r>
          </w:p>
        </w:tc>
        <w:tc>
          <w:tcPr>
            <w:tcW w:w="1102" w:type="dxa"/>
            <w:tcBorders>
              <w:tl2br w:val="nil"/>
              <w:tr2bl w:val="nil"/>
            </w:tcBorders>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bottom"/>
              <w:rPr>
                <w:rFonts w:hint="eastAsia" w:ascii="Times New Roman" w:hAnsi="Times New Roman"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0</w:t>
            </w:r>
          </w:p>
        </w:tc>
        <w:tc>
          <w:tcPr>
            <w:tcW w:w="1102" w:type="dxa"/>
            <w:gridSpan w:val="2"/>
            <w:tcBorders>
              <w:tl2br w:val="nil"/>
              <w:tr2bl w:val="nil"/>
            </w:tcBorders>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bottom"/>
              <w:rPr>
                <w:rFonts w:hint="eastAsia" w:ascii="Times New Roman" w:hAnsi="Times New Roman"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0</w:t>
            </w:r>
          </w:p>
        </w:tc>
        <w:tc>
          <w:tcPr>
            <w:tcW w:w="1102" w:type="dxa"/>
            <w:tcBorders>
              <w:tl2br w:val="nil"/>
              <w:tr2bl w:val="nil"/>
            </w:tcBorders>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bottom"/>
              <w:rPr>
                <w:rFonts w:hint="default" w:ascii="Times New Roman" w:hAnsi="Times New Roman" w:cs="Times New Roman" w:eastAsiaTheme="minorEastAsia"/>
                <w:color w:val="0000FF"/>
                <w:kern w:val="0"/>
                <w:sz w:val="21"/>
                <w:szCs w:val="21"/>
                <w:highlight w:val="none"/>
                <w:lang w:val="en-US" w:eastAsia="zh-CN" w:bidi="ar"/>
              </w:rPr>
            </w:pPr>
            <w:r>
              <w:rPr>
                <w:rFonts w:hint="eastAsia" w:cs="Times New Roman" w:eastAsiaTheme="minorEastAsia"/>
                <w:color w:val="0000FF"/>
                <w:kern w:val="0"/>
                <w:sz w:val="21"/>
                <w:szCs w:val="21"/>
                <w:highlight w:val="none"/>
                <w:lang w:val="en-US" w:eastAsia="zh-CN" w:bidi="ar"/>
              </w:rPr>
              <w:t>0</w:t>
            </w:r>
          </w:p>
        </w:tc>
        <w:tc>
          <w:tcPr>
            <w:tcW w:w="1106" w:type="dxa"/>
            <w:tcBorders>
              <w:tl2br w:val="nil"/>
              <w:tr2bl w:val="nil"/>
            </w:tcBorders>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left"/>
              <w:textAlignment w:val="bottom"/>
              <w:rPr>
                <w:rFonts w:hint="eastAsia" w:ascii="Times New Roman" w:hAnsi="Times New Roman"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25"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lang w:val="en-US"/>
              </w:rPr>
            </w:pPr>
            <w:r>
              <w:rPr>
                <w:rFonts w:hint="default" w:ascii="Times New Roman" w:hAnsi="Times New Roman" w:cs="Times New Roman" w:eastAsiaTheme="minorEastAsia"/>
                <w:color w:val="0000FF"/>
                <w:kern w:val="2"/>
                <w:sz w:val="21"/>
                <w:szCs w:val="21"/>
                <w:lang w:val="en-US" w:eastAsia="zh-CN" w:bidi="ar"/>
              </w:rPr>
              <w:t>2</w:t>
            </w:r>
          </w:p>
        </w:tc>
        <w:tc>
          <w:tcPr>
            <w:tcW w:w="1484"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lang w:val="en-US"/>
              </w:rPr>
            </w:pPr>
            <w:r>
              <w:rPr>
                <w:rFonts w:hint="default" w:ascii="Times New Roman" w:hAnsi="Times New Roman" w:cs="Times New Roman" w:eastAsiaTheme="minorEastAsia"/>
                <w:color w:val="0000FF"/>
                <w:kern w:val="2"/>
                <w:sz w:val="21"/>
                <w:szCs w:val="21"/>
                <w:lang w:val="en-US" w:eastAsia="zh-CN" w:bidi="ar"/>
              </w:rPr>
              <w:t>35 &lt; L</w:t>
            </w:r>
            <w:r>
              <w:rPr>
                <w:rFonts w:hint="default" w:ascii="Times New Roman" w:hAnsi="Times New Roman" w:cs="Times New Roman" w:eastAsiaTheme="minorEastAsia"/>
                <w:color w:val="0000FF"/>
                <w:kern w:val="2"/>
                <w:sz w:val="21"/>
                <w:szCs w:val="21"/>
                <w:vertAlign w:val="subscript"/>
                <w:lang w:val="en-US" w:eastAsia="zh-CN" w:bidi="ar"/>
              </w:rPr>
              <w:t>eq</w:t>
            </w:r>
            <w:r>
              <w:rPr>
                <w:rFonts w:hint="default" w:ascii="Times New Roman" w:hAnsi="Times New Roman" w:cs="Times New Roman" w:eastAsiaTheme="minorEastAsia"/>
                <w:color w:val="0000FF"/>
                <w:kern w:val="2"/>
                <w:sz w:val="21"/>
                <w:szCs w:val="21"/>
                <w:lang w:val="en-US" w:eastAsia="zh-CN" w:bidi="ar"/>
              </w:rPr>
              <w:t xml:space="preserve"> ≤40</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rPr>
                <w:rFonts w:hint="eastAsia"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0</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rPr>
                <w:rFonts w:hint="default"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0</w:t>
            </w:r>
          </w:p>
        </w:tc>
        <w:tc>
          <w:tcPr>
            <w:tcW w:w="1102" w:type="dxa"/>
            <w:tcBorders>
              <w:tl2br w:val="nil"/>
              <w:tr2bl w:val="nil"/>
            </w:tcBorders>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bottom"/>
              <w:rPr>
                <w:rFonts w:hint="eastAsia" w:ascii="Times New Roman" w:hAnsi="Times New Roman"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0</w:t>
            </w:r>
          </w:p>
        </w:tc>
        <w:tc>
          <w:tcPr>
            <w:tcW w:w="1102" w:type="dxa"/>
            <w:gridSpan w:val="2"/>
            <w:tcBorders>
              <w:tl2br w:val="nil"/>
              <w:tr2bl w:val="nil"/>
            </w:tcBorders>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bottom"/>
              <w:rPr>
                <w:rFonts w:hint="eastAsia" w:ascii="Times New Roman" w:hAnsi="Times New Roman"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20</w:t>
            </w:r>
          </w:p>
        </w:tc>
        <w:tc>
          <w:tcPr>
            <w:tcW w:w="1102" w:type="dxa"/>
            <w:tcBorders>
              <w:tl2br w:val="nil"/>
              <w:tr2bl w:val="nil"/>
            </w:tcBorders>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bottom"/>
              <w:rPr>
                <w:rFonts w:hint="default"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1.57</w:t>
            </w:r>
          </w:p>
        </w:tc>
        <w:tc>
          <w:tcPr>
            <w:tcW w:w="1106" w:type="dxa"/>
            <w:tcBorders>
              <w:tl2br w:val="nil"/>
              <w:tr2bl w:val="nil"/>
            </w:tcBorders>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bottom"/>
              <w:rPr>
                <w:rFonts w:hint="eastAsia"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18.54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25"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lang w:val="en-US"/>
              </w:rPr>
            </w:pPr>
            <w:r>
              <w:rPr>
                <w:rFonts w:hint="default" w:ascii="Times New Roman" w:hAnsi="Times New Roman" w:cs="Times New Roman" w:eastAsiaTheme="minorEastAsia"/>
                <w:color w:val="0000FF"/>
                <w:kern w:val="2"/>
                <w:sz w:val="21"/>
                <w:szCs w:val="21"/>
                <w:lang w:val="en-US" w:eastAsia="zh-CN" w:bidi="ar"/>
              </w:rPr>
              <w:t>3</w:t>
            </w:r>
          </w:p>
        </w:tc>
        <w:tc>
          <w:tcPr>
            <w:tcW w:w="1484"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highlight w:val="none"/>
                <w:lang w:val="en-US"/>
              </w:rPr>
            </w:pPr>
            <w:r>
              <w:rPr>
                <w:rFonts w:hint="default" w:ascii="Times New Roman" w:hAnsi="Times New Roman" w:cs="Times New Roman" w:eastAsiaTheme="minorEastAsia"/>
                <w:color w:val="0000FF"/>
                <w:kern w:val="2"/>
                <w:sz w:val="21"/>
                <w:szCs w:val="21"/>
                <w:highlight w:val="none"/>
                <w:lang w:val="en-US" w:eastAsia="zh-CN" w:bidi="ar"/>
              </w:rPr>
              <w:t>40 &lt; L</w:t>
            </w:r>
            <w:r>
              <w:rPr>
                <w:rFonts w:hint="default" w:ascii="Times New Roman" w:hAnsi="Times New Roman" w:cs="Times New Roman" w:eastAsiaTheme="minorEastAsia"/>
                <w:color w:val="0000FF"/>
                <w:kern w:val="2"/>
                <w:sz w:val="21"/>
                <w:szCs w:val="21"/>
                <w:highlight w:val="none"/>
                <w:vertAlign w:val="subscript"/>
                <w:lang w:val="en-US" w:eastAsia="zh-CN" w:bidi="ar"/>
              </w:rPr>
              <w:t xml:space="preserve">eq </w:t>
            </w:r>
            <w:r>
              <w:rPr>
                <w:rFonts w:hint="default" w:ascii="Times New Roman" w:hAnsi="Times New Roman" w:cs="Times New Roman" w:eastAsiaTheme="minorEastAsia"/>
                <w:color w:val="0000FF"/>
                <w:kern w:val="2"/>
                <w:sz w:val="21"/>
                <w:szCs w:val="21"/>
                <w:highlight w:val="none"/>
                <w:lang w:val="en-US" w:eastAsia="zh-CN" w:bidi="ar"/>
              </w:rPr>
              <w:t>≤45</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left"/>
              <w:rPr>
                <w:rFonts w:hint="eastAsia"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2</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0.16</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eastAsia"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 xml:space="preserve">1.89 </w:t>
            </w:r>
          </w:p>
        </w:tc>
        <w:tc>
          <w:tcPr>
            <w:tcW w:w="1102" w:type="dxa"/>
            <w:gridSpan w:val="2"/>
            <w:tcBorders>
              <w:tl2br w:val="nil"/>
              <w:tr2bl w:val="nil"/>
            </w:tcBorders>
            <w:shd w:val="clear" w:color="auto" w:fill="auto"/>
            <w:vAlign w:val="bottom"/>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eastAsia"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52</w:t>
            </w:r>
          </w:p>
        </w:tc>
        <w:tc>
          <w:tcPr>
            <w:tcW w:w="110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bottom"/>
              <w:rPr>
                <w:rFonts w:hint="default"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 xml:space="preserve">4.08 </w:t>
            </w:r>
          </w:p>
        </w:tc>
        <w:tc>
          <w:tcPr>
            <w:tcW w:w="1106"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bottom"/>
              <w:rPr>
                <w:rFonts w:hint="default"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 xml:space="preserve">48.17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25"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lang w:val="en-US"/>
              </w:rPr>
            </w:pPr>
            <w:r>
              <w:rPr>
                <w:rFonts w:hint="default" w:ascii="Times New Roman" w:hAnsi="Times New Roman" w:cs="Times New Roman" w:eastAsiaTheme="minorEastAsia"/>
                <w:color w:val="0000FF"/>
                <w:kern w:val="2"/>
                <w:sz w:val="21"/>
                <w:szCs w:val="21"/>
                <w:lang w:val="en-US" w:eastAsia="zh-CN" w:bidi="ar"/>
              </w:rPr>
              <w:t>4</w:t>
            </w:r>
          </w:p>
        </w:tc>
        <w:tc>
          <w:tcPr>
            <w:tcW w:w="1484"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highlight w:val="none"/>
                <w:lang w:val="en-US"/>
              </w:rPr>
            </w:pPr>
            <w:r>
              <w:rPr>
                <w:rFonts w:hint="default" w:ascii="Times New Roman" w:hAnsi="Times New Roman" w:cs="Times New Roman" w:eastAsiaTheme="minorEastAsia"/>
                <w:color w:val="0000FF"/>
                <w:kern w:val="2"/>
                <w:sz w:val="21"/>
                <w:szCs w:val="21"/>
                <w:highlight w:val="none"/>
                <w:lang w:val="en-US" w:eastAsia="zh-CN" w:bidi="ar"/>
              </w:rPr>
              <w:t>45 &lt; L</w:t>
            </w:r>
            <w:r>
              <w:rPr>
                <w:rFonts w:hint="default" w:ascii="Times New Roman" w:hAnsi="Times New Roman" w:cs="Times New Roman" w:eastAsiaTheme="minorEastAsia"/>
                <w:color w:val="0000FF"/>
                <w:kern w:val="2"/>
                <w:sz w:val="21"/>
                <w:szCs w:val="21"/>
                <w:highlight w:val="none"/>
                <w:vertAlign w:val="subscript"/>
                <w:lang w:val="en-US" w:eastAsia="zh-CN" w:bidi="ar"/>
              </w:rPr>
              <w:t>eq</w:t>
            </w:r>
            <w:r>
              <w:rPr>
                <w:rFonts w:hint="default" w:ascii="Times New Roman" w:hAnsi="Times New Roman" w:cs="Times New Roman" w:eastAsiaTheme="minorEastAsia"/>
                <w:color w:val="0000FF"/>
                <w:kern w:val="2"/>
                <w:sz w:val="21"/>
                <w:szCs w:val="21"/>
                <w:highlight w:val="none"/>
                <w:lang w:val="en-US" w:eastAsia="zh-CN" w:bidi="ar"/>
              </w:rPr>
              <w:t xml:space="preserve"> ≤ 50</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left"/>
              <w:rPr>
                <w:rFonts w:hint="eastAsia"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19</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1.49</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eastAsia"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 xml:space="preserve">17.59 </w:t>
            </w:r>
          </w:p>
        </w:tc>
        <w:tc>
          <w:tcPr>
            <w:tcW w:w="1102" w:type="dxa"/>
            <w:gridSpan w:val="2"/>
            <w:tcBorders>
              <w:tl2br w:val="nil"/>
              <w:tr2bl w:val="nil"/>
            </w:tcBorders>
            <w:shd w:val="clear" w:color="auto" w:fill="auto"/>
            <w:vAlign w:val="bottom"/>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eastAsia"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30</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 xml:space="preserve">2.35 </w:t>
            </w:r>
          </w:p>
        </w:tc>
        <w:tc>
          <w:tcPr>
            <w:tcW w:w="1106"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eastAsia"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 xml:space="preserve">27.27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25"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lang w:val="en-US"/>
              </w:rPr>
            </w:pPr>
            <w:r>
              <w:rPr>
                <w:rFonts w:hint="default" w:ascii="Times New Roman" w:hAnsi="Times New Roman" w:cs="Times New Roman" w:eastAsiaTheme="minorEastAsia"/>
                <w:color w:val="0000FF"/>
                <w:kern w:val="2"/>
                <w:sz w:val="21"/>
                <w:szCs w:val="21"/>
                <w:lang w:val="en-US" w:eastAsia="zh-CN" w:bidi="ar"/>
              </w:rPr>
              <w:t>5</w:t>
            </w:r>
          </w:p>
        </w:tc>
        <w:tc>
          <w:tcPr>
            <w:tcW w:w="1484"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highlight w:val="none"/>
                <w:lang w:val="en-US"/>
              </w:rPr>
            </w:pPr>
            <w:r>
              <w:rPr>
                <w:rFonts w:hint="default" w:ascii="Times New Roman" w:hAnsi="Times New Roman" w:cs="Times New Roman" w:eastAsiaTheme="minorEastAsia"/>
                <w:color w:val="0000FF"/>
                <w:kern w:val="2"/>
                <w:sz w:val="21"/>
                <w:szCs w:val="21"/>
                <w:highlight w:val="none"/>
                <w:lang w:val="en-US" w:eastAsia="zh-CN" w:bidi="ar"/>
              </w:rPr>
              <w:t>50 &lt; L</w:t>
            </w:r>
            <w:r>
              <w:rPr>
                <w:rFonts w:hint="default" w:ascii="Times New Roman" w:hAnsi="Times New Roman" w:cs="Times New Roman" w:eastAsiaTheme="minorEastAsia"/>
                <w:color w:val="0000FF"/>
                <w:kern w:val="2"/>
                <w:sz w:val="21"/>
                <w:szCs w:val="21"/>
                <w:highlight w:val="none"/>
                <w:vertAlign w:val="subscript"/>
                <w:lang w:val="en-US" w:eastAsia="zh-CN" w:bidi="ar"/>
              </w:rPr>
              <w:t xml:space="preserve">eq </w:t>
            </w:r>
            <w:r>
              <w:rPr>
                <w:rFonts w:hint="default" w:ascii="Times New Roman" w:hAnsi="Times New Roman" w:cs="Times New Roman" w:eastAsiaTheme="minorEastAsia"/>
                <w:color w:val="0000FF"/>
                <w:kern w:val="2"/>
                <w:sz w:val="21"/>
                <w:szCs w:val="21"/>
                <w:highlight w:val="none"/>
                <w:lang w:val="en-US" w:eastAsia="zh-CN" w:bidi="ar"/>
              </w:rPr>
              <w:t>≤ 55</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left"/>
              <w:rPr>
                <w:rFonts w:hint="eastAsia"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31</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2.43</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eastAsia"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 xml:space="preserve">28.69 </w:t>
            </w:r>
          </w:p>
        </w:tc>
        <w:tc>
          <w:tcPr>
            <w:tcW w:w="1102" w:type="dxa"/>
            <w:gridSpan w:val="2"/>
            <w:tcBorders>
              <w:tl2br w:val="nil"/>
              <w:tr2bl w:val="nil"/>
            </w:tcBorders>
            <w:shd w:val="clear" w:color="auto" w:fill="auto"/>
            <w:vAlign w:val="bottom"/>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eastAsia"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2</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 xml:space="preserve">0.16 </w:t>
            </w:r>
          </w:p>
        </w:tc>
        <w:tc>
          <w:tcPr>
            <w:tcW w:w="1106"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eastAsia"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 xml:space="preserve">1.89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25"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lang w:val="en-US"/>
              </w:rPr>
            </w:pPr>
            <w:r>
              <w:rPr>
                <w:rFonts w:hint="default" w:ascii="Times New Roman" w:hAnsi="Times New Roman" w:cs="Times New Roman" w:eastAsiaTheme="minorEastAsia"/>
                <w:color w:val="0000FF"/>
                <w:kern w:val="2"/>
                <w:sz w:val="21"/>
                <w:szCs w:val="21"/>
                <w:lang w:val="en-US" w:eastAsia="zh-CN" w:bidi="ar"/>
              </w:rPr>
              <w:t>6</w:t>
            </w:r>
          </w:p>
        </w:tc>
        <w:tc>
          <w:tcPr>
            <w:tcW w:w="1484"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auto"/>
                <w:sz w:val="21"/>
                <w:szCs w:val="21"/>
                <w:highlight w:val="none"/>
                <w:lang w:val="en-US"/>
              </w:rPr>
            </w:pPr>
            <w:r>
              <w:rPr>
                <w:rFonts w:hint="default" w:ascii="Times New Roman" w:hAnsi="Times New Roman" w:cs="Times New Roman" w:eastAsiaTheme="minorEastAsia"/>
                <w:color w:val="auto"/>
                <w:kern w:val="2"/>
                <w:sz w:val="21"/>
                <w:szCs w:val="21"/>
                <w:highlight w:val="none"/>
                <w:lang w:val="en-US" w:eastAsia="zh-CN" w:bidi="ar"/>
              </w:rPr>
              <w:t>55 &lt; L</w:t>
            </w:r>
            <w:r>
              <w:rPr>
                <w:rFonts w:hint="default" w:ascii="Times New Roman" w:hAnsi="Times New Roman" w:cs="Times New Roman" w:eastAsiaTheme="minorEastAsia"/>
                <w:color w:val="auto"/>
                <w:kern w:val="2"/>
                <w:sz w:val="21"/>
                <w:szCs w:val="21"/>
                <w:highlight w:val="none"/>
                <w:vertAlign w:val="subscript"/>
                <w:lang w:val="en-US" w:eastAsia="zh-CN" w:bidi="ar"/>
              </w:rPr>
              <w:t xml:space="preserve">eq </w:t>
            </w:r>
            <w:r>
              <w:rPr>
                <w:rFonts w:hint="default" w:ascii="Times New Roman" w:hAnsi="Times New Roman" w:cs="Times New Roman" w:eastAsiaTheme="minorEastAsia"/>
                <w:color w:val="auto"/>
                <w:kern w:val="2"/>
                <w:sz w:val="21"/>
                <w:szCs w:val="21"/>
                <w:highlight w:val="none"/>
                <w:lang w:val="en-US" w:eastAsia="zh-CN" w:bidi="ar"/>
              </w:rPr>
              <w:t>≤ 60</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left"/>
              <w:rPr>
                <w:rFonts w:hint="eastAsia"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41</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3.21</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eastAsia"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 xml:space="preserve">37.27 </w:t>
            </w:r>
          </w:p>
        </w:tc>
        <w:tc>
          <w:tcPr>
            <w:tcW w:w="1102" w:type="dxa"/>
            <w:gridSpan w:val="2"/>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bottom"/>
              <w:rPr>
                <w:rFonts w:hint="eastAsia"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5</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 xml:space="preserve">0.39 </w:t>
            </w:r>
          </w:p>
        </w:tc>
        <w:tc>
          <w:tcPr>
            <w:tcW w:w="1106"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eastAsia"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 xml:space="preserve">4.55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5"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kern w:val="2"/>
                <w:sz w:val="21"/>
                <w:szCs w:val="21"/>
                <w:highlight w:val="none"/>
                <w:lang w:val="en-US" w:eastAsia="zh-CN" w:bidi="ar"/>
              </w:rPr>
            </w:pPr>
            <w:r>
              <w:rPr>
                <w:rFonts w:hint="default" w:ascii="Times New Roman" w:hAnsi="Times New Roman" w:cs="Times New Roman" w:eastAsiaTheme="minorEastAsia"/>
                <w:color w:val="0000FF"/>
                <w:kern w:val="2"/>
                <w:sz w:val="21"/>
                <w:szCs w:val="21"/>
                <w:highlight w:val="none"/>
                <w:lang w:val="en-US" w:eastAsia="zh-CN" w:bidi="ar"/>
              </w:rPr>
              <w:t>7</w:t>
            </w:r>
          </w:p>
        </w:tc>
        <w:tc>
          <w:tcPr>
            <w:tcW w:w="1484"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kern w:val="2"/>
                <w:sz w:val="21"/>
                <w:szCs w:val="21"/>
                <w:highlight w:val="none"/>
                <w:lang w:val="en-US" w:eastAsia="zh-CN" w:bidi="ar"/>
              </w:rPr>
            </w:pPr>
            <w:r>
              <w:rPr>
                <w:rFonts w:hint="default" w:ascii="Times New Roman" w:hAnsi="Times New Roman" w:cs="Times New Roman" w:eastAsiaTheme="minorEastAsia"/>
                <w:color w:val="0000FF"/>
                <w:kern w:val="2"/>
                <w:sz w:val="21"/>
                <w:szCs w:val="21"/>
                <w:highlight w:val="none"/>
                <w:lang w:val="en-US" w:eastAsia="zh-CN" w:bidi="ar"/>
              </w:rPr>
              <w:t>60 &lt; Leq ≤ 65</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left"/>
              <w:rPr>
                <w:rFonts w:hint="eastAsia"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12</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0.94</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eastAsia"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 xml:space="preserve">11.10 </w:t>
            </w:r>
          </w:p>
        </w:tc>
        <w:tc>
          <w:tcPr>
            <w:tcW w:w="1102" w:type="dxa"/>
            <w:gridSpan w:val="2"/>
            <w:tcBorders>
              <w:tl2br w:val="nil"/>
              <w:tr2bl w:val="nil"/>
            </w:tcBorders>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bottom"/>
              <w:rPr>
                <w:rFonts w:hint="default" w:ascii="Times New Roman" w:hAnsi="Times New Roman" w:cs="Times New Roman" w:eastAsiaTheme="minorEastAsia"/>
                <w:color w:val="0000FF"/>
                <w:sz w:val="21"/>
                <w:szCs w:val="21"/>
                <w:highlight w:val="yellow"/>
                <w:lang w:val="en-US"/>
              </w:rPr>
            </w:pPr>
            <w:r>
              <w:rPr>
                <w:rFonts w:hint="eastAsia" w:cs="Times New Roman" w:eastAsiaTheme="minorEastAsia"/>
                <w:color w:val="0000FF"/>
                <w:sz w:val="21"/>
                <w:szCs w:val="21"/>
                <w:highlight w:val="none"/>
                <w:lang w:val="en-US" w:eastAsia="zh-CN"/>
              </w:rPr>
              <w:t>0</w:t>
            </w:r>
          </w:p>
        </w:tc>
        <w:tc>
          <w:tcPr>
            <w:tcW w:w="1102" w:type="dxa"/>
            <w:tcBorders>
              <w:tl2br w:val="nil"/>
              <w:tr2bl w:val="nil"/>
            </w:tcBorders>
            <w:shd w:val="clear" w:color="auto" w:fill="auto"/>
            <w:vAlign w:val="bottom"/>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highlight w:val="none"/>
                <w:lang w:val="en-US" w:eastAsia="zh-CN"/>
              </w:rPr>
            </w:pPr>
            <w:r>
              <w:rPr>
                <w:rFonts w:hint="eastAsia" w:ascii="Times New Roman" w:hAnsi="Times New Roman" w:cs="Times New Roman" w:eastAsiaTheme="minorEastAsia"/>
                <w:color w:val="0000FF"/>
                <w:sz w:val="21"/>
                <w:szCs w:val="21"/>
                <w:highlight w:val="none"/>
                <w:lang w:val="en-US" w:eastAsia="zh-CN"/>
              </w:rPr>
              <w:t>0</w:t>
            </w:r>
          </w:p>
        </w:tc>
        <w:tc>
          <w:tcPr>
            <w:tcW w:w="1106" w:type="dxa"/>
            <w:tcBorders>
              <w:tl2br w:val="nil"/>
              <w:tr2bl w:val="nil"/>
            </w:tcBorders>
            <w:shd w:val="clear" w:color="auto" w:fill="auto"/>
            <w:vAlign w:val="bottom"/>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highlight w:val="none"/>
                <w:lang w:val="en-US"/>
              </w:rPr>
            </w:pPr>
            <w:r>
              <w:rPr>
                <w:rFonts w:hint="eastAsia" w:ascii="Times New Roman" w:hAnsi="Times New Roman" w:cs="Times New Roman" w:eastAsiaTheme="minorEastAsia"/>
                <w:color w:val="0000FF"/>
                <w:sz w:val="21"/>
                <w:szCs w:val="21"/>
                <w:highlight w:val="none"/>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25"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kern w:val="2"/>
                <w:sz w:val="21"/>
                <w:szCs w:val="21"/>
                <w:highlight w:val="none"/>
                <w:lang w:val="en-US" w:eastAsia="zh-CN" w:bidi="ar"/>
              </w:rPr>
            </w:pPr>
            <w:r>
              <w:rPr>
                <w:rFonts w:hint="default" w:ascii="Times New Roman" w:hAnsi="Times New Roman" w:cs="Times New Roman" w:eastAsiaTheme="minorEastAsia"/>
                <w:color w:val="0000FF"/>
                <w:kern w:val="2"/>
                <w:sz w:val="21"/>
                <w:szCs w:val="21"/>
                <w:highlight w:val="none"/>
                <w:lang w:val="en-US" w:eastAsia="zh-CN" w:bidi="ar"/>
              </w:rPr>
              <w:t>8</w:t>
            </w:r>
          </w:p>
        </w:tc>
        <w:tc>
          <w:tcPr>
            <w:tcW w:w="1484"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kern w:val="2"/>
                <w:sz w:val="21"/>
                <w:szCs w:val="21"/>
                <w:highlight w:val="none"/>
                <w:lang w:val="en-US" w:eastAsia="zh-CN" w:bidi="ar"/>
              </w:rPr>
            </w:pPr>
            <w:r>
              <w:rPr>
                <w:rFonts w:hint="default" w:ascii="Times New Roman" w:hAnsi="Times New Roman" w:cs="Times New Roman" w:eastAsiaTheme="minorEastAsia"/>
                <w:color w:val="0000FF"/>
                <w:kern w:val="2"/>
                <w:sz w:val="21"/>
                <w:szCs w:val="21"/>
                <w:highlight w:val="none"/>
                <w:lang w:val="en-US" w:eastAsia="zh-CN" w:bidi="ar"/>
              </w:rPr>
              <w:t>Leq ＞65</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left"/>
              <w:rPr>
                <w:rFonts w:hint="eastAsia"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4</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default"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0.31</w:t>
            </w:r>
          </w:p>
        </w:tc>
        <w:tc>
          <w:tcPr>
            <w:tcW w:w="110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rPr>
                <w:rFonts w:hint="eastAsia" w:cs="Times New Roman" w:eastAsiaTheme="minorEastAsia"/>
                <w:color w:val="0000FF"/>
                <w:sz w:val="21"/>
                <w:szCs w:val="21"/>
                <w:highlight w:val="none"/>
                <w:lang w:val="en-US" w:eastAsia="zh-CN"/>
              </w:rPr>
            </w:pPr>
            <w:r>
              <w:rPr>
                <w:rFonts w:hint="eastAsia" w:cs="Times New Roman" w:eastAsiaTheme="minorEastAsia"/>
                <w:color w:val="0000FF"/>
                <w:sz w:val="21"/>
                <w:szCs w:val="21"/>
                <w:highlight w:val="none"/>
                <w:lang w:val="en-US" w:eastAsia="zh-CN"/>
              </w:rPr>
              <w:t>3.64</w:t>
            </w:r>
          </w:p>
        </w:tc>
        <w:tc>
          <w:tcPr>
            <w:tcW w:w="1102" w:type="dxa"/>
            <w:gridSpan w:val="2"/>
            <w:tcBorders>
              <w:tl2br w:val="nil"/>
              <w:tr2bl w:val="nil"/>
            </w:tcBorders>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bottom"/>
              <w:rPr>
                <w:rFonts w:hint="default" w:ascii="Times New Roman" w:hAnsi="Times New Roman" w:cs="Times New Roman" w:eastAsiaTheme="minorEastAsia"/>
                <w:color w:val="0000FF"/>
                <w:sz w:val="21"/>
                <w:szCs w:val="21"/>
                <w:highlight w:val="yellow"/>
                <w:lang w:val="en-US"/>
              </w:rPr>
            </w:pPr>
            <w:r>
              <w:rPr>
                <w:rFonts w:hint="eastAsia" w:cs="Times New Roman" w:eastAsiaTheme="minorEastAsia"/>
                <w:color w:val="0000FF"/>
                <w:sz w:val="21"/>
                <w:szCs w:val="21"/>
                <w:highlight w:val="none"/>
                <w:lang w:val="en-US" w:eastAsia="zh-CN"/>
              </w:rPr>
              <w:t>0</w:t>
            </w:r>
          </w:p>
        </w:tc>
        <w:tc>
          <w:tcPr>
            <w:tcW w:w="1102" w:type="dxa"/>
            <w:tcBorders>
              <w:tl2br w:val="nil"/>
              <w:tr2bl w:val="nil"/>
            </w:tcBorders>
            <w:shd w:val="clear" w:color="auto" w:fill="auto"/>
            <w:vAlign w:val="bottom"/>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highlight w:val="none"/>
                <w:lang w:val="en-US" w:eastAsia="zh-CN"/>
              </w:rPr>
            </w:pPr>
            <w:r>
              <w:rPr>
                <w:rFonts w:hint="eastAsia" w:ascii="Times New Roman" w:hAnsi="Times New Roman" w:cs="Times New Roman" w:eastAsiaTheme="minorEastAsia"/>
                <w:color w:val="0000FF"/>
                <w:sz w:val="21"/>
                <w:szCs w:val="21"/>
                <w:highlight w:val="none"/>
                <w:lang w:val="en-US" w:eastAsia="zh-CN"/>
              </w:rPr>
              <w:t>0</w:t>
            </w:r>
          </w:p>
        </w:tc>
        <w:tc>
          <w:tcPr>
            <w:tcW w:w="1106" w:type="dxa"/>
            <w:tcBorders>
              <w:tl2br w:val="nil"/>
              <w:tr2bl w:val="nil"/>
            </w:tcBorders>
            <w:shd w:val="clear" w:color="auto" w:fill="auto"/>
            <w:vAlign w:val="bottom"/>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rPr>
                <w:rFonts w:hint="default" w:ascii="Times New Roman" w:hAnsi="Times New Roman" w:cs="Times New Roman" w:eastAsiaTheme="minorEastAsia"/>
                <w:color w:val="0000FF"/>
                <w:sz w:val="21"/>
                <w:szCs w:val="21"/>
                <w:highlight w:val="none"/>
                <w:lang w:val="en-US"/>
              </w:rPr>
            </w:pPr>
            <w:r>
              <w:rPr>
                <w:rFonts w:hint="eastAsia" w:ascii="Times New Roman" w:hAnsi="Times New Roman" w:cs="Times New Roman" w:eastAsiaTheme="minorEastAsia"/>
                <w:color w:val="0000FF"/>
                <w:sz w:val="21"/>
                <w:szCs w:val="21"/>
                <w:highlight w:val="none"/>
                <w:lang w:val="en-US" w:eastAsia="zh-CN"/>
              </w:rPr>
              <w:t>0</w:t>
            </w:r>
          </w:p>
        </w:tc>
      </w:tr>
    </w:tbl>
    <w:p>
      <w:pPr>
        <w:pStyle w:val="23"/>
        <w:rPr>
          <w:rFonts w:hint="default"/>
          <w:lang w:val="en-US" w:eastAsia="zh-CN"/>
        </w:rPr>
      </w:pPr>
      <w:r>
        <w:rPr>
          <w:rFonts w:hint="eastAsia" w:ascii="Times New Roman" w:hAnsi="Times New Roman" w:eastAsia="宋体" w:cs="Times New Roman"/>
          <w:kern w:val="2"/>
          <w:sz w:val="24"/>
          <w:szCs w:val="24"/>
          <w:lang w:val="en-US" w:eastAsia="zh-CN" w:bidi="ar"/>
        </w:rPr>
        <w:t>网格中心测点测得的等效声级，按</w:t>
      </w:r>
      <w:r>
        <w:rPr>
          <w:rFonts w:hint="default" w:ascii="Times New Roman" w:hAnsi="Times New Roman" w:eastAsia="宋体" w:cs="Times New Roman"/>
          <w:kern w:val="2"/>
          <w:sz w:val="24"/>
          <w:szCs w:val="24"/>
          <w:lang w:val="en-US" w:eastAsia="zh-CN" w:bidi="ar"/>
        </w:rPr>
        <w:t>5dB(A)</w:t>
      </w:r>
      <w:r>
        <w:rPr>
          <w:rFonts w:hint="eastAsia" w:ascii="Times New Roman" w:hAnsi="Times New Roman" w:eastAsia="宋体" w:cs="Times New Roman"/>
          <w:kern w:val="2"/>
          <w:sz w:val="24"/>
          <w:szCs w:val="24"/>
          <w:lang w:val="en-US" w:eastAsia="zh-CN" w:bidi="ar"/>
        </w:rPr>
        <w:t>一档分级，用不同的颜色或阴影线表示每一档等效声级，绘制在覆盖某一区域的网格上，并按照不同噪声影响区域用颜色和阴影线进行标识，得到声环境质量空间分布图，见附图。</w:t>
      </w:r>
    </w:p>
    <w:p>
      <w:pPr>
        <w:pStyle w:val="23"/>
        <w:rPr>
          <w:rFonts w:hint="eastAsia" w:ascii="Times New Roman" w:hAnsi="Times New Roman" w:cs="Times New Roman" w:eastAsiaTheme="minorEastAsia"/>
          <w:sz w:val="24"/>
          <w:szCs w:val="24"/>
          <w:lang w:val="en-US" w:eastAsia="zh-CN"/>
        </w:rPr>
      </w:pPr>
      <w:r>
        <w:rPr>
          <w:rFonts w:hint="eastAsia" w:ascii="Times New Roman" w:hAnsi="Times New Roman" w:cs="Times New Roman" w:eastAsiaTheme="minorEastAsia"/>
          <w:sz w:val="24"/>
          <w:szCs w:val="24"/>
          <w:lang w:eastAsia="zh-CN"/>
        </w:rPr>
        <w:t>不同噪声影响区域颜色见表</w:t>
      </w:r>
      <w:r>
        <w:rPr>
          <w:rFonts w:hint="eastAsia" w:ascii="Times New Roman" w:hAnsi="Times New Roman" w:cs="Times New Roman" w:eastAsiaTheme="minorEastAsia"/>
          <w:sz w:val="24"/>
          <w:szCs w:val="24"/>
          <w:lang w:val="en-US" w:eastAsia="zh-CN"/>
        </w:rPr>
        <w:t>4-5。</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2"/>
          <w:sz w:val="21"/>
          <w:szCs w:val="21"/>
          <w:lang w:val="en-US" w:eastAsia="zh-CN" w:bidi="ar"/>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2"/>
          <w:sz w:val="21"/>
          <w:szCs w:val="21"/>
          <w:lang w:val="en-US" w:eastAsia="zh-CN" w:bidi="ar"/>
        </w:rPr>
      </w:pPr>
      <w:r>
        <w:rPr>
          <w:rFonts w:hint="default" w:ascii="Times New Roman" w:hAnsi="Times New Roman" w:eastAsia="宋体" w:cs="Times New Roman"/>
          <w:b/>
          <w:bCs/>
          <w:color w:val="auto"/>
          <w:kern w:val="2"/>
          <w:sz w:val="21"/>
          <w:szCs w:val="21"/>
          <w:lang w:val="en-US" w:eastAsia="zh-CN" w:bidi="ar"/>
        </w:rPr>
        <w:t>表4-5  不同噪声影响区域颜色表</w:t>
      </w:r>
    </w:p>
    <w:tbl>
      <w:tblPr>
        <w:tblStyle w:val="24"/>
        <w:tblW w:w="852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37"/>
        <w:gridCol w:w="2972"/>
        <w:gridCol w:w="923"/>
        <w:gridCol w:w="1335"/>
        <w:gridCol w:w="1332"/>
        <w:gridCol w:w="92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blHeader/>
          <w:jc w:val="center"/>
        </w:trPr>
        <w:tc>
          <w:tcPr>
            <w:tcW w:w="1037" w:type="dxa"/>
            <w:vMerge w:val="restart"/>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bCs/>
                <w:color w:val="auto"/>
                <w:sz w:val="21"/>
                <w:szCs w:val="21"/>
                <w:lang w:val="en-US" w:eastAsia="zh-CN"/>
              </w:rPr>
            </w:pPr>
            <w:r>
              <w:rPr>
                <w:rFonts w:hint="eastAsia"/>
                <w:b/>
                <w:bCs/>
                <w:color w:val="auto"/>
                <w:sz w:val="21"/>
                <w:szCs w:val="21"/>
                <w:lang w:val="en-US" w:eastAsia="zh-CN"/>
              </w:rPr>
              <w:t>序号</w:t>
            </w:r>
          </w:p>
        </w:tc>
        <w:tc>
          <w:tcPr>
            <w:tcW w:w="2972" w:type="dxa"/>
            <w:vMerge w:val="restart"/>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bCs/>
                <w:color w:val="auto"/>
                <w:sz w:val="21"/>
                <w:szCs w:val="21"/>
                <w:lang w:val="en-US" w:eastAsia="zh-CN"/>
              </w:rPr>
            </w:pPr>
            <w:r>
              <w:rPr>
                <w:rFonts w:hint="eastAsia"/>
                <w:b/>
                <w:bCs/>
                <w:color w:val="auto"/>
                <w:sz w:val="21"/>
                <w:szCs w:val="21"/>
                <w:lang w:val="en-US" w:eastAsia="zh-CN"/>
              </w:rPr>
              <w:t>声级区间</w:t>
            </w:r>
          </w:p>
        </w:tc>
        <w:tc>
          <w:tcPr>
            <w:tcW w:w="4519" w:type="dxa"/>
            <w:gridSpan w:val="4"/>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bCs/>
                <w:color w:val="auto"/>
                <w:sz w:val="21"/>
                <w:szCs w:val="21"/>
                <w:lang w:val="en-US" w:eastAsia="zh-CN"/>
              </w:rPr>
            </w:pPr>
            <w:r>
              <w:rPr>
                <w:rFonts w:hint="eastAsia"/>
                <w:b/>
                <w:bCs/>
                <w:color w:val="auto"/>
                <w:sz w:val="21"/>
                <w:szCs w:val="21"/>
                <w:lang w:val="en-US" w:eastAsia="zh-CN"/>
              </w:rPr>
              <w:t>颜色值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37" w:type="dxa"/>
            <w:vMerge w:val="continue"/>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bCs/>
                <w:color w:val="auto"/>
                <w:sz w:val="21"/>
                <w:szCs w:val="21"/>
                <w:lang w:val="en-US" w:eastAsia="zh-CN"/>
              </w:rPr>
            </w:pPr>
          </w:p>
        </w:tc>
        <w:tc>
          <w:tcPr>
            <w:tcW w:w="2972" w:type="dxa"/>
            <w:vMerge w:val="continue"/>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bCs/>
                <w:color w:val="auto"/>
                <w:sz w:val="21"/>
                <w:szCs w:val="21"/>
                <w:lang w:val="en-US" w:eastAsia="zh-CN"/>
              </w:rPr>
            </w:pPr>
          </w:p>
        </w:tc>
        <w:tc>
          <w:tcPr>
            <w:tcW w:w="923"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bCs/>
                <w:color w:val="auto"/>
                <w:sz w:val="21"/>
                <w:szCs w:val="21"/>
                <w:lang w:val="en-US" w:eastAsia="zh-CN"/>
              </w:rPr>
            </w:pPr>
            <w:r>
              <w:rPr>
                <w:rFonts w:hint="default"/>
                <w:b/>
                <w:bCs/>
                <w:color w:val="auto"/>
                <w:sz w:val="21"/>
                <w:szCs w:val="21"/>
                <w:lang w:val="en-US" w:eastAsia="zh-CN"/>
              </w:rPr>
              <w:t>C</w:t>
            </w:r>
          </w:p>
        </w:tc>
        <w:tc>
          <w:tcPr>
            <w:tcW w:w="1335"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bCs/>
                <w:color w:val="auto"/>
                <w:sz w:val="21"/>
                <w:szCs w:val="21"/>
                <w:lang w:val="en-US" w:eastAsia="zh-CN"/>
              </w:rPr>
            </w:pPr>
            <w:r>
              <w:rPr>
                <w:rFonts w:hint="default"/>
                <w:b/>
                <w:bCs/>
                <w:color w:val="auto"/>
                <w:sz w:val="21"/>
                <w:szCs w:val="21"/>
                <w:lang w:val="en-US" w:eastAsia="zh-CN"/>
              </w:rPr>
              <w:t>M</w:t>
            </w:r>
          </w:p>
        </w:tc>
        <w:tc>
          <w:tcPr>
            <w:tcW w:w="133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bCs/>
                <w:color w:val="auto"/>
                <w:sz w:val="21"/>
                <w:szCs w:val="21"/>
                <w:lang w:val="en-US" w:eastAsia="zh-CN"/>
              </w:rPr>
            </w:pPr>
            <w:r>
              <w:rPr>
                <w:rFonts w:hint="default"/>
                <w:b/>
                <w:bCs/>
                <w:color w:val="auto"/>
                <w:sz w:val="21"/>
                <w:szCs w:val="21"/>
                <w:lang w:val="en-US" w:eastAsia="zh-CN"/>
              </w:rPr>
              <w:t>Y</w:t>
            </w:r>
          </w:p>
        </w:tc>
        <w:tc>
          <w:tcPr>
            <w:tcW w:w="929"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bCs/>
                <w:color w:val="auto"/>
                <w:sz w:val="21"/>
                <w:szCs w:val="21"/>
                <w:lang w:val="en-US" w:eastAsia="zh-CN"/>
              </w:rPr>
            </w:pPr>
            <w:r>
              <w:rPr>
                <w:rFonts w:hint="default"/>
                <w:b/>
                <w:bCs/>
                <w:color w:val="auto"/>
                <w:sz w:val="21"/>
                <w:szCs w:val="21"/>
                <w:lang w:val="en-US" w:eastAsia="zh-CN"/>
              </w:rPr>
              <w:t>K</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7"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1</w:t>
            </w:r>
          </w:p>
        </w:tc>
        <w:tc>
          <w:tcPr>
            <w:tcW w:w="297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35dB</w:t>
            </w:r>
            <w:r>
              <w:rPr>
                <w:rFonts w:hint="eastAsia"/>
                <w:b w:val="0"/>
                <w:bCs w:val="0"/>
                <w:color w:val="auto"/>
                <w:sz w:val="21"/>
                <w:szCs w:val="21"/>
                <w:lang w:val="en-US" w:eastAsia="zh-CN"/>
              </w:rPr>
              <w:t>以下</w:t>
            </w:r>
          </w:p>
        </w:tc>
        <w:tc>
          <w:tcPr>
            <w:tcW w:w="923"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20</w:t>
            </w:r>
          </w:p>
        </w:tc>
        <w:tc>
          <w:tcPr>
            <w:tcW w:w="1335"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0</w:t>
            </w:r>
          </w:p>
        </w:tc>
        <w:tc>
          <w:tcPr>
            <w:tcW w:w="133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55</w:t>
            </w:r>
          </w:p>
        </w:tc>
        <w:tc>
          <w:tcPr>
            <w:tcW w:w="929"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7"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2</w:t>
            </w:r>
          </w:p>
        </w:tc>
        <w:tc>
          <w:tcPr>
            <w:tcW w:w="297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35dB—40dB</w:t>
            </w:r>
          </w:p>
        </w:tc>
        <w:tc>
          <w:tcPr>
            <w:tcW w:w="923"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80</w:t>
            </w:r>
          </w:p>
        </w:tc>
        <w:tc>
          <w:tcPr>
            <w:tcW w:w="1335"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0</w:t>
            </w:r>
          </w:p>
        </w:tc>
        <w:tc>
          <w:tcPr>
            <w:tcW w:w="133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100</w:t>
            </w:r>
          </w:p>
        </w:tc>
        <w:tc>
          <w:tcPr>
            <w:tcW w:w="929"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7"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3</w:t>
            </w:r>
          </w:p>
        </w:tc>
        <w:tc>
          <w:tcPr>
            <w:tcW w:w="297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41dB—45dB</w:t>
            </w:r>
          </w:p>
        </w:tc>
        <w:tc>
          <w:tcPr>
            <w:tcW w:w="923"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95</w:t>
            </w:r>
          </w:p>
        </w:tc>
        <w:tc>
          <w:tcPr>
            <w:tcW w:w="1335"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30</w:t>
            </w:r>
          </w:p>
        </w:tc>
        <w:tc>
          <w:tcPr>
            <w:tcW w:w="133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100</w:t>
            </w:r>
          </w:p>
        </w:tc>
        <w:tc>
          <w:tcPr>
            <w:tcW w:w="929"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7"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4</w:t>
            </w:r>
          </w:p>
        </w:tc>
        <w:tc>
          <w:tcPr>
            <w:tcW w:w="297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46dB—50dB</w:t>
            </w:r>
          </w:p>
        </w:tc>
        <w:tc>
          <w:tcPr>
            <w:tcW w:w="923"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5</w:t>
            </w:r>
          </w:p>
        </w:tc>
        <w:tc>
          <w:tcPr>
            <w:tcW w:w="1335"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5</w:t>
            </w:r>
          </w:p>
        </w:tc>
        <w:tc>
          <w:tcPr>
            <w:tcW w:w="133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95</w:t>
            </w:r>
          </w:p>
        </w:tc>
        <w:tc>
          <w:tcPr>
            <w:tcW w:w="929"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7"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5</w:t>
            </w:r>
          </w:p>
        </w:tc>
        <w:tc>
          <w:tcPr>
            <w:tcW w:w="297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51dB—55dB</w:t>
            </w:r>
          </w:p>
        </w:tc>
        <w:tc>
          <w:tcPr>
            <w:tcW w:w="923"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16</w:t>
            </w:r>
          </w:p>
        </w:tc>
        <w:tc>
          <w:tcPr>
            <w:tcW w:w="1335"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56</w:t>
            </w:r>
          </w:p>
        </w:tc>
        <w:tc>
          <w:tcPr>
            <w:tcW w:w="133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82</w:t>
            </w:r>
          </w:p>
        </w:tc>
        <w:tc>
          <w:tcPr>
            <w:tcW w:w="929"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7"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6</w:t>
            </w:r>
          </w:p>
        </w:tc>
        <w:tc>
          <w:tcPr>
            <w:tcW w:w="297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56dB—60dB</w:t>
            </w:r>
          </w:p>
        </w:tc>
        <w:tc>
          <w:tcPr>
            <w:tcW w:w="923"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2</w:t>
            </w:r>
          </w:p>
        </w:tc>
        <w:tc>
          <w:tcPr>
            <w:tcW w:w="1335"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52</w:t>
            </w:r>
          </w:p>
        </w:tc>
        <w:tc>
          <w:tcPr>
            <w:tcW w:w="133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92</w:t>
            </w:r>
          </w:p>
        </w:tc>
        <w:tc>
          <w:tcPr>
            <w:tcW w:w="929"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7"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7</w:t>
            </w:r>
          </w:p>
        </w:tc>
        <w:tc>
          <w:tcPr>
            <w:tcW w:w="297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61dB—65dB</w:t>
            </w:r>
          </w:p>
        </w:tc>
        <w:tc>
          <w:tcPr>
            <w:tcW w:w="923"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0</w:t>
            </w:r>
          </w:p>
        </w:tc>
        <w:tc>
          <w:tcPr>
            <w:tcW w:w="1335"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90</w:t>
            </w:r>
          </w:p>
        </w:tc>
        <w:tc>
          <w:tcPr>
            <w:tcW w:w="133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95</w:t>
            </w:r>
          </w:p>
        </w:tc>
        <w:tc>
          <w:tcPr>
            <w:tcW w:w="929"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7"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8</w:t>
            </w:r>
          </w:p>
        </w:tc>
        <w:tc>
          <w:tcPr>
            <w:tcW w:w="297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66dB—70dB</w:t>
            </w:r>
          </w:p>
        </w:tc>
        <w:tc>
          <w:tcPr>
            <w:tcW w:w="923"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6</w:t>
            </w:r>
          </w:p>
        </w:tc>
        <w:tc>
          <w:tcPr>
            <w:tcW w:w="1335"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100</w:t>
            </w:r>
          </w:p>
        </w:tc>
        <w:tc>
          <w:tcPr>
            <w:tcW w:w="133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70</w:t>
            </w:r>
          </w:p>
        </w:tc>
        <w:tc>
          <w:tcPr>
            <w:tcW w:w="929"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7"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9</w:t>
            </w:r>
          </w:p>
        </w:tc>
        <w:tc>
          <w:tcPr>
            <w:tcW w:w="297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71dB—75dB</w:t>
            </w:r>
          </w:p>
        </w:tc>
        <w:tc>
          <w:tcPr>
            <w:tcW w:w="923"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26</w:t>
            </w:r>
          </w:p>
        </w:tc>
        <w:tc>
          <w:tcPr>
            <w:tcW w:w="1335"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98</w:t>
            </w:r>
          </w:p>
        </w:tc>
        <w:tc>
          <w:tcPr>
            <w:tcW w:w="133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3</w:t>
            </w:r>
          </w:p>
        </w:tc>
        <w:tc>
          <w:tcPr>
            <w:tcW w:w="929"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7"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10</w:t>
            </w:r>
          </w:p>
        </w:tc>
        <w:tc>
          <w:tcPr>
            <w:tcW w:w="297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76dB—80dB</w:t>
            </w:r>
          </w:p>
        </w:tc>
        <w:tc>
          <w:tcPr>
            <w:tcW w:w="923"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82</w:t>
            </w:r>
          </w:p>
        </w:tc>
        <w:tc>
          <w:tcPr>
            <w:tcW w:w="1335"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10</w:t>
            </w:r>
          </w:p>
        </w:tc>
        <w:tc>
          <w:tcPr>
            <w:tcW w:w="133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2</w:t>
            </w:r>
          </w:p>
        </w:tc>
        <w:tc>
          <w:tcPr>
            <w:tcW w:w="929"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37"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11</w:t>
            </w:r>
          </w:p>
        </w:tc>
        <w:tc>
          <w:tcPr>
            <w:tcW w:w="297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80dB</w:t>
            </w:r>
            <w:r>
              <w:rPr>
                <w:rFonts w:hint="eastAsia"/>
                <w:b w:val="0"/>
                <w:bCs w:val="0"/>
                <w:color w:val="auto"/>
                <w:sz w:val="21"/>
                <w:szCs w:val="21"/>
                <w:lang w:val="en-US" w:eastAsia="zh-CN"/>
              </w:rPr>
              <w:t>以上</w:t>
            </w:r>
          </w:p>
        </w:tc>
        <w:tc>
          <w:tcPr>
            <w:tcW w:w="923"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96</w:t>
            </w:r>
          </w:p>
        </w:tc>
        <w:tc>
          <w:tcPr>
            <w:tcW w:w="1335"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66</w:t>
            </w:r>
          </w:p>
        </w:tc>
        <w:tc>
          <w:tcPr>
            <w:tcW w:w="1332"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10</w:t>
            </w:r>
          </w:p>
        </w:tc>
        <w:tc>
          <w:tcPr>
            <w:tcW w:w="929" w:type="dxa"/>
            <w:tcBorders>
              <w:tl2br w:val="nil"/>
              <w:tr2bl w:val="nil"/>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b w:val="0"/>
                <w:bCs w:val="0"/>
                <w:color w:val="auto"/>
                <w:sz w:val="21"/>
                <w:szCs w:val="21"/>
                <w:lang w:val="en-US" w:eastAsia="zh-CN"/>
              </w:rPr>
            </w:pPr>
            <w:r>
              <w:rPr>
                <w:rFonts w:hint="default"/>
                <w:b w:val="0"/>
                <w:bCs w:val="0"/>
                <w:color w:val="auto"/>
                <w:sz w:val="21"/>
                <w:szCs w:val="21"/>
                <w:lang w:val="en-US" w:eastAsia="zh-CN"/>
              </w:rPr>
              <w:t>0</w:t>
            </w:r>
          </w:p>
        </w:tc>
      </w:tr>
    </w:tbl>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eastAsia" w:ascii="Times New Roman" w:hAnsi="Times New Roman" w:cs="Times New Roman" w:eastAsiaTheme="minorEastAsia"/>
          <w:color w:val="auto"/>
          <w:sz w:val="28"/>
          <w:szCs w:val="28"/>
          <w:lang w:val="en-US" w:eastAsia="zh-CN"/>
        </w:rPr>
        <w:t>4.2.4区域噪声与上期监测结果的差异性分析</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eastAsia" w:ascii="Times New Roman" w:hAnsi="Times New Roman" w:cs="Times New Roman" w:eastAsiaTheme="minorEastAsia"/>
          <w:color w:val="auto"/>
          <w:sz w:val="24"/>
          <w:szCs w:val="24"/>
        </w:rPr>
        <w:t>201</w:t>
      </w:r>
      <w:r>
        <w:rPr>
          <w:rFonts w:hint="eastAsia" w:ascii="Times New Roman" w:hAnsi="Times New Roman" w:cs="Times New Roman" w:eastAsiaTheme="minorEastAsia"/>
          <w:color w:val="auto"/>
          <w:sz w:val="24"/>
          <w:szCs w:val="24"/>
          <w:lang w:val="en-US" w:eastAsia="zh-CN"/>
        </w:rPr>
        <w:t>4</w:t>
      </w:r>
      <w:r>
        <w:rPr>
          <w:rFonts w:hint="eastAsia" w:ascii="Times New Roman" w:hAnsi="Times New Roman" w:cs="Times New Roman" w:eastAsiaTheme="minorEastAsia"/>
          <w:color w:val="auto"/>
          <w:sz w:val="24"/>
          <w:szCs w:val="24"/>
        </w:rPr>
        <w:t>年</w:t>
      </w:r>
      <w:r>
        <w:rPr>
          <w:rFonts w:hint="eastAsia" w:ascii="Times New Roman" w:hAnsi="Times New Roman" w:cs="Times New Roman" w:eastAsiaTheme="minorEastAsia"/>
          <w:color w:val="auto"/>
          <w:sz w:val="24"/>
          <w:szCs w:val="24"/>
          <w:lang w:val="en-US" w:eastAsia="zh-CN"/>
        </w:rPr>
        <w:t>曲沃</w:t>
      </w:r>
      <w:r>
        <w:rPr>
          <w:rFonts w:hint="eastAsia" w:ascii="Times New Roman" w:hAnsi="Times New Roman" w:cs="Times New Roman" w:eastAsiaTheme="minorEastAsia"/>
          <w:color w:val="auto"/>
          <w:sz w:val="24"/>
          <w:szCs w:val="24"/>
        </w:rPr>
        <w:t>县噪声现状监测中，昼间</w:t>
      </w:r>
      <w:r>
        <w:rPr>
          <w:rFonts w:hint="eastAsia" w:ascii="Times New Roman" w:hAnsi="Times New Roman" w:cs="Times New Roman" w:eastAsiaTheme="minorEastAsia"/>
          <w:color w:val="auto"/>
          <w:sz w:val="24"/>
          <w:szCs w:val="24"/>
          <w:highlight w:val="none"/>
        </w:rPr>
        <w:t>噪声等效声级为</w:t>
      </w:r>
      <w:r>
        <w:rPr>
          <w:rFonts w:hint="eastAsia" w:ascii="Times New Roman" w:hAnsi="Times New Roman" w:cs="Times New Roman" w:eastAsiaTheme="minorEastAsia"/>
          <w:color w:val="auto"/>
          <w:sz w:val="24"/>
          <w:szCs w:val="24"/>
          <w:highlight w:val="none"/>
          <w:lang w:val="en-US" w:eastAsia="zh-CN"/>
        </w:rPr>
        <w:t>54.7</w:t>
      </w:r>
      <w:r>
        <w:rPr>
          <w:rFonts w:hint="default" w:ascii="Times New Roman" w:hAnsi="Times New Roman" w:cs="Times New Roman" w:eastAsiaTheme="minorEastAsia"/>
          <w:color w:val="auto"/>
          <w:sz w:val="24"/>
          <w:szCs w:val="24"/>
          <w:highlight w:val="none"/>
        </w:rPr>
        <w:t>dB</w:t>
      </w:r>
      <w:r>
        <w:rPr>
          <w:rFonts w:hint="eastAsia" w:ascii="Times New Roman" w:hAnsi="Times New Roman" w:cs="Times New Roman" w:eastAsiaTheme="minorEastAsia"/>
          <w:color w:val="auto"/>
          <w:sz w:val="24"/>
          <w:szCs w:val="24"/>
          <w:highlight w:val="none"/>
        </w:rPr>
        <w:t>（A），</w:t>
      </w:r>
      <w:r>
        <w:rPr>
          <w:rFonts w:hint="default" w:ascii="Times New Roman" w:hAnsi="Times New Roman" w:cs="Times New Roman" w:eastAsiaTheme="minorEastAsia"/>
          <w:color w:val="auto"/>
          <w:sz w:val="24"/>
          <w:szCs w:val="24"/>
          <w:highlight w:val="none"/>
        </w:rPr>
        <w:t>夜间等效声级为</w:t>
      </w:r>
      <w:r>
        <w:rPr>
          <w:rFonts w:hint="eastAsia" w:ascii="Times New Roman" w:hAnsi="Times New Roman" w:cs="Times New Roman" w:eastAsiaTheme="minorEastAsia"/>
          <w:color w:val="auto"/>
          <w:sz w:val="24"/>
          <w:szCs w:val="24"/>
          <w:highlight w:val="none"/>
        </w:rPr>
        <w:t>44.</w:t>
      </w:r>
      <w:r>
        <w:rPr>
          <w:rFonts w:hint="eastAsia" w:ascii="Times New Roman" w:hAnsi="Times New Roman" w:cs="Times New Roman" w:eastAsiaTheme="minorEastAsia"/>
          <w:color w:val="auto"/>
          <w:sz w:val="24"/>
          <w:szCs w:val="24"/>
          <w:highlight w:val="none"/>
          <w:lang w:val="en-US" w:eastAsia="zh-CN"/>
        </w:rPr>
        <w:t>0</w:t>
      </w:r>
      <w:r>
        <w:rPr>
          <w:rFonts w:hint="default" w:ascii="Times New Roman" w:hAnsi="Times New Roman" w:cs="Times New Roman" w:eastAsiaTheme="minorEastAsia"/>
          <w:color w:val="auto"/>
          <w:sz w:val="24"/>
          <w:szCs w:val="24"/>
          <w:highlight w:val="none"/>
        </w:rPr>
        <w:t>dB</w:t>
      </w:r>
      <w:r>
        <w:rPr>
          <w:rFonts w:hint="eastAsia" w:ascii="Times New Roman" w:hAnsi="Times New Roman" w:cs="Times New Roman" w:eastAsiaTheme="minorEastAsia"/>
          <w:color w:val="auto"/>
          <w:sz w:val="24"/>
          <w:szCs w:val="24"/>
          <w:highlight w:val="none"/>
        </w:rPr>
        <w:t>（A），本次现状监测中，昼间噪声等效声级为5</w:t>
      </w:r>
      <w:r>
        <w:rPr>
          <w:rFonts w:hint="eastAsia" w:cs="Times New Roman" w:eastAsiaTheme="minorEastAsia"/>
          <w:color w:val="auto"/>
          <w:sz w:val="24"/>
          <w:szCs w:val="24"/>
          <w:highlight w:val="none"/>
          <w:lang w:val="en-US" w:eastAsia="zh-CN"/>
        </w:rPr>
        <w:t>4.76dB</w:t>
      </w:r>
      <w:r>
        <w:rPr>
          <w:rFonts w:hint="eastAsia" w:ascii="Times New Roman" w:hAnsi="Times New Roman" w:cs="Times New Roman" w:eastAsiaTheme="minorEastAsia"/>
          <w:color w:val="auto"/>
          <w:sz w:val="24"/>
          <w:szCs w:val="24"/>
          <w:highlight w:val="none"/>
        </w:rPr>
        <w:t>（A），</w:t>
      </w:r>
      <w:r>
        <w:rPr>
          <w:rFonts w:hint="default" w:ascii="Times New Roman" w:hAnsi="Times New Roman" w:cs="Times New Roman" w:eastAsiaTheme="minorEastAsia"/>
          <w:color w:val="auto"/>
          <w:sz w:val="24"/>
          <w:szCs w:val="24"/>
          <w:highlight w:val="none"/>
        </w:rPr>
        <w:t>夜间等效声级为</w:t>
      </w:r>
      <w:r>
        <w:rPr>
          <w:rFonts w:hint="eastAsia" w:ascii="Times New Roman" w:hAnsi="Times New Roman" w:cs="Times New Roman" w:eastAsiaTheme="minorEastAsia"/>
          <w:color w:val="auto"/>
          <w:sz w:val="24"/>
          <w:szCs w:val="24"/>
          <w:highlight w:val="none"/>
        </w:rPr>
        <w:t>4</w:t>
      </w:r>
      <w:r>
        <w:rPr>
          <w:rFonts w:hint="eastAsia" w:cs="Times New Roman" w:eastAsiaTheme="minorEastAsia"/>
          <w:color w:val="auto"/>
          <w:sz w:val="24"/>
          <w:szCs w:val="24"/>
          <w:highlight w:val="none"/>
          <w:lang w:val="en-US" w:eastAsia="zh-CN"/>
        </w:rPr>
        <w:t>4.2</w:t>
      </w:r>
      <w:r>
        <w:rPr>
          <w:rFonts w:hint="default" w:ascii="Times New Roman" w:hAnsi="Times New Roman" w:cs="Times New Roman" w:eastAsiaTheme="minorEastAsia"/>
          <w:color w:val="auto"/>
          <w:sz w:val="24"/>
          <w:szCs w:val="24"/>
          <w:highlight w:val="none"/>
        </w:rPr>
        <w:t>dB</w:t>
      </w:r>
      <w:r>
        <w:rPr>
          <w:rFonts w:hint="eastAsia" w:ascii="Times New Roman" w:hAnsi="Times New Roman" w:cs="Times New Roman" w:eastAsiaTheme="minorEastAsia"/>
          <w:color w:val="auto"/>
          <w:sz w:val="24"/>
          <w:szCs w:val="24"/>
          <w:highlight w:val="none"/>
        </w:rPr>
        <w:t>（A），可以看出，曲沃县</w:t>
      </w:r>
      <w:r>
        <w:rPr>
          <w:rFonts w:hint="eastAsia" w:cs="Times New Roman" w:eastAsiaTheme="minorEastAsia"/>
          <w:color w:val="auto"/>
          <w:sz w:val="24"/>
          <w:szCs w:val="24"/>
          <w:highlight w:val="none"/>
          <w:lang w:val="en-US" w:eastAsia="zh-CN"/>
        </w:rPr>
        <w:t>昼夜</w:t>
      </w:r>
      <w:r>
        <w:rPr>
          <w:rFonts w:hint="eastAsia" w:ascii="Times New Roman" w:hAnsi="Times New Roman" w:cs="Times New Roman" w:eastAsiaTheme="minorEastAsia"/>
          <w:color w:val="auto"/>
          <w:sz w:val="24"/>
          <w:szCs w:val="24"/>
        </w:rPr>
        <w:t>噪声值</w:t>
      </w:r>
      <w:r>
        <w:rPr>
          <w:rFonts w:hint="eastAsia" w:cs="Times New Roman" w:eastAsiaTheme="minorEastAsia"/>
          <w:color w:val="auto"/>
          <w:sz w:val="24"/>
          <w:szCs w:val="24"/>
          <w:lang w:val="en-US" w:eastAsia="zh-CN"/>
        </w:rPr>
        <w:t>与2014比较，几乎一致</w:t>
      </w:r>
      <w:r>
        <w:rPr>
          <w:rFonts w:hint="eastAsia" w:ascii="Times New Roman" w:hAnsi="Times New Roman" w:cs="Times New Roman" w:eastAsiaTheme="minorEastAsia"/>
          <w:color w:val="auto"/>
          <w:sz w:val="24"/>
          <w:szCs w:val="24"/>
        </w:rPr>
        <w:t>。</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default" w:cs="Times New Roman" w:eastAsiaTheme="minorEastAsia"/>
          <w:color w:val="auto"/>
          <w:sz w:val="30"/>
          <w:szCs w:val="30"/>
          <w:highlight w:val="none"/>
          <w:lang w:val="en-US" w:eastAsia="zh-CN"/>
        </w:rPr>
      </w:pPr>
      <w:bookmarkStart w:id="19" w:name="_Toc11936"/>
      <w:r>
        <w:rPr>
          <w:rFonts w:hint="eastAsia" w:cs="Times New Roman" w:eastAsiaTheme="minorEastAsia"/>
          <w:color w:val="auto"/>
          <w:sz w:val="30"/>
          <w:szCs w:val="30"/>
          <w:highlight w:val="none"/>
          <w:lang w:val="en-US" w:eastAsia="zh-CN"/>
        </w:rPr>
        <w:t>4.3</w:t>
      </w:r>
      <w:r>
        <w:rPr>
          <w:rFonts w:hint="default" w:cs="Times New Roman" w:eastAsiaTheme="minorEastAsia"/>
          <w:color w:val="auto"/>
          <w:sz w:val="30"/>
          <w:szCs w:val="30"/>
          <w:highlight w:val="none"/>
          <w:lang w:val="en-US" w:eastAsia="zh-CN"/>
        </w:rPr>
        <w:t>道路交通噪声现状监测</w:t>
      </w:r>
      <w:bookmarkEnd w:id="19"/>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eastAsia" w:ascii="Times New Roman" w:hAnsi="Times New Roman" w:cs="Times New Roman" w:eastAsiaTheme="minorEastAsia"/>
          <w:color w:val="auto"/>
          <w:sz w:val="28"/>
          <w:szCs w:val="28"/>
          <w:lang w:val="en-US" w:eastAsia="zh-CN"/>
        </w:rPr>
        <w:t>4.3.1</w:t>
      </w:r>
      <w:r>
        <w:rPr>
          <w:rFonts w:hint="default" w:ascii="Times New Roman" w:hAnsi="Times New Roman" w:cs="Times New Roman" w:eastAsiaTheme="minorEastAsia"/>
          <w:color w:val="auto"/>
          <w:sz w:val="28"/>
          <w:szCs w:val="28"/>
          <w:lang w:val="en-US" w:eastAsia="zh-CN"/>
        </w:rPr>
        <w:t>道路交通监测点位设置</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（1）选点原则</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能反映城市建成区内各类道路（快速路、主干路、次干路等）交通噪声排放特征。</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能反映不同道路特点（考虑交通类型、交通流量、机动车行驶速度、路面结构、道路宽度、敏感建筑物分布等）交通噪声排放特征。</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道路交通噪声监测点位数量：特大城市≥100个；大城市≥80个；中等城市≥50个；小城市≥20个。一个测点可代表一条或多条相近的道路。</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（2）测点选在路段两路口之间，距任一路口的距离大于50m，路段不足100m的选路段中点，测点位于人行道上距路面（含慢车道）20cm处，监测点位高度距地面为1.2-6m。测点应避开非道路交通源的干扰。</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（3）监测点位基础信息包括测点名称、道路名称、路</w:t>
      </w:r>
      <w:r>
        <w:rPr>
          <w:rFonts w:hint="eastAsia" w:cs="Times New Roman" w:eastAsiaTheme="minorEastAsia"/>
          <w:sz w:val="24"/>
          <w:szCs w:val="24"/>
          <w:lang w:eastAsia="zh-CN"/>
        </w:rPr>
        <w:t>段</w:t>
      </w:r>
      <w:r>
        <w:rPr>
          <w:rFonts w:hint="default" w:ascii="Times New Roman" w:hAnsi="Times New Roman" w:cs="Times New Roman" w:eastAsiaTheme="minorEastAsia"/>
          <w:sz w:val="24"/>
          <w:szCs w:val="24"/>
        </w:rPr>
        <w:t>长</w:t>
      </w:r>
      <w:r>
        <w:rPr>
          <w:rFonts w:hint="eastAsia" w:cs="Times New Roman" w:eastAsiaTheme="minorEastAsia"/>
          <w:sz w:val="24"/>
          <w:szCs w:val="24"/>
          <w:lang w:eastAsia="zh-CN"/>
        </w:rPr>
        <w:t>度</w:t>
      </w:r>
      <w:r>
        <w:rPr>
          <w:rFonts w:hint="default" w:ascii="Times New Roman" w:hAnsi="Times New Roman" w:cs="Times New Roman" w:eastAsiaTheme="minorEastAsia"/>
          <w:sz w:val="24"/>
          <w:szCs w:val="24"/>
        </w:rPr>
        <w:t>、路</w:t>
      </w:r>
      <w:r>
        <w:rPr>
          <w:rFonts w:hint="eastAsia" w:ascii="Times New Roman" w:hAnsi="Times New Roman" w:cs="Times New Roman" w:eastAsiaTheme="minorEastAsia"/>
          <w:sz w:val="24"/>
          <w:szCs w:val="24"/>
          <w:lang w:eastAsia="zh-CN"/>
        </w:rPr>
        <w:t>段</w:t>
      </w:r>
      <w:r>
        <w:rPr>
          <w:rFonts w:hint="default" w:ascii="Times New Roman" w:hAnsi="Times New Roman" w:cs="Times New Roman" w:eastAsiaTheme="minorEastAsia"/>
          <w:sz w:val="24"/>
          <w:szCs w:val="24"/>
        </w:rPr>
        <w:t>宽</w:t>
      </w:r>
      <w:r>
        <w:rPr>
          <w:rFonts w:hint="eastAsia" w:ascii="Times New Roman" w:hAnsi="Times New Roman" w:cs="Times New Roman" w:eastAsiaTheme="minorEastAsia"/>
          <w:sz w:val="24"/>
          <w:szCs w:val="24"/>
          <w:lang w:eastAsia="zh-CN"/>
        </w:rPr>
        <w:t>度</w:t>
      </w:r>
      <w:r>
        <w:rPr>
          <w:rFonts w:hint="default" w:ascii="Times New Roman" w:hAnsi="Times New Roman" w:cs="Times New Roman" w:eastAsiaTheme="minorEastAsia"/>
          <w:sz w:val="24"/>
          <w:szCs w:val="24"/>
        </w:rPr>
        <w:t>、道路类型以及监测年份等信息内容。</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201</w:t>
      </w:r>
      <w:r>
        <w:rPr>
          <w:rFonts w:hint="eastAsia" w:ascii="Times New Roman" w:hAnsi="Times New Roman" w:cs="Times New Roman" w:eastAsiaTheme="minorEastAsia"/>
          <w:sz w:val="24"/>
          <w:szCs w:val="24"/>
          <w:lang w:val="en-US" w:eastAsia="zh-CN"/>
        </w:rPr>
        <w:t>9</w:t>
      </w:r>
      <w:r>
        <w:rPr>
          <w:rFonts w:hint="default" w:ascii="Times New Roman" w:hAnsi="Times New Roman" w:cs="Times New Roman" w:eastAsiaTheme="minorEastAsia"/>
          <w:sz w:val="24"/>
          <w:szCs w:val="24"/>
        </w:rPr>
        <w:t>年曲沃县</w:t>
      </w:r>
      <w:r>
        <w:rPr>
          <w:rFonts w:hint="eastAsia" w:ascii="Times New Roman" w:hAnsi="Times New Roman" w:cs="Times New Roman" w:eastAsiaTheme="minorEastAsia"/>
          <w:sz w:val="24"/>
          <w:szCs w:val="24"/>
          <w:lang w:eastAsia="zh-CN"/>
        </w:rPr>
        <w:t>城镇常住</w:t>
      </w:r>
      <w:r>
        <w:rPr>
          <w:rFonts w:hint="default" w:ascii="Times New Roman" w:hAnsi="Times New Roman" w:cs="Times New Roman" w:eastAsiaTheme="minorEastAsia"/>
          <w:sz w:val="24"/>
          <w:szCs w:val="24"/>
        </w:rPr>
        <w:t>人口</w:t>
      </w:r>
      <w:r>
        <w:rPr>
          <w:rFonts w:hint="eastAsia" w:ascii="Times New Roman" w:hAnsi="Times New Roman" w:cs="Times New Roman" w:eastAsiaTheme="minorEastAsia"/>
          <w:sz w:val="24"/>
          <w:szCs w:val="24"/>
          <w:lang w:eastAsia="zh-CN"/>
        </w:rPr>
        <w:t>为</w:t>
      </w:r>
      <w:r>
        <w:rPr>
          <w:rFonts w:hint="eastAsia" w:ascii="Times New Roman" w:hAnsi="Times New Roman" w:cs="Times New Roman" w:eastAsiaTheme="minorEastAsia"/>
          <w:sz w:val="24"/>
          <w:szCs w:val="24"/>
          <w:lang w:val="en-US" w:eastAsia="zh-CN"/>
        </w:rPr>
        <w:t>109773</w:t>
      </w:r>
      <w:r>
        <w:rPr>
          <w:rFonts w:hint="default" w:ascii="Times New Roman" w:hAnsi="Times New Roman" w:cs="Times New Roman" w:eastAsiaTheme="minorEastAsia"/>
          <w:sz w:val="24"/>
          <w:szCs w:val="24"/>
        </w:rPr>
        <w:t>人</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50万</w:t>
      </w:r>
      <w:r>
        <w:rPr>
          <w:rFonts w:hint="eastAsia" w:ascii="Times New Roman" w:hAnsi="Times New Roman" w:cs="Times New Roman" w:eastAsiaTheme="minorEastAsia"/>
          <w:sz w:val="24"/>
          <w:szCs w:val="24"/>
          <w:lang w:eastAsia="zh-CN"/>
        </w:rPr>
        <w:t>人</w:t>
      </w:r>
      <w:r>
        <w:rPr>
          <w:rFonts w:hint="default" w:ascii="Times New Roman" w:hAnsi="Times New Roman" w:cs="Times New Roman" w:eastAsiaTheme="minorEastAsia"/>
          <w:sz w:val="24"/>
          <w:szCs w:val="24"/>
        </w:rPr>
        <w:t>，</w:t>
      </w:r>
      <w:r>
        <w:rPr>
          <w:rFonts w:hint="eastAsia" w:ascii="Times New Roman" w:hAnsi="Times New Roman" w:cs="Times New Roman" w:eastAsiaTheme="minorEastAsia"/>
          <w:sz w:val="24"/>
          <w:szCs w:val="24"/>
          <w:lang w:eastAsia="zh-CN"/>
        </w:rPr>
        <w:t>属于小城市。</w:t>
      </w:r>
      <w:r>
        <w:rPr>
          <w:rFonts w:hint="default" w:ascii="Times New Roman" w:hAnsi="Times New Roman" w:cs="Times New Roman" w:eastAsiaTheme="minorEastAsia"/>
          <w:sz w:val="24"/>
          <w:szCs w:val="24"/>
        </w:rPr>
        <w:t>结合曲沃县城区道路现状及规划，</w:t>
      </w:r>
      <w:r>
        <w:rPr>
          <w:rFonts w:hint="eastAsia" w:ascii="Times New Roman" w:hAnsi="Times New Roman" w:cs="Times New Roman" w:eastAsiaTheme="minorEastAsia"/>
          <w:sz w:val="24"/>
          <w:szCs w:val="24"/>
          <w:lang w:eastAsia="zh-CN"/>
        </w:rPr>
        <w:t>本次现状监测共布设</w:t>
      </w:r>
      <w:r>
        <w:rPr>
          <w:rFonts w:hint="eastAsia" w:cs="Times New Roman" w:eastAsiaTheme="minorEastAsia"/>
          <w:sz w:val="24"/>
          <w:szCs w:val="24"/>
          <w:lang w:val="en-US" w:eastAsia="zh-CN"/>
        </w:rPr>
        <w:t>44</w:t>
      </w:r>
      <w:r>
        <w:rPr>
          <w:rFonts w:hint="default" w:ascii="Times New Roman" w:hAnsi="Times New Roman" w:cs="Times New Roman" w:eastAsiaTheme="minorEastAsia"/>
          <w:sz w:val="24"/>
          <w:szCs w:val="24"/>
        </w:rPr>
        <w:t>个监测点位。</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rPr>
        <w:t>道路交通噪声监测布点见附图</w:t>
      </w:r>
      <w:r>
        <w:rPr>
          <w:rFonts w:hint="eastAsia" w:ascii="Times New Roman" w:hAnsi="Times New Roman" w:cs="Times New Roman" w:eastAsiaTheme="minorEastAsia"/>
          <w:sz w:val="24"/>
          <w:szCs w:val="24"/>
          <w:lang w:eastAsia="zh-CN"/>
        </w:rPr>
        <w:t>；</w:t>
      </w:r>
      <w:r>
        <w:rPr>
          <w:rFonts w:hint="eastAsia" w:ascii="Times New Roman" w:hAnsi="Times New Roman" w:cs="Times New Roman" w:eastAsiaTheme="minorEastAsia"/>
          <w:sz w:val="24"/>
          <w:szCs w:val="24"/>
          <w:lang w:val="en-US" w:eastAsia="zh-CN"/>
        </w:rPr>
        <w:t>道路交通噪声监测点位基础信息见表4-6。</w:t>
      </w:r>
    </w:p>
    <w:p>
      <w:pPr>
        <w:pStyle w:val="2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表4-6  道路交通噪声监测点位基础信息表</w:t>
      </w:r>
    </w:p>
    <w:p>
      <w:pPr>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textAlignment w:val="auto"/>
        <w:rPr>
          <w:rFonts w:hint="default" w:ascii="Times New Roman" w:hAnsi="Times New Roman" w:cs="Times New Roman" w:eastAsiaTheme="minorEastAsia"/>
          <w:b/>
          <w:bCs/>
          <w:sz w:val="21"/>
          <w:szCs w:val="21"/>
          <w:u w:val="single"/>
          <w:lang w:val="en-US" w:eastAsia="zh-CN"/>
        </w:rPr>
      </w:pPr>
      <w:r>
        <w:rPr>
          <w:rFonts w:hint="eastAsia" w:ascii="Times New Roman" w:hAnsi="Times New Roman" w:cs="Times New Roman" w:eastAsiaTheme="minorEastAsia"/>
          <w:b/>
          <w:bCs/>
          <w:sz w:val="21"/>
          <w:szCs w:val="21"/>
          <w:lang w:val="en-US" w:eastAsia="zh-CN"/>
        </w:rPr>
        <w:t>年度</w:t>
      </w:r>
      <w:r>
        <w:rPr>
          <w:rFonts w:hint="eastAsia" w:cs="Times New Roman" w:eastAsiaTheme="minorEastAsia"/>
          <w:b/>
          <w:bCs/>
          <w:sz w:val="21"/>
          <w:szCs w:val="21"/>
          <w:lang w:val="en-US" w:eastAsia="zh-CN"/>
        </w:rPr>
        <w:t>：</w:t>
      </w:r>
      <w:r>
        <w:rPr>
          <w:rFonts w:hint="eastAsia" w:cs="Times New Roman" w:eastAsiaTheme="minorEastAsia"/>
          <w:b/>
          <w:bCs/>
          <w:sz w:val="21"/>
          <w:szCs w:val="21"/>
          <w:u w:val="single"/>
          <w:lang w:val="en-US" w:eastAsia="zh-CN"/>
        </w:rPr>
        <w:t>2020年</w:t>
      </w:r>
      <w:r>
        <w:rPr>
          <w:rFonts w:hint="eastAsia" w:cs="Times New Roman" w:eastAsiaTheme="minorEastAsia"/>
          <w:b/>
          <w:bCs/>
          <w:sz w:val="21"/>
          <w:szCs w:val="21"/>
          <w:u w:val="none"/>
          <w:lang w:val="en-US" w:eastAsia="zh-CN"/>
        </w:rPr>
        <w:t xml:space="preserve">                           监测单位：</w:t>
      </w:r>
      <w:r>
        <w:rPr>
          <w:rFonts w:hint="eastAsia" w:cs="Times New Roman" w:eastAsiaTheme="minorEastAsia"/>
          <w:b/>
          <w:bCs/>
          <w:sz w:val="21"/>
          <w:szCs w:val="21"/>
          <w:u w:val="single"/>
          <w:lang w:val="en-US" w:eastAsia="zh-CN"/>
        </w:rPr>
        <w:t>山西鑫合诚环境监测有限公司</w:t>
      </w:r>
    </w:p>
    <w:tbl>
      <w:tblPr>
        <w:tblStyle w:val="24"/>
        <w:tblW w:w="852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52"/>
        <w:gridCol w:w="2014"/>
        <w:gridCol w:w="1237"/>
        <w:gridCol w:w="1668"/>
        <w:gridCol w:w="1545"/>
        <w:gridCol w:w="130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752"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序号</w:t>
            </w:r>
          </w:p>
        </w:tc>
        <w:tc>
          <w:tcPr>
            <w:tcW w:w="2014"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eastAsia" w:ascii="Times New Roman" w:hAnsi="Times New Roman" w:cs="Times New Roman" w:eastAsiaTheme="minorEastAsia"/>
                <w:sz w:val="21"/>
                <w:szCs w:val="21"/>
                <w:lang w:eastAsia="zh-CN"/>
              </w:rPr>
            </w:pPr>
            <w:r>
              <w:rPr>
                <w:rFonts w:hint="eastAsia" w:ascii="Times New Roman" w:hAnsi="Times New Roman" w:cs="Times New Roman" w:eastAsiaTheme="minorEastAsia"/>
                <w:sz w:val="21"/>
                <w:szCs w:val="21"/>
                <w:lang w:eastAsia="zh-CN"/>
              </w:rPr>
              <w:t>监测</w:t>
            </w:r>
            <w:r>
              <w:rPr>
                <w:rFonts w:hint="eastAsia" w:cs="Times New Roman" w:eastAsiaTheme="minorEastAsia"/>
                <w:sz w:val="21"/>
                <w:szCs w:val="21"/>
                <w:lang w:val="en-US" w:eastAsia="zh-CN"/>
              </w:rPr>
              <w:t>点</w:t>
            </w:r>
            <w:r>
              <w:rPr>
                <w:rFonts w:hint="eastAsia" w:ascii="Times New Roman" w:hAnsi="Times New Roman" w:cs="Times New Roman" w:eastAsiaTheme="minorEastAsia"/>
                <w:sz w:val="21"/>
                <w:szCs w:val="21"/>
                <w:lang w:eastAsia="zh-CN"/>
              </w:rPr>
              <w:t>名称</w:t>
            </w:r>
          </w:p>
        </w:tc>
        <w:tc>
          <w:tcPr>
            <w:tcW w:w="1237"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道路名称</w:t>
            </w:r>
          </w:p>
        </w:tc>
        <w:tc>
          <w:tcPr>
            <w:tcW w:w="166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eastAsia" w:ascii="Times New Roman" w:hAnsi="Times New Roman" w:cs="Times New Roman" w:eastAsiaTheme="minorEastAsia"/>
                <w:sz w:val="21"/>
                <w:szCs w:val="21"/>
                <w:lang w:eastAsia="zh-CN"/>
              </w:rPr>
            </w:pPr>
            <w:r>
              <w:rPr>
                <w:rFonts w:hint="eastAsia" w:ascii="Times New Roman" w:hAnsi="Times New Roman" w:cs="Times New Roman" w:eastAsiaTheme="minorEastAsia"/>
                <w:sz w:val="21"/>
                <w:szCs w:val="21"/>
                <w:lang w:eastAsia="zh-CN"/>
              </w:rPr>
              <w:t>路段</w:t>
            </w:r>
            <w:r>
              <w:rPr>
                <w:rFonts w:hint="default" w:ascii="Times New Roman" w:hAnsi="Times New Roman" w:cs="Times New Roman" w:eastAsiaTheme="minorEastAsia"/>
                <w:sz w:val="21"/>
                <w:szCs w:val="21"/>
              </w:rPr>
              <w:t>长度(m)</w:t>
            </w:r>
          </w:p>
        </w:tc>
        <w:tc>
          <w:tcPr>
            <w:tcW w:w="1545"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default" w:cs="Times New Roman" w:eastAsiaTheme="minorEastAsia"/>
                <w:sz w:val="21"/>
                <w:szCs w:val="21"/>
                <w:lang w:val="en-US" w:eastAsia="zh-CN"/>
              </w:rPr>
              <w:t>路段宽度(m)</w:t>
            </w:r>
          </w:p>
        </w:tc>
        <w:tc>
          <w:tcPr>
            <w:tcW w:w="130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default" w:cs="Times New Roman" w:eastAsiaTheme="minorEastAsia"/>
                <w:sz w:val="21"/>
                <w:szCs w:val="21"/>
                <w:lang w:val="en-US" w:eastAsia="zh-CN"/>
              </w:rPr>
              <w:t>道路类型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1</w:t>
            </w:r>
          </w:p>
        </w:tc>
        <w:tc>
          <w:tcPr>
            <w:tcW w:w="2014"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eastAsia" w:ascii="Times New Roman" w:hAnsi="Times New Roman" w:cs="Times New Roman" w:eastAsiaTheme="minorEastAsia"/>
                <w:sz w:val="21"/>
                <w:szCs w:val="21"/>
                <w:highlight w:val="none"/>
              </w:rPr>
              <w:t>曲沃县中心客运站</w:t>
            </w:r>
          </w:p>
        </w:tc>
        <w:tc>
          <w:tcPr>
            <w:tcW w:w="1237"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新华北路</w:t>
            </w:r>
          </w:p>
        </w:tc>
        <w:tc>
          <w:tcPr>
            <w:tcW w:w="166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1100</w:t>
            </w:r>
          </w:p>
        </w:tc>
        <w:tc>
          <w:tcPr>
            <w:tcW w:w="1545"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60</w:t>
            </w:r>
          </w:p>
        </w:tc>
        <w:tc>
          <w:tcPr>
            <w:tcW w:w="130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国道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2</w:t>
            </w:r>
          </w:p>
        </w:tc>
        <w:tc>
          <w:tcPr>
            <w:tcW w:w="2014"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eastAsia" w:ascii="Times New Roman" w:hAnsi="Times New Roman" w:cs="Times New Roman" w:eastAsiaTheme="minorEastAsia"/>
                <w:sz w:val="21"/>
                <w:szCs w:val="21"/>
                <w:highlight w:val="none"/>
              </w:rPr>
              <w:t>中国太平洋保险财产保险曲沃支公司</w:t>
            </w:r>
          </w:p>
        </w:tc>
        <w:tc>
          <w:tcPr>
            <w:tcW w:w="1237"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新华北路</w:t>
            </w:r>
          </w:p>
        </w:tc>
        <w:tc>
          <w:tcPr>
            <w:tcW w:w="166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430</w:t>
            </w:r>
          </w:p>
        </w:tc>
        <w:tc>
          <w:tcPr>
            <w:tcW w:w="1545"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default" w:cs="Times New Roman" w:eastAsiaTheme="minorEastAsia"/>
                <w:sz w:val="21"/>
                <w:szCs w:val="21"/>
                <w:lang w:val="en-US" w:eastAsia="zh-CN"/>
              </w:rPr>
              <w:t>60</w:t>
            </w:r>
          </w:p>
        </w:tc>
        <w:tc>
          <w:tcPr>
            <w:tcW w:w="130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国道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752"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3</w:t>
            </w:r>
          </w:p>
        </w:tc>
        <w:tc>
          <w:tcPr>
            <w:tcW w:w="2014"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eastAsia" w:cs="Times New Roman" w:eastAsiaTheme="minorEastAsia"/>
                <w:sz w:val="21"/>
                <w:szCs w:val="21"/>
                <w:highlight w:val="none"/>
                <w:lang w:eastAsia="zh-CN"/>
              </w:rPr>
              <w:t>新华南路</w:t>
            </w:r>
            <w:r>
              <w:rPr>
                <w:rFonts w:hint="eastAsia" w:ascii="Times New Roman" w:hAnsi="Times New Roman" w:cs="Times New Roman" w:eastAsiaTheme="minorEastAsia"/>
                <w:sz w:val="21"/>
                <w:szCs w:val="21"/>
                <w:highlight w:val="none"/>
              </w:rPr>
              <w:t>文公大街交叉口与府西街交叉口中段</w:t>
            </w:r>
          </w:p>
        </w:tc>
        <w:tc>
          <w:tcPr>
            <w:tcW w:w="1237"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新华北路</w:t>
            </w:r>
          </w:p>
        </w:tc>
        <w:tc>
          <w:tcPr>
            <w:tcW w:w="166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890</w:t>
            </w:r>
          </w:p>
        </w:tc>
        <w:tc>
          <w:tcPr>
            <w:tcW w:w="1545"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default" w:cs="Times New Roman" w:eastAsiaTheme="minorEastAsia"/>
                <w:sz w:val="21"/>
                <w:szCs w:val="21"/>
                <w:lang w:val="en-US" w:eastAsia="zh-CN"/>
              </w:rPr>
              <w:t>60</w:t>
            </w:r>
          </w:p>
        </w:tc>
        <w:tc>
          <w:tcPr>
            <w:tcW w:w="130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国道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4</w:t>
            </w:r>
          </w:p>
        </w:tc>
        <w:tc>
          <w:tcPr>
            <w:tcW w:w="2014"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eastAsia" w:cs="Times New Roman" w:eastAsiaTheme="minorEastAsia"/>
                <w:sz w:val="21"/>
                <w:szCs w:val="21"/>
                <w:highlight w:val="none"/>
                <w:lang w:eastAsia="zh-CN"/>
              </w:rPr>
              <w:t>新华南路</w:t>
            </w:r>
            <w:r>
              <w:rPr>
                <w:rFonts w:hint="eastAsia" w:ascii="Times New Roman" w:hAnsi="Times New Roman" w:cs="Times New Roman" w:eastAsiaTheme="minorEastAsia"/>
                <w:sz w:val="21"/>
                <w:szCs w:val="21"/>
                <w:highlight w:val="none"/>
              </w:rPr>
              <w:t>与花苑路交叉口</w:t>
            </w:r>
          </w:p>
        </w:tc>
        <w:tc>
          <w:tcPr>
            <w:tcW w:w="1237"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新华南路</w:t>
            </w:r>
          </w:p>
        </w:tc>
        <w:tc>
          <w:tcPr>
            <w:tcW w:w="166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1040</w:t>
            </w:r>
          </w:p>
        </w:tc>
        <w:tc>
          <w:tcPr>
            <w:tcW w:w="1545"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60</w:t>
            </w:r>
          </w:p>
        </w:tc>
        <w:tc>
          <w:tcPr>
            <w:tcW w:w="130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国道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5</w:t>
            </w:r>
          </w:p>
        </w:tc>
        <w:tc>
          <w:tcPr>
            <w:tcW w:w="2014"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eastAsia" w:ascii="Times New Roman" w:hAnsi="Times New Roman" w:cs="Times New Roman" w:eastAsiaTheme="minorEastAsia"/>
                <w:sz w:val="21"/>
                <w:szCs w:val="21"/>
                <w:highlight w:val="none"/>
              </w:rPr>
              <w:t>曲沃县城乡建设局</w:t>
            </w:r>
          </w:p>
        </w:tc>
        <w:tc>
          <w:tcPr>
            <w:tcW w:w="1237"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太和南路</w:t>
            </w:r>
          </w:p>
        </w:tc>
        <w:tc>
          <w:tcPr>
            <w:tcW w:w="166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600</w:t>
            </w:r>
          </w:p>
        </w:tc>
        <w:tc>
          <w:tcPr>
            <w:tcW w:w="1545"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default" w:cs="Times New Roman" w:eastAsiaTheme="minorEastAsia"/>
                <w:sz w:val="21"/>
                <w:szCs w:val="21"/>
                <w:lang w:val="en-US" w:eastAsia="zh-CN"/>
              </w:rPr>
              <w:t>3</w:t>
            </w:r>
            <w:r>
              <w:rPr>
                <w:rFonts w:hint="eastAsia" w:cs="Times New Roman" w:eastAsiaTheme="minorEastAsia"/>
                <w:sz w:val="21"/>
                <w:szCs w:val="21"/>
                <w:lang w:val="en-US" w:eastAsia="zh-CN"/>
              </w:rPr>
              <w:t>0</w:t>
            </w:r>
          </w:p>
        </w:tc>
        <w:tc>
          <w:tcPr>
            <w:tcW w:w="130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支路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6</w:t>
            </w:r>
          </w:p>
        </w:tc>
        <w:tc>
          <w:tcPr>
            <w:tcW w:w="2014"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eastAsia" w:ascii="Times New Roman" w:hAnsi="Times New Roman" w:cs="Times New Roman" w:eastAsiaTheme="minorEastAsia"/>
                <w:sz w:val="21"/>
                <w:szCs w:val="21"/>
                <w:highlight w:val="none"/>
              </w:rPr>
              <w:t>南街幼儿园</w:t>
            </w:r>
          </w:p>
        </w:tc>
        <w:tc>
          <w:tcPr>
            <w:tcW w:w="1237"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太和南路</w:t>
            </w:r>
          </w:p>
        </w:tc>
        <w:tc>
          <w:tcPr>
            <w:tcW w:w="166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426</w:t>
            </w:r>
          </w:p>
        </w:tc>
        <w:tc>
          <w:tcPr>
            <w:tcW w:w="1545"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30</w:t>
            </w:r>
          </w:p>
        </w:tc>
        <w:tc>
          <w:tcPr>
            <w:tcW w:w="130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支路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752"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7</w:t>
            </w:r>
          </w:p>
        </w:tc>
        <w:tc>
          <w:tcPr>
            <w:tcW w:w="2014"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eastAsia" w:ascii="Times New Roman" w:hAnsi="Times New Roman" w:cs="Times New Roman" w:eastAsiaTheme="minorEastAsia"/>
                <w:sz w:val="21"/>
                <w:szCs w:val="21"/>
                <w:highlight w:val="none"/>
              </w:rPr>
              <w:t>曲沃县消防大队</w:t>
            </w:r>
          </w:p>
        </w:tc>
        <w:tc>
          <w:tcPr>
            <w:tcW w:w="1237"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晋都北路</w:t>
            </w:r>
          </w:p>
        </w:tc>
        <w:tc>
          <w:tcPr>
            <w:tcW w:w="166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706</w:t>
            </w:r>
          </w:p>
        </w:tc>
        <w:tc>
          <w:tcPr>
            <w:tcW w:w="1545"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30</w:t>
            </w:r>
          </w:p>
        </w:tc>
        <w:tc>
          <w:tcPr>
            <w:tcW w:w="130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8</w:t>
            </w:r>
          </w:p>
        </w:tc>
        <w:tc>
          <w:tcPr>
            <w:tcW w:w="2014"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eastAsia" w:ascii="Times New Roman" w:hAnsi="Times New Roman" w:cs="Times New Roman" w:eastAsiaTheme="minorEastAsia"/>
                <w:sz w:val="21"/>
                <w:szCs w:val="21"/>
                <w:highlight w:val="none"/>
              </w:rPr>
              <w:t>曲沃县人民法院</w:t>
            </w:r>
          </w:p>
        </w:tc>
        <w:tc>
          <w:tcPr>
            <w:tcW w:w="1237"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晋都北路</w:t>
            </w:r>
          </w:p>
        </w:tc>
        <w:tc>
          <w:tcPr>
            <w:tcW w:w="166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330</w:t>
            </w:r>
          </w:p>
        </w:tc>
        <w:tc>
          <w:tcPr>
            <w:tcW w:w="1545"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30</w:t>
            </w:r>
          </w:p>
        </w:tc>
        <w:tc>
          <w:tcPr>
            <w:tcW w:w="130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9</w:t>
            </w:r>
          </w:p>
        </w:tc>
        <w:tc>
          <w:tcPr>
            <w:tcW w:w="2014"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eastAsia" w:ascii="Times New Roman" w:hAnsi="Times New Roman" w:cs="Times New Roman" w:eastAsiaTheme="minorEastAsia"/>
                <w:sz w:val="21"/>
                <w:szCs w:val="21"/>
                <w:highlight w:val="none"/>
              </w:rPr>
              <w:t>曲沃县水利局</w:t>
            </w:r>
          </w:p>
        </w:tc>
        <w:tc>
          <w:tcPr>
            <w:tcW w:w="1237"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晋都北路</w:t>
            </w:r>
          </w:p>
        </w:tc>
        <w:tc>
          <w:tcPr>
            <w:tcW w:w="166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650</w:t>
            </w:r>
          </w:p>
        </w:tc>
        <w:tc>
          <w:tcPr>
            <w:tcW w:w="1545"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30</w:t>
            </w:r>
          </w:p>
        </w:tc>
        <w:tc>
          <w:tcPr>
            <w:tcW w:w="130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10</w:t>
            </w:r>
          </w:p>
        </w:tc>
        <w:tc>
          <w:tcPr>
            <w:tcW w:w="2014"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eastAsia" w:ascii="Times New Roman" w:hAnsi="Times New Roman" w:cs="Times New Roman" w:eastAsiaTheme="minorEastAsia"/>
                <w:sz w:val="21"/>
                <w:szCs w:val="21"/>
                <w:highlight w:val="none"/>
              </w:rPr>
              <w:t>曲沃县工商和质量监督管理局乐昌所</w:t>
            </w:r>
          </w:p>
        </w:tc>
        <w:tc>
          <w:tcPr>
            <w:tcW w:w="1237"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晋都南路</w:t>
            </w:r>
          </w:p>
        </w:tc>
        <w:tc>
          <w:tcPr>
            <w:tcW w:w="166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630</w:t>
            </w:r>
          </w:p>
        </w:tc>
        <w:tc>
          <w:tcPr>
            <w:tcW w:w="1545"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40</w:t>
            </w:r>
          </w:p>
        </w:tc>
        <w:tc>
          <w:tcPr>
            <w:tcW w:w="130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752"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11</w:t>
            </w:r>
          </w:p>
        </w:tc>
        <w:tc>
          <w:tcPr>
            <w:tcW w:w="2014"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eastAsia" w:ascii="Times New Roman" w:hAnsi="Times New Roman" w:cs="Times New Roman" w:eastAsiaTheme="minorEastAsia"/>
                <w:sz w:val="21"/>
                <w:szCs w:val="21"/>
                <w:highlight w:val="none"/>
              </w:rPr>
              <w:t>紫金嘉苑东门</w:t>
            </w:r>
          </w:p>
        </w:tc>
        <w:tc>
          <w:tcPr>
            <w:tcW w:w="1237"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晋都南路</w:t>
            </w:r>
          </w:p>
        </w:tc>
        <w:tc>
          <w:tcPr>
            <w:tcW w:w="166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380</w:t>
            </w:r>
          </w:p>
        </w:tc>
        <w:tc>
          <w:tcPr>
            <w:tcW w:w="1545"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40</w:t>
            </w:r>
          </w:p>
        </w:tc>
        <w:tc>
          <w:tcPr>
            <w:tcW w:w="130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eastAsiaTheme="minorEastAsia"/>
                <w:sz w:val="21"/>
                <w:szCs w:val="21"/>
                <w:highlight w:val="none"/>
                <w:lang w:val="en-US" w:eastAsia="zh-CN"/>
              </w:rPr>
              <w:t>12</w:t>
            </w:r>
          </w:p>
        </w:tc>
        <w:tc>
          <w:tcPr>
            <w:tcW w:w="2014"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eastAsia" w:ascii="Times New Roman" w:hAnsi="Times New Roman" w:cs="Times New Roman" w:eastAsiaTheme="minorEastAsia"/>
                <w:sz w:val="21"/>
                <w:szCs w:val="21"/>
                <w:highlight w:val="none"/>
              </w:rPr>
              <w:t>中国人民银行曲沃县支行</w:t>
            </w:r>
          </w:p>
        </w:tc>
        <w:tc>
          <w:tcPr>
            <w:tcW w:w="1237"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浍</w:t>
            </w:r>
            <w:r>
              <w:rPr>
                <w:rFonts w:hint="eastAsia" w:cs="Times New Roman" w:eastAsiaTheme="minorEastAsia"/>
                <w:sz w:val="21"/>
                <w:szCs w:val="21"/>
                <w:highlight w:val="none"/>
                <w:lang w:val="en-US" w:eastAsia="zh-CN"/>
              </w:rPr>
              <w:t>滨</w:t>
            </w:r>
            <w:r>
              <w:rPr>
                <w:rFonts w:hint="eastAsia" w:ascii="Times New Roman" w:hAnsi="Times New Roman" w:cs="Times New Roman" w:eastAsiaTheme="minorEastAsia"/>
                <w:sz w:val="21"/>
                <w:szCs w:val="21"/>
                <w:highlight w:val="none"/>
                <w:lang w:val="en-US" w:eastAsia="zh-CN"/>
              </w:rPr>
              <w:t>南路</w:t>
            </w:r>
          </w:p>
        </w:tc>
        <w:tc>
          <w:tcPr>
            <w:tcW w:w="166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610</w:t>
            </w:r>
          </w:p>
        </w:tc>
        <w:tc>
          <w:tcPr>
            <w:tcW w:w="1545"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30</w:t>
            </w:r>
          </w:p>
        </w:tc>
        <w:tc>
          <w:tcPr>
            <w:tcW w:w="130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城市次干道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eastAsiaTheme="minorEastAsia"/>
                <w:sz w:val="21"/>
                <w:szCs w:val="21"/>
                <w:highlight w:val="none"/>
                <w:lang w:val="en-US" w:eastAsia="zh-CN"/>
              </w:rPr>
              <w:t>13</w:t>
            </w:r>
          </w:p>
        </w:tc>
        <w:tc>
          <w:tcPr>
            <w:tcW w:w="2014"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eastAsia" w:ascii="Times New Roman" w:hAnsi="Times New Roman" w:cs="Times New Roman" w:eastAsiaTheme="minorEastAsia"/>
                <w:sz w:val="21"/>
                <w:szCs w:val="21"/>
                <w:highlight w:val="none"/>
              </w:rPr>
              <w:t>曲沃县兴华中学西北门</w:t>
            </w:r>
          </w:p>
        </w:tc>
        <w:tc>
          <w:tcPr>
            <w:tcW w:w="1237"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浍</w:t>
            </w:r>
            <w:r>
              <w:rPr>
                <w:rFonts w:hint="eastAsia" w:cs="Times New Roman" w:eastAsiaTheme="minorEastAsia"/>
                <w:sz w:val="21"/>
                <w:szCs w:val="21"/>
                <w:highlight w:val="none"/>
                <w:lang w:val="en-US" w:eastAsia="zh-CN"/>
              </w:rPr>
              <w:t>滨</w:t>
            </w:r>
            <w:r>
              <w:rPr>
                <w:rFonts w:hint="eastAsia" w:ascii="Times New Roman" w:hAnsi="Times New Roman" w:cs="Times New Roman" w:eastAsiaTheme="minorEastAsia"/>
                <w:sz w:val="21"/>
                <w:szCs w:val="21"/>
                <w:highlight w:val="none"/>
                <w:lang w:val="en-US" w:eastAsia="zh-CN"/>
              </w:rPr>
              <w:t>南路</w:t>
            </w:r>
          </w:p>
        </w:tc>
        <w:tc>
          <w:tcPr>
            <w:tcW w:w="166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600</w:t>
            </w:r>
          </w:p>
        </w:tc>
        <w:tc>
          <w:tcPr>
            <w:tcW w:w="1545"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30</w:t>
            </w:r>
          </w:p>
        </w:tc>
        <w:tc>
          <w:tcPr>
            <w:tcW w:w="130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城市次干道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eastAsiaTheme="minorEastAsia"/>
                <w:sz w:val="21"/>
                <w:szCs w:val="21"/>
                <w:highlight w:val="none"/>
                <w:lang w:val="en-US" w:eastAsia="zh-CN"/>
              </w:rPr>
              <w:t>14</w:t>
            </w:r>
          </w:p>
        </w:tc>
        <w:tc>
          <w:tcPr>
            <w:tcW w:w="2014"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eastAsia" w:ascii="Times New Roman" w:hAnsi="Times New Roman" w:cs="Times New Roman" w:eastAsiaTheme="minorEastAsia"/>
                <w:sz w:val="21"/>
                <w:szCs w:val="21"/>
                <w:highlight w:val="none"/>
              </w:rPr>
              <w:t>浍滨南路贡院东街交叉口与沸泉街交叉口中段</w:t>
            </w:r>
          </w:p>
        </w:tc>
        <w:tc>
          <w:tcPr>
            <w:tcW w:w="1237"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浍</w:t>
            </w:r>
            <w:r>
              <w:rPr>
                <w:rFonts w:hint="eastAsia" w:cs="Times New Roman" w:eastAsiaTheme="minorEastAsia"/>
                <w:sz w:val="21"/>
                <w:szCs w:val="21"/>
                <w:highlight w:val="none"/>
                <w:lang w:val="en-US" w:eastAsia="zh-CN"/>
              </w:rPr>
              <w:t>滨</w:t>
            </w:r>
            <w:r>
              <w:rPr>
                <w:rFonts w:hint="eastAsia" w:ascii="Times New Roman" w:hAnsi="Times New Roman" w:cs="Times New Roman" w:eastAsiaTheme="minorEastAsia"/>
                <w:sz w:val="21"/>
                <w:szCs w:val="21"/>
                <w:highlight w:val="none"/>
                <w:lang w:val="en-US" w:eastAsia="zh-CN"/>
              </w:rPr>
              <w:t>南路</w:t>
            </w:r>
          </w:p>
        </w:tc>
        <w:tc>
          <w:tcPr>
            <w:tcW w:w="166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400</w:t>
            </w:r>
          </w:p>
        </w:tc>
        <w:tc>
          <w:tcPr>
            <w:tcW w:w="1545"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30</w:t>
            </w:r>
          </w:p>
        </w:tc>
        <w:tc>
          <w:tcPr>
            <w:tcW w:w="130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城市次干道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752"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default" w:ascii="Times New Roman" w:hAnsi="Times New Roman" w:cs="Times New Roman" w:eastAsiaTheme="minorEastAsia"/>
                <w:sz w:val="21"/>
                <w:szCs w:val="21"/>
                <w:highlight w:val="none"/>
                <w:lang w:val="en-US" w:eastAsia="zh-CN"/>
              </w:rPr>
              <w:t>15</w:t>
            </w:r>
          </w:p>
        </w:tc>
        <w:tc>
          <w:tcPr>
            <w:tcW w:w="2014"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rPr>
            </w:pPr>
            <w:r>
              <w:rPr>
                <w:rFonts w:hint="eastAsia" w:ascii="Times New Roman" w:hAnsi="Times New Roman" w:cs="Times New Roman" w:eastAsiaTheme="minorEastAsia"/>
                <w:sz w:val="21"/>
                <w:szCs w:val="21"/>
                <w:highlight w:val="none"/>
              </w:rPr>
              <w:t>曲沃县人民医院北门</w:t>
            </w:r>
          </w:p>
        </w:tc>
        <w:tc>
          <w:tcPr>
            <w:tcW w:w="1237"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绛山路</w:t>
            </w:r>
          </w:p>
        </w:tc>
        <w:tc>
          <w:tcPr>
            <w:tcW w:w="166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580</w:t>
            </w:r>
          </w:p>
        </w:tc>
        <w:tc>
          <w:tcPr>
            <w:tcW w:w="1545"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15</w:t>
            </w:r>
          </w:p>
        </w:tc>
        <w:tc>
          <w:tcPr>
            <w:tcW w:w="130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16</w:t>
            </w:r>
          </w:p>
        </w:tc>
        <w:tc>
          <w:tcPr>
            <w:tcW w:w="2014"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曲沃县民政局婚姻登记处</w:t>
            </w:r>
          </w:p>
        </w:tc>
        <w:tc>
          <w:tcPr>
            <w:tcW w:w="1237"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绛山路</w:t>
            </w:r>
          </w:p>
        </w:tc>
        <w:tc>
          <w:tcPr>
            <w:tcW w:w="166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710</w:t>
            </w:r>
          </w:p>
        </w:tc>
        <w:tc>
          <w:tcPr>
            <w:tcW w:w="1545"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15</w:t>
            </w:r>
          </w:p>
        </w:tc>
        <w:tc>
          <w:tcPr>
            <w:tcW w:w="130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yellow"/>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17</w:t>
            </w:r>
          </w:p>
        </w:tc>
        <w:tc>
          <w:tcPr>
            <w:tcW w:w="2014"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绛山路与南坦巷交叉路口</w:t>
            </w:r>
          </w:p>
        </w:tc>
        <w:tc>
          <w:tcPr>
            <w:tcW w:w="1237"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绛山路</w:t>
            </w:r>
          </w:p>
        </w:tc>
        <w:tc>
          <w:tcPr>
            <w:tcW w:w="166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914</w:t>
            </w:r>
          </w:p>
        </w:tc>
        <w:tc>
          <w:tcPr>
            <w:tcW w:w="1545"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15</w:t>
            </w:r>
          </w:p>
        </w:tc>
        <w:tc>
          <w:tcPr>
            <w:tcW w:w="130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18</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曲沃县人力资源和社会保障局</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吉祥路</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410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60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19</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晋韵华府东门</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吉祥路</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640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60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20</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顾园西门</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吉祥路</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1420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60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21</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曲沃县乐昌中学足球场东</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如意路</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330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60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22</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晋园东门</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如意路</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610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60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23</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曲绛线文公大街交叉口与府东街交叉口中段</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曲绛线</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420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15</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cs="Times New Roman" w:eastAsiaTheme="minorEastAsia"/>
                <w:sz w:val="21"/>
                <w:szCs w:val="21"/>
                <w:lang w:val="en-US" w:eastAsia="zh-CN"/>
              </w:rPr>
            </w:pPr>
            <w:r>
              <w:rPr>
                <w:rFonts w:hint="eastAsia" w:cs="Times New Roman" w:eastAsiaTheme="minorEastAsia"/>
                <w:sz w:val="21"/>
                <w:szCs w:val="21"/>
                <w:lang w:val="en-US" w:eastAsia="zh-CN"/>
              </w:rPr>
              <w:t>省道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24</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国家电网</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曲绛线</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600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15</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cs="Times New Roman" w:eastAsiaTheme="minorEastAsia"/>
                <w:sz w:val="21"/>
                <w:szCs w:val="21"/>
                <w:lang w:val="en-US" w:eastAsia="zh-CN"/>
              </w:rPr>
            </w:pPr>
            <w:r>
              <w:rPr>
                <w:rFonts w:hint="eastAsia" w:cs="Times New Roman" w:eastAsiaTheme="minorEastAsia"/>
                <w:sz w:val="21"/>
                <w:szCs w:val="21"/>
                <w:lang w:val="en-US" w:eastAsia="zh-CN"/>
              </w:rPr>
              <w:t>省道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25</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临汾市浍河水库管理局常乐站</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曲绛线</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1500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15</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cs="Times New Roman" w:eastAsiaTheme="minorEastAsia"/>
                <w:sz w:val="21"/>
                <w:szCs w:val="21"/>
                <w:lang w:val="en-US" w:eastAsia="zh-CN"/>
              </w:rPr>
            </w:pPr>
            <w:r>
              <w:rPr>
                <w:rFonts w:hint="eastAsia" w:cs="Times New Roman" w:eastAsiaTheme="minorEastAsia"/>
                <w:sz w:val="21"/>
                <w:szCs w:val="21"/>
                <w:lang w:val="en-US" w:eastAsia="zh-CN"/>
              </w:rPr>
              <w:t>省道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26</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殡仪馆</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坪曲</w:t>
            </w:r>
            <w:r>
              <w:rPr>
                <w:rFonts w:hint="eastAsia" w:cs="Times New Roman" w:eastAsiaTheme="minorEastAsia"/>
                <w:sz w:val="21"/>
                <w:szCs w:val="21"/>
                <w:highlight w:val="none"/>
                <w:lang w:val="en-US" w:eastAsia="zh-CN"/>
              </w:rPr>
              <w:t>线</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2240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15</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省道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27</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农机小区南门</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文公大街</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300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30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城市次干道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28</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中国银行曲沃支行</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文公大街</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470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30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城市次干道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29</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曲沃县市场监督管理局</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文公大街</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330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30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城市次干道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30</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曲沃县人民检察院</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文公大街</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660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30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城市次干道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31</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曲沃县公安局</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文公大街</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450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30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城市次干道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32</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文公大街如意路交叉口与曲绛线交叉口中段</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文公大街</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420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30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城市次干道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33</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乐昌镇政府</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府西街</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8</w:t>
            </w:r>
            <w:r>
              <w:rPr>
                <w:rFonts w:hint="eastAsia" w:cs="Times New Roman" w:eastAsiaTheme="minorEastAsia"/>
                <w:sz w:val="21"/>
                <w:szCs w:val="21"/>
                <w:highlight w:val="none"/>
                <w:lang w:val="en-US" w:eastAsia="zh-CN"/>
              </w:rPr>
              <w:t>7</w:t>
            </w:r>
            <w:r>
              <w:rPr>
                <w:rFonts w:hint="eastAsia" w:ascii="Times New Roman" w:hAnsi="Times New Roman" w:cs="Times New Roman" w:eastAsiaTheme="minorEastAsia"/>
                <w:sz w:val="21"/>
                <w:szCs w:val="21"/>
                <w:highlight w:val="none"/>
                <w:lang w:val="en-US" w:eastAsia="zh-CN"/>
              </w:rPr>
              <w:t>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60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34</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曲沃中心广场北门</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府东街</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440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60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35</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中国农业银行曲沃支行</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府东街</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370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60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36</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晋都御苑北门</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府东街</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620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60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37</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晋园北门</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府东街</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460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60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38</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碧桂园北门</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府东街</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430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100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39</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曲沃康宝生物单采血浆有限公司</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项院西街</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1230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30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城市次干道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40</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中国银行营业厅</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项院西街</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260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30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城市次干道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41</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黄河医院</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项院西街</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380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30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城市次干道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42</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紫金苑小区南门</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项院西街</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970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30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城市次干道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43</w:t>
            </w:r>
          </w:p>
        </w:tc>
        <w:tc>
          <w:tcPr>
            <w:tcW w:w="2014"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曲沃县中等职业技术学校北门</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项院东街</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870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30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城市次干道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2"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cs="Times New Roman" w:eastAsiaTheme="minorEastAsia"/>
                <w:kern w:val="0"/>
                <w:sz w:val="21"/>
                <w:szCs w:val="21"/>
                <w:highlight w:val="yellow"/>
                <w:lang w:val="en-US" w:eastAsia="zh-CN" w:bidi="ar-SA"/>
              </w:rPr>
            </w:pPr>
            <w:r>
              <w:rPr>
                <w:rFonts w:hint="eastAsia" w:ascii="Times New Roman" w:hAnsi="Times New Roman" w:cs="Times New Roman" w:eastAsiaTheme="minorEastAsia"/>
                <w:sz w:val="21"/>
                <w:szCs w:val="21"/>
                <w:highlight w:val="none"/>
                <w:lang w:val="en-US" w:eastAsia="zh-CN"/>
              </w:rPr>
              <w:t>44</w:t>
            </w:r>
          </w:p>
        </w:tc>
        <w:tc>
          <w:tcPr>
            <w:tcW w:w="2014" w:type="dxa"/>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rPr>
              <w:t>文馨苑南门</w:t>
            </w:r>
          </w:p>
        </w:tc>
        <w:tc>
          <w:tcPr>
            <w:tcW w:w="1237"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kern w:val="0"/>
                <w:sz w:val="21"/>
                <w:szCs w:val="21"/>
                <w:highlight w:val="yellow"/>
                <w:lang w:val="en-US" w:eastAsia="zh-CN" w:bidi="ar-SA"/>
              </w:rPr>
            </w:pPr>
            <w:r>
              <w:rPr>
                <w:rFonts w:hint="eastAsia" w:ascii="Times New Roman" w:hAnsi="Times New Roman" w:cs="Times New Roman" w:eastAsiaTheme="minorEastAsia"/>
                <w:sz w:val="21"/>
                <w:szCs w:val="21"/>
                <w:highlight w:val="none"/>
                <w:lang w:val="en-US" w:eastAsia="zh-CN"/>
              </w:rPr>
              <w:t>沸泉街</w:t>
            </w:r>
          </w:p>
        </w:tc>
        <w:tc>
          <w:tcPr>
            <w:tcW w:w="1668"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none"/>
                <w:lang w:val="en-US" w:eastAsia="zh-CN"/>
              </w:rPr>
            </w:pPr>
            <w:r>
              <w:rPr>
                <w:rFonts w:hint="eastAsia" w:ascii="Times New Roman" w:hAnsi="Times New Roman" w:cs="Times New Roman" w:eastAsiaTheme="minorEastAsia"/>
                <w:sz w:val="21"/>
                <w:szCs w:val="21"/>
                <w:highlight w:val="none"/>
                <w:lang w:val="en-US" w:eastAsia="zh-CN"/>
              </w:rPr>
              <w:t>400</w:t>
            </w:r>
          </w:p>
        </w:tc>
        <w:tc>
          <w:tcPr>
            <w:tcW w:w="1545" w:type="dxa"/>
            <w:vAlign w:val="center"/>
          </w:tcPr>
          <w:p>
            <w:pPr>
              <w:pStyle w:val="45"/>
              <w:keepNext w:val="0"/>
              <w:keepLines w:val="0"/>
              <w:suppressLineNumbers w:val="0"/>
              <w:snapToGrid w:val="0"/>
              <w:spacing w:before="0" w:beforeAutospacing="0" w:after="0" w:afterAutospacing="0" w:line="240" w:lineRule="auto"/>
              <w:ind w:left="0" w:right="0"/>
              <w:rPr>
                <w:rFonts w:hint="default" w:cs="Times New Roman" w:eastAsiaTheme="minorEastAsia"/>
                <w:sz w:val="21"/>
                <w:szCs w:val="21"/>
                <w:lang w:val="en-US" w:eastAsia="zh-CN"/>
              </w:rPr>
            </w:pPr>
            <w:r>
              <w:rPr>
                <w:rFonts w:hint="eastAsia" w:cs="Times New Roman" w:eastAsiaTheme="minorEastAsia"/>
                <w:sz w:val="21"/>
                <w:szCs w:val="21"/>
                <w:lang w:val="en-US" w:eastAsia="zh-CN"/>
              </w:rPr>
              <w:t>60</w:t>
            </w:r>
          </w:p>
        </w:tc>
        <w:tc>
          <w:tcPr>
            <w:tcW w:w="1309" w:type="dxa"/>
            <w:vAlign w:val="center"/>
          </w:tcPr>
          <w:p>
            <w:pPr>
              <w:pStyle w:val="45"/>
              <w:keepNext w:val="0"/>
              <w:keepLines w:val="0"/>
              <w:suppressLineNumbers w:val="0"/>
              <w:snapToGrid w:val="0"/>
              <w:spacing w:before="0" w:beforeAutospacing="0" w:after="0" w:afterAutospacing="0" w:line="240" w:lineRule="auto"/>
              <w:ind w:left="0" w:leftChars="0" w:right="0" w:rightChars="0" w:firstLine="0" w:firstLineChars="0"/>
              <w:rPr>
                <w:rFonts w:hint="default" w:ascii="Times New Roman" w:hAnsi="Times New Roman" w:cs="Times New Roman" w:eastAsiaTheme="minorEastAsia"/>
                <w:sz w:val="21"/>
                <w:szCs w:val="21"/>
                <w:highlight w:val="yellow"/>
              </w:rPr>
            </w:pPr>
            <w:r>
              <w:rPr>
                <w:rFonts w:hint="default" w:cs="Times New Roman" w:eastAsiaTheme="minorEastAsia"/>
                <w:sz w:val="21"/>
                <w:szCs w:val="21"/>
                <w:lang w:val="en-US" w:eastAsia="zh-CN"/>
              </w:rPr>
              <w:t>支路</w:t>
            </w:r>
          </w:p>
        </w:tc>
      </w:tr>
    </w:tbl>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eastAsia" w:ascii="Times New Roman" w:hAnsi="Times New Roman" w:cs="Times New Roman" w:eastAsiaTheme="minorEastAsia"/>
          <w:color w:val="auto"/>
          <w:sz w:val="28"/>
          <w:szCs w:val="28"/>
          <w:lang w:val="en-US" w:eastAsia="zh-CN"/>
        </w:rPr>
        <w:t>4.3.2</w:t>
      </w:r>
      <w:r>
        <w:rPr>
          <w:rFonts w:hint="default" w:ascii="Times New Roman" w:hAnsi="Times New Roman" w:cs="Times New Roman" w:eastAsiaTheme="minorEastAsia"/>
          <w:color w:val="auto"/>
          <w:sz w:val="28"/>
          <w:szCs w:val="28"/>
          <w:lang w:val="en-US" w:eastAsia="zh-CN"/>
        </w:rPr>
        <w:t>道路交通监测的频次、时间和监测量</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（1）昼间监测1次，监测应在昼间正常工作时段内测量，测量时段应覆盖整个正常工作时段。</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（2）夜间监测1次，监测从夜间起始时间开始，测量时段应覆盖整个夜间时段。</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（3）监测工作应安排在每年的春季或秋季，监测应避开节假日和非正常工作日。</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（4）</w:t>
      </w:r>
      <w:r>
        <w:rPr>
          <w:rFonts w:hint="default" w:ascii="Times New Roman" w:hAnsi="Times New Roman" w:cs="Times New Roman" w:eastAsiaTheme="minorEastAsia"/>
          <w:color w:val="auto"/>
          <w:sz w:val="24"/>
          <w:szCs w:val="24"/>
          <w:lang w:val="en-US" w:eastAsia="zh-CN"/>
        </w:rPr>
        <w:t>每个测点测量20min等效声级Leq，记录车流量信息并折算成小时车流量</w:t>
      </w:r>
      <w:r>
        <w:rPr>
          <w:rFonts w:hint="default" w:ascii="Times New Roman" w:hAnsi="Times New Roman" w:cs="Times New Roman" w:eastAsiaTheme="minorEastAsia"/>
          <w:color w:val="auto"/>
          <w:sz w:val="24"/>
          <w:szCs w:val="24"/>
        </w:rPr>
        <w:t>。</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eastAsia" w:ascii="Times New Roman" w:hAnsi="Times New Roman" w:cs="Times New Roman" w:eastAsiaTheme="minorEastAsia"/>
          <w:color w:val="auto"/>
          <w:sz w:val="28"/>
          <w:szCs w:val="28"/>
          <w:lang w:val="en-US" w:eastAsia="zh-CN"/>
        </w:rPr>
        <w:t>4.3.3</w:t>
      </w:r>
      <w:r>
        <w:rPr>
          <w:rFonts w:hint="default" w:ascii="Times New Roman" w:hAnsi="Times New Roman" w:cs="Times New Roman" w:eastAsiaTheme="minorEastAsia"/>
          <w:color w:val="auto"/>
          <w:sz w:val="28"/>
          <w:szCs w:val="28"/>
          <w:lang w:val="en-US" w:eastAsia="zh-CN"/>
        </w:rPr>
        <w:t>道路交通监测的结果与评价</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（1）区域声环境监测结果</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highlight w:val="none"/>
          <w:lang w:eastAsia="zh-CN"/>
        </w:rPr>
      </w:pPr>
      <w:r>
        <w:rPr>
          <w:rFonts w:hint="default" w:ascii="Times New Roman" w:hAnsi="Times New Roman" w:cs="Times New Roman" w:eastAsiaTheme="minorEastAsia"/>
          <w:color w:val="auto"/>
          <w:sz w:val="24"/>
          <w:szCs w:val="24"/>
        </w:rPr>
        <w:t>按照监测方案</w:t>
      </w:r>
      <w:r>
        <w:rPr>
          <w:rFonts w:hint="default" w:ascii="Times New Roman" w:hAnsi="Times New Roman" w:cs="Times New Roman" w:eastAsiaTheme="minorEastAsia"/>
          <w:color w:val="auto"/>
          <w:sz w:val="24"/>
          <w:szCs w:val="24"/>
          <w:lang w:eastAsia="zh-CN"/>
        </w:rPr>
        <w:t>和</w:t>
      </w:r>
      <w:r>
        <w:rPr>
          <w:rFonts w:hint="default" w:ascii="Times New Roman" w:hAnsi="Times New Roman" w:cs="Times New Roman" w:eastAsiaTheme="minorEastAsia"/>
          <w:color w:val="auto"/>
          <w:sz w:val="24"/>
          <w:szCs w:val="24"/>
          <w:lang w:val="en-US" w:eastAsia="zh-CN"/>
        </w:rPr>
        <w:t>《环境噪声监测技术规范  城市声环境常规监测》（HJ640-2012），山西鑫合诚环境监测有限公司于11月9日至11月13</w:t>
      </w:r>
      <w:r>
        <w:rPr>
          <w:rFonts w:hint="default" w:ascii="Times New Roman" w:hAnsi="Times New Roman" w:cs="Times New Roman" w:eastAsiaTheme="minorEastAsia"/>
          <w:color w:val="auto"/>
          <w:sz w:val="24"/>
          <w:szCs w:val="24"/>
          <w:highlight w:val="none"/>
          <w:lang w:val="en-US" w:eastAsia="zh-CN"/>
        </w:rPr>
        <w:t>对</w:t>
      </w:r>
      <w:r>
        <w:rPr>
          <w:rFonts w:hint="eastAsia" w:cs="Times New Roman" w:eastAsiaTheme="minorEastAsia"/>
          <w:color w:val="auto"/>
          <w:sz w:val="24"/>
          <w:szCs w:val="24"/>
          <w:highlight w:val="none"/>
          <w:lang w:val="en-US" w:eastAsia="zh-CN"/>
        </w:rPr>
        <w:t>道路交通噪声现状</w:t>
      </w:r>
      <w:r>
        <w:rPr>
          <w:rFonts w:hint="default" w:ascii="Times New Roman" w:hAnsi="Times New Roman" w:cs="Times New Roman" w:eastAsiaTheme="minorEastAsia"/>
          <w:color w:val="auto"/>
          <w:sz w:val="24"/>
          <w:szCs w:val="24"/>
          <w:highlight w:val="none"/>
        </w:rPr>
        <w:t>进行了监测。</w:t>
      </w:r>
      <w:r>
        <w:rPr>
          <w:rFonts w:hint="default" w:ascii="Times New Roman" w:hAnsi="Times New Roman" w:cs="Times New Roman" w:eastAsiaTheme="minorEastAsia"/>
          <w:color w:val="auto"/>
          <w:sz w:val="24"/>
          <w:szCs w:val="24"/>
          <w:highlight w:val="none"/>
          <w:lang w:eastAsia="zh-CN"/>
        </w:rPr>
        <w:t>监测结果见附件。</w:t>
      </w:r>
    </w:p>
    <w:p>
      <w:pPr>
        <w:snapToGrid w:val="0"/>
        <w:ind w:firstLine="560"/>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lang w:val="en-US" w:eastAsia="zh-CN"/>
        </w:rPr>
        <w:t>2</w:t>
      </w:r>
      <w:r>
        <w:rPr>
          <w:rFonts w:hint="default" w:ascii="Times New Roman" w:hAnsi="Times New Roman" w:cs="Times New Roman" w:eastAsiaTheme="minorEastAsia"/>
          <w:color w:val="auto"/>
          <w:sz w:val="24"/>
          <w:szCs w:val="24"/>
          <w:lang w:eastAsia="zh-CN"/>
        </w:rPr>
        <w:t>）监测结果分析</w:t>
      </w:r>
    </w:p>
    <w:p>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eastAsiaTheme="minorEastAsia"/>
          <w:bCs/>
          <w:color w:val="auto"/>
          <w:kern w:val="0"/>
          <w:sz w:val="24"/>
          <w:szCs w:val="24"/>
          <w:lang w:val="en-US"/>
        </w:rPr>
      </w:pPr>
      <w:r>
        <w:rPr>
          <w:rFonts w:hint="default" w:ascii="Times New Roman" w:hAnsi="Times New Roman" w:cs="Times New Roman" w:eastAsiaTheme="minorEastAsia"/>
          <w:bCs/>
          <w:color w:val="auto"/>
          <w:kern w:val="0"/>
          <w:sz w:val="24"/>
          <w:szCs w:val="24"/>
          <w:lang w:val="en-US" w:eastAsia="zh-CN" w:bidi="ar"/>
        </w:rPr>
        <w:t>将道路交通噪声监测的等效声级采用路段长度加权算术平均法，按式（</w:t>
      </w:r>
      <w:r>
        <w:rPr>
          <w:rFonts w:hint="eastAsia" w:ascii="Times New Roman" w:hAnsi="Times New Roman" w:cs="Times New Roman" w:eastAsiaTheme="minorEastAsia"/>
          <w:bCs/>
          <w:color w:val="auto"/>
          <w:kern w:val="0"/>
          <w:sz w:val="24"/>
          <w:szCs w:val="24"/>
          <w:lang w:val="en-US" w:eastAsia="zh-CN" w:bidi="ar"/>
        </w:rPr>
        <w:t>c</w:t>
      </w:r>
      <w:r>
        <w:rPr>
          <w:rFonts w:hint="default" w:ascii="Times New Roman" w:hAnsi="Times New Roman" w:cs="Times New Roman" w:eastAsiaTheme="minorEastAsia"/>
          <w:bCs/>
          <w:color w:val="auto"/>
          <w:kern w:val="0"/>
          <w:sz w:val="24"/>
          <w:szCs w:val="24"/>
          <w:lang w:val="en-US" w:eastAsia="zh-CN" w:bidi="ar"/>
        </w:rPr>
        <w:t>）计算城市道路交通噪声平均值。</w:t>
      </w:r>
    </w:p>
    <w:p>
      <w:pPr>
        <w:keepNext w:val="0"/>
        <w:keepLines w:val="0"/>
        <w:widowControl/>
        <w:suppressLineNumbers w:val="0"/>
        <w:spacing w:before="0" w:beforeAutospacing="0" w:after="0" w:afterAutospacing="0" w:line="360" w:lineRule="auto"/>
        <w:ind w:left="0" w:right="0" w:firstLine="480" w:firstLineChars="200"/>
        <w:jc w:val="right"/>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kern w:val="2"/>
          <w:sz w:val="24"/>
          <w:szCs w:val="24"/>
          <w:lang w:val="en-US" w:eastAsia="zh-CN" w:bidi="ar"/>
        </w:rPr>
        <w:t xml:space="preserve">                   </w:t>
      </w:r>
      <w:r>
        <w:rPr>
          <w:rFonts w:hint="default" w:ascii="Times New Roman" w:hAnsi="Times New Roman" w:cs="Times New Roman" w:eastAsiaTheme="minorEastAsia"/>
          <w:color w:val="auto"/>
          <w:kern w:val="2"/>
          <w:sz w:val="24"/>
          <w:szCs w:val="24"/>
          <w:lang w:val="en-US" w:eastAsia="zh-CN" w:bidi="ar"/>
        </w:rPr>
        <w:object>
          <v:shape id="_x0000_i1036" o:spt="75" type="#_x0000_t75" style="height:33.75pt;width:71.25pt;" o:ole="t" filled="f" o:preferrelative="t" stroked="f" coordsize="21600,21600">
            <v:path/>
            <v:fill on="f" focussize="0,0"/>
            <v:stroke on="f" joinstyle="miter"/>
            <v:imagedata r:id="rId46" o:title=""/>
            <o:lock v:ext="edit" aspectratio="t"/>
            <w10:wrap type="none"/>
            <w10:anchorlock/>
          </v:shape>
          <o:OLEObject Type="Embed" ProgID="Equation.3" ShapeID="_x0000_i1036" DrawAspect="Content" ObjectID="_1468075736" r:id="rId45">
            <o:LockedField>false</o:LockedField>
          </o:OLEObject>
        </w:object>
      </w:r>
      <w:r>
        <w:rPr>
          <w:rFonts w:hint="default" w:ascii="Times New Roman" w:hAnsi="Times New Roman" w:cs="Times New Roman" w:eastAsiaTheme="minorEastAsia"/>
          <w:color w:val="auto"/>
          <w:kern w:val="2"/>
          <w:sz w:val="24"/>
          <w:szCs w:val="24"/>
          <w:lang w:val="en-US" w:eastAsia="zh-CN" w:bidi="ar"/>
        </w:rPr>
        <w:t>…………………………………（</w:t>
      </w:r>
      <w:r>
        <w:rPr>
          <w:rFonts w:hint="eastAsia" w:ascii="Times New Roman" w:hAnsi="Times New Roman" w:cs="Times New Roman" w:eastAsiaTheme="minorEastAsia"/>
          <w:color w:val="auto"/>
          <w:kern w:val="2"/>
          <w:sz w:val="24"/>
          <w:szCs w:val="24"/>
          <w:lang w:val="en-US" w:eastAsia="zh-CN" w:bidi="ar"/>
        </w:rPr>
        <w:t>c</w:t>
      </w:r>
      <w:r>
        <w:rPr>
          <w:rFonts w:hint="default" w:ascii="Times New Roman" w:hAnsi="Times New Roman" w:cs="Times New Roman" w:eastAsiaTheme="minorEastAsia"/>
          <w:color w:val="auto"/>
          <w:kern w:val="2"/>
          <w:sz w:val="24"/>
          <w:szCs w:val="24"/>
          <w:lang w:val="en-US" w:eastAsia="zh-CN" w:bidi="ar"/>
        </w:rPr>
        <w:t>）</w:t>
      </w:r>
    </w:p>
    <w:p>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eastAsiaTheme="minorEastAsia"/>
          <w:bCs/>
          <w:color w:val="auto"/>
          <w:kern w:val="0"/>
          <w:sz w:val="24"/>
          <w:szCs w:val="24"/>
          <w:lang w:val="en-US"/>
        </w:rPr>
      </w:pPr>
      <w:r>
        <w:rPr>
          <w:rFonts w:hint="default" w:ascii="Times New Roman" w:hAnsi="Times New Roman" w:cs="Times New Roman" w:eastAsiaTheme="minorEastAsia"/>
          <w:bCs/>
          <w:color w:val="auto"/>
          <w:kern w:val="0"/>
          <w:sz w:val="24"/>
          <w:szCs w:val="24"/>
          <w:lang w:val="en-US" w:eastAsia="zh-CN" w:bidi="ar"/>
        </w:rPr>
        <w:t>式中：</w:t>
      </w:r>
      <w:r>
        <w:rPr>
          <w:rFonts w:hint="default" w:ascii="Times New Roman" w:hAnsi="Times New Roman" w:cs="Times New Roman" w:eastAsiaTheme="minorEastAsia"/>
          <w:color w:val="auto"/>
          <w:kern w:val="2"/>
          <w:sz w:val="24"/>
          <w:szCs w:val="24"/>
          <w:lang w:val="en-US" w:eastAsia="zh-CN" w:bidi="ar"/>
        </w:rPr>
        <w:drawing>
          <wp:inline distT="0" distB="0" distL="114300" distR="114300">
            <wp:extent cx="133350" cy="200025"/>
            <wp:effectExtent l="0" t="0" r="0" b="7620"/>
            <wp:docPr id="11" name="图片 4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42"/>
                    <pic:cNvPicPr>
                      <a:picLocks noChangeAspect="true"/>
                    </pic:cNvPicPr>
                  </pic:nvPicPr>
                  <pic:blipFill>
                    <a:blip r:embed="rId47"/>
                    <a:stretch>
                      <a:fillRect/>
                    </a:stretch>
                  </pic:blipFill>
                  <pic:spPr>
                    <a:xfrm>
                      <a:off x="0" y="0"/>
                      <a:ext cx="133350" cy="200025"/>
                    </a:xfrm>
                    <a:prstGeom prst="rect">
                      <a:avLst/>
                    </a:prstGeom>
                    <a:noFill/>
                    <a:ln>
                      <a:noFill/>
                    </a:ln>
                  </pic:spPr>
                </pic:pic>
              </a:graphicData>
            </a:graphic>
          </wp:inline>
        </w:drawing>
      </w:r>
      <w:r>
        <w:rPr>
          <w:rFonts w:hint="default" w:ascii="Times New Roman" w:hAnsi="Times New Roman" w:cs="Times New Roman" w:eastAsiaTheme="minorEastAsia"/>
          <w:bCs/>
          <w:color w:val="auto"/>
          <w:kern w:val="0"/>
          <w:sz w:val="24"/>
          <w:szCs w:val="24"/>
          <w:lang w:val="en-US" w:eastAsia="zh-CN" w:bidi="ar"/>
        </w:rPr>
        <w:t>——道路交通昼间平均等效声级(</w:t>
      </w:r>
      <w:r>
        <w:rPr>
          <w:rFonts w:hint="default" w:ascii="Times New Roman" w:hAnsi="Times New Roman" w:cs="Times New Roman" w:eastAsiaTheme="minorEastAsia"/>
          <w:color w:val="auto"/>
          <w:kern w:val="2"/>
          <w:sz w:val="24"/>
          <w:szCs w:val="24"/>
          <w:lang w:val="en-US" w:eastAsia="zh-CN" w:bidi="ar"/>
        </w:rPr>
        <w:drawing>
          <wp:inline distT="0" distB="0" distL="114300" distR="114300">
            <wp:extent cx="133350" cy="200025"/>
            <wp:effectExtent l="0" t="0" r="0" b="7620"/>
            <wp:docPr id="12" name="图片 4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43"/>
                    <pic:cNvPicPr>
                      <a:picLocks noChangeAspect="true"/>
                    </pic:cNvPicPr>
                  </pic:nvPicPr>
                  <pic:blipFill>
                    <a:blip r:embed="rId47"/>
                    <a:stretch>
                      <a:fillRect/>
                    </a:stretch>
                  </pic:blipFill>
                  <pic:spPr>
                    <a:xfrm>
                      <a:off x="0" y="0"/>
                      <a:ext cx="133350" cy="200025"/>
                    </a:xfrm>
                    <a:prstGeom prst="rect">
                      <a:avLst/>
                    </a:prstGeom>
                    <a:noFill/>
                    <a:ln>
                      <a:noFill/>
                    </a:ln>
                  </pic:spPr>
                </pic:pic>
              </a:graphicData>
            </a:graphic>
          </wp:inline>
        </w:drawing>
      </w:r>
      <w:r>
        <w:rPr>
          <w:rFonts w:hint="default" w:ascii="Times New Roman" w:hAnsi="Times New Roman" w:cs="Times New Roman" w:eastAsiaTheme="minorEastAsia"/>
          <w:color w:val="auto"/>
          <w:kern w:val="2"/>
          <w:sz w:val="24"/>
          <w:szCs w:val="24"/>
          <w:vertAlign w:val="subscript"/>
          <w:lang w:val="en-US" w:eastAsia="zh-CN" w:bidi="ar"/>
        </w:rPr>
        <w:t>d</w:t>
      </w:r>
      <w:r>
        <w:rPr>
          <w:rFonts w:hint="default" w:ascii="Times New Roman" w:hAnsi="Times New Roman" w:cs="Times New Roman" w:eastAsiaTheme="minorEastAsia"/>
          <w:bCs/>
          <w:color w:val="auto"/>
          <w:kern w:val="0"/>
          <w:sz w:val="24"/>
          <w:szCs w:val="24"/>
          <w:lang w:val="en-US" w:eastAsia="zh-CN" w:bidi="ar"/>
        </w:rPr>
        <w:t>)或夜间平均等效声级(</w:t>
      </w:r>
      <w:r>
        <w:rPr>
          <w:rFonts w:hint="default" w:ascii="Times New Roman" w:hAnsi="Times New Roman" w:cs="Times New Roman" w:eastAsiaTheme="minorEastAsia"/>
          <w:color w:val="auto"/>
          <w:kern w:val="2"/>
          <w:sz w:val="24"/>
          <w:szCs w:val="24"/>
          <w:lang w:val="en-US" w:eastAsia="zh-CN" w:bidi="ar"/>
        </w:rPr>
        <w:drawing>
          <wp:inline distT="0" distB="0" distL="114300" distR="114300">
            <wp:extent cx="133350" cy="200025"/>
            <wp:effectExtent l="0" t="0" r="0" b="7620"/>
            <wp:docPr id="3" name="图片 4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44"/>
                    <pic:cNvPicPr>
                      <a:picLocks noChangeAspect="true"/>
                    </pic:cNvPicPr>
                  </pic:nvPicPr>
                  <pic:blipFill>
                    <a:blip r:embed="rId47"/>
                    <a:stretch>
                      <a:fillRect/>
                    </a:stretch>
                  </pic:blipFill>
                  <pic:spPr>
                    <a:xfrm>
                      <a:off x="0" y="0"/>
                      <a:ext cx="133350" cy="200025"/>
                    </a:xfrm>
                    <a:prstGeom prst="rect">
                      <a:avLst/>
                    </a:prstGeom>
                    <a:noFill/>
                    <a:ln>
                      <a:noFill/>
                    </a:ln>
                  </pic:spPr>
                </pic:pic>
              </a:graphicData>
            </a:graphic>
          </wp:inline>
        </w:drawing>
      </w:r>
      <w:r>
        <w:rPr>
          <w:rFonts w:hint="default" w:ascii="Times New Roman" w:hAnsi="Times New Roman" w:cs="Times New Roman" w:eastAsiaTheme="minorEastAsia"/>
          <w:color w:val="auto"/>
          <w:kern w:val="2"/>
          <w:sz w:val="24"/>
          <w:szCs w:val="24"/>
          <w:vertAlign w:val="subscript"/>
          <w:lang w:val="en-US" w:eastAsia="zh-CN" w:bidi="ar"/>
        </w:rPr>
        <w:t>n</w:t>
      </w:r>
      <w:r>
        <w:rPr>
          <w:rFonts w:hint="default" w:ascii="Times New Roman" w:hAnsi="Times New Roman" w:cs="Times New Roman" w:eastAsiaTheme="minorEastAsia"/>
          <w:bCs/>
          <w:color w:val="auto"/>
          <w:kern w:val="0"/>
          <w:sz w:val="24"/>
          <w:szCs w:val="24"/>
          <w:lang w:val="en-US" w:eastAsia="zh-CN" w:bidi="ar"/>
        </w:rPr>
        <w:t>)，dB(A)；</w:t>
      </w:r>
    </w:p>
    <w:p>
      <w:pPr>
        <w:keepNext w:val="0"/>
        <w:keepLines w:val="0"/>
        <w:widowControl/>
        <w:suppressLineNumbers w:val="0"/>
        <w:spacing w:before="0" w:beforeAutospacing="0" w:after="0" w:afterAutospacing="0" w:line="360" w:lineRule="auto"/>
        <w:ind w:left="0" w:right="0" w:firstLine="1200" w:firstLineChars="500"/>
        <w:jc w:val="left"/>
        <w:rPr>
          <w:rFonts w:hint="default" w:ascii="Times New Roman" w:hAnsi="Times New Roman" w:cs="Times New Roman" w:eastAsiaTheme="minorEastAsia"/>
          <w:bCs/>
          <w:color w:val="auto"/>
          <w:kern w:val="0"/>
          <w:sz w:val="24"/>
          <w:szCs w:val="24"/>
          <w:lang w:val="en-US"/>
        </w:rPr>
      </w:pPr>
      <w:r>
        <w:rPr>
          <w:rFonts w:hint="default" w:ascii="Times New Roman" w:hAnsi="Times New Roman" w:cs="Times New Roman" w:eastAsiaTheme="minorEastAsia"/>
          <w:bCs/>
          <w:i/>
          <w:iCs w:val="0"/>
          <w:color w:val="auto"/>
          <w:kern w:val="0"/>
          <w:sz w:val="24"/>
          <w:szCs w:val="24"/>
          <w:lang w:val="en-US" w:eastAsia="zh-CN" w:bidi="ar"/>
        </w:rPr>
        <w:t>l</w:t>
      </w:r>
      <w:r>
        <w:rPr>
          <w:rFonts w:hint="default" w:ascii="Times New Roman" w:hAnsi="Times New Roman" w:cs="Times New Roman" w:eastAsiaTheme="minorEastAsia"/>
          <w:bCs/>
          <w:color w:val="auto"/>
          <w:kern w:val="0"/>
          <w:sz w:val="24"/>
          <w:szCs w:val="24"/>
          <w:lang w:val="en-US" w:eastAsia="zh-CN" w:bidi="ar"/>
        </w:rPr>
        <w:t>——监测的路段总长，</w:t>
      </w:r>
      <w:r>
        <w:rPr>
          <w:rFonts w:hint="default" w:ascii="Times New Roman" w:hAnsi="Times New Roman" w:cs="Times New Roman" w:eastAsiaTheme="minorEastAsia"/>
          <w:color w:val="auto"/>
          <w:kern w:val="2"/>
          <w:sz w:val="24"/>
          <w:szCs w:val="24"/>
          <w:lang w:val="en-US" w:eastAsia="zh-CN" w:bidi="ar"/>
        </w:rPr>
        <w:object>
          <v:shape id="_x0000_i1037" o:spt="75" type="#_x0000_t75" style="height:33.75pt;width:42pt;" o:ole="t" filled="f" o:preferrelative="t" stroked="f" coordsize="21600,21600">
            <v:path/>
            <v:fill on="f" focussize="0,0"/>
            <v:stroke on="f" joinstyle="miter"/>
            <v:imagedata r:id="rId49" o:title=""/>
            <o:lock v:ext="edit" aspectratio="t"/>
            <w10:wrap type="none"/>
            <w10:anchorlock/>
          </v:shape>
          <o:OLEObject Type="Embed" ProgID="Equation.3" ShapeID="_x0000_i1037" DrawAspect="Content" ObjectID="_1468075737" r:id="rId48">
            <o:LockedField>false</o:LockedField>
          </o:OLEObject>
        </w:object>
      </w:r>
      <w:r>
        <w:rPr>
          <w:rFonts w:hint="default" w:ascii="Times New Roman" w:hAnsi="Times New Roman" w:cs="Times New Roman" w:eastAsiaTheme="minorEastAsia"/>
          <w:bCs/>
          <w:color w:val="auto"/>
          <w:kern w:val="0"/>
          <w:sz w:val="24"/>
          <w:szCs w:val="24"/>
          <w:lang w:val="en-US" w:eastAsia="zh-CN" w:bidi="ar"/>
        </w:rPr>
        <w:t>，m；</w:t>
      </w:r>
    </w:p>
    <w:p>
      <w:pPr>
        <w:keepNext w:val="0"/>
        <w:keepLines w:val="0"/>
        <w:widowControl/>
        <w:suppressLineNumbers w:val="0"/>
        <w:spacing w:before="0" w:beforeAutospacing="0" w:after="0" w:afterAutospacing="0" w:line="360" w:lineRule="auto"/>
        <w:ind w:left="0" w:right="0" w:firstLine="1200" w:firstLineChars="500"/>
        <w:jc w:val="left"/>
        <w:rPr>
          <w:rFonts w:hint="default" w:ascii="Times New Roman" w:hAnsi="Times New Roman" w:cs="Times New Roman" w:eastAsiaTheme="minorEastAsia"/>
          <w:bCs/>
          <w:color w:val="auto"/>
          <w:kern w:val="0"/>
          <w:sz w:val="24"/>
          <w:szCs w:val="24"/>
          <w:lang w:val="en-US"/>
        </w:rPr>
      </w:pPr>
      <w:r>
        <w:rPr>
          <w:rFonts w:hint="default" w:ascii="Times New Roman" w:hAnsi="Times New Roman" w:cs="Times New Roman" w:eastAsiaTheme="minorEastAsia"/>
          <w:bCs/>
          <w:i/>
          <w:iCs w:val="0"/>
          <w:color w:val="auto"/>
          <w:kern w:val="0"/>
          <w:sz w:val="24"/>
          <w:szCs w:val="24"/>
          <w:lang w:val="en-US" w:eastAsia="zh-CN" w:bidi="ar"/>
        </w:rPr>
        <w:t>l</w:t>
      </w:r>
      <w:r>
        <w:rPr>
          <w:rFonts w:hint="default" w:ascii="Times New Roman" w:hAnsi="Times New Roman" w:cs="Times New Roman" w:eastAsiaTheme="minorEastAsia"/>
          <w:bCs/>
          <w:i/>
          <w:iCs w:val="0"/>
          <w:color w:val="auto"/>
          <w:kern w:val="0"/>
          <w:sz w:val="24"/>
          <w:szCs w:val="24"/>
          <w:vertAlign w:val="subscript"/>
          <w:lang w:val="en-US" w:eastAsia="zh-CN" w:bidi="ar"/>
        </w:rPr>
        <w:t>i</w:t>
      </w:r>
      <w:r>
        <w:rPr>
          <w:rFonts w:hint="default" w:ascii="Times New Roman" w:hAnsi="Times New Roman" w:cs="Times New Roman" w:eastAsiaTheme="minorEastAsia"/>
          <w:bCs/>
          <w:color w:val="auto"/>
          <w:kern w:val="0"/>
          <w:sz w:val="24"/>
          <w:szCs w:val="24"/>
          <w:lang w:val="en-US" w:eastAsia="zh-CN" w:bidi="ar"/>
        </w:rPr>
        <w:t>——第i测点代表的路段长度，m；</w:t>
      </w:r>
    </w:p>
    <w:p>
      <w:pPr>
        <w:keepNext w:val="0"/>
        <w:keepLines w:val="0"/>
        <w:widowControl/>
        <w:suppressLineNumbers w:val="0"/>
        <w:spacing w:before="0" w:beforeAutospacing="0" w:after="0" w:afterAutospacing="0" w:line="360" w:lineRule="auto"/>
        <w:ind w:left="0" w:right="0" w:firstLine="1200" w:firstLineChars="500"/>
        <w:jc w:val="left"/>
        <w:rPr>
          <w:rFonts w:hint="default" w:ascii="Times New Roman" w:hAnsi="Times New Roman" w:cs="Times New Roman" w:eastAsiaTheme="minorEastAsia"/>
          <w:bCs/>
          <w:color w:val="auto"/>
          <w:kern w:val="0"/>
          <w:sz w:val="24"/>
          <w:szCs w:val="24"/>
          <w:lang w:val="en-US"/>
        </w:rPr>
      </w:pPr>
      <w:r>
        <w:rPr>
          <w:rFonts w:hint="default" w:ascii="Times New Roman" w:hAnsi="Times New Roman" w:cs="Times New Roman" w:eastAsiaTheme="minorEastAsia"/>
          <w:bCs/>
          <w:i/>
          <w:iCs w:val="0"/>
          <w:color w:val="auto"/>
          <w:kern w:val="0"/>
          <w:sz w:val="24"/>
          <w:szCs w:val="24"/>
          <w:lang w:val="en-US" w:eastAsia="zh-CN" w:bidi="ar"/>
        </w:rPr>
        <w:t>L</w:t>
      </w:r>
      <w:r>
        <w:rPr>
          <w:rFonts w:hint="default" w:ascii="Times New Roman" w:hAnsi="Times New Roman" w:cs="Times New Roman" w:eastAsiaTheme="minorEastAsia"/>
          <w:bCs/>
          <w:i/>
          <w:iCs w:val="0"/>
          <w:color w:val="auto"/>
          <w:kern w:val="0"/>
          <w:sz w:val="24"/>
          <w:szCs w:val="24"/>
          <w:vertAlign w:val="subscript"/>
          <w:lang w:val="en-US" w:eastAsia="zh-CN" w:bidi="ar"/>
        </w:rPr>
        <w:t>i</w:t>
      </w:r>
      <w:r>
        <w:rPr>
          <w:rFonts w:hint="default" w:ascii="Times New Roman" w:hAnsi="Times New Roman" w:cs="Times New Roman" w:eastAsiaTheme="minorEastAsia"/>
          <w:bCs/>
          <w:color w:val="auto"/>
          <w:kern w:val="0"/>
          <w:sz w:val="24"/>
          <w:szCs w:val="24"/>
          <w:lang w:val="en-US" w:eastAsia="zh-CN" w:bidi="ar"/>
        </w:rPr>
        <w:t>——第i测点测得的等效声级Leq，dB(A)。</w:t>
      </w:r>
    </w:p>
    <w:p>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eastAsiaTheme="minorEastAsia"/>
          <w:bCs/>
          <w:color w:val="auto"/>
          <w:kern w:val="0"/>
          <w:sz w:val="24"/>
          <w:szCs w:val="24"/>
          <w:lang w:val="en-US" w:eastAsia="zh-CN" w:bidi="ar"/>
        </w:rPr>
      </w:pPr>
      <w:r>
        <w:rPr>
          <w:rFonts w:hint="default" w:ascii="Times New Roman" w:hAnsi="Times New Roman" w:cs="Times New Roman" w:eastAsiaTheme="minorEastAsia"/>
          <w:bCs/>
          <w:color w:val="auto"/>
          <w:kern w:val="0"/>
          <w:sz w:val="24"/>
          <w:szCs w:val="24"/>
          <w:lang w:val="en-US" w:eastAsia="zh-CN" w:bidi="ar"/>
        </w:rPr>
        <w:t>道路交通噪声强度</w:t>
      </w:r>
      <w:r>
        <w:rPr>
          <w:rFonts w:hint="eastAsia" w:ascii="Times New Roman" w:hAnsi="Times New Roman" w:cs="Times New Roman" w:eastAsiaTheme="minorEastAsia"/>
          <w:bCs/>
          <w:color w:val="auto"/>
          <w:kern w:val="0"/>
          <w:sz w:val="24"/>
          <w:szCs w:val="24"/>
          <w:lang w:val="en-US" w:eastAsia="zh-CN" w:bidi="ar"/>
        </w:rPr>
        <w:t>分</w:t>
      </w:r>
      <w:r>
        <w:rPr>
          <w:rFonts w:hint="default" w:ascii="Times New Roman" w:hAnsi="Times New Roman" w:cs="Times New Roman" w:eastAsiaTheme="minorEastAsia"/>
          <w:bCs/>
          <w:color w:val="auto"/>
          <w:kern w:val="0"/>
          <w:sz w:val="24"/>
          <w:szCs w:val="24"/>
          <w:lang w:val="en-US" w:eastAsia="zh-CN" w:bidi="ar"/>
        </w:rPr>
        <w:t>级</w:t>
      </w:r>
      <w:r>
        <w:rPr>
          <w:rFonts w:hint="eastAsia" w:ascii="Times New Roman" w:hAnsi="Times New Roman" w:cs="Times New Roman" w:eastAsiaTheme="minorEastAsia"/>
          <w:bCs/>
          <w:color w:val="auto"/>
          <w:kern w:val="0"/>
          <w:sz w:val="24"/>
          <w:szCs w:val="24"/>
          <w:lang w:val="en-US" w:eastAsia="zh-CN" w:bidi="ar"/>
        </w:rPr>
        <w:t>见</w:t>
      </w:r>
      <w:r>
        <w:rPr>
          <w:rFonts w:hint="default" w:ascii="Times New Roman" w:hAnsi="Times New Roman" w:cs="Times New Roman" w:eastAsiaTheme="minorEastAsia"/>
          <w:bCs/>
          <w:color w:val="auto"/>
          <w:kern w:val="0"/>
          <w:sz w:val="24"/>
          <w:szCs w:val="24"/>
          <w:lang w:val="en-US" w:eastAsia="zh-CN" w:bidi="ar"/>
        </w:rPr>
        <w:t>表4-</w:t>
      </w:r>
      <w:r>
        <w:rPr>
          <w:rFonts w:hint="eastAsia" w:ascii="Times New Roman" w:hAnsi="Times New Roman" w:cs="Times New Roman" w:eastAsiaTheme="minorEastAsia"/>
          <w:bCs/>
          <w:color w:val="auto"/>
          <w:kern w:val="0"/>
          <w:sz w:val="24"/>
          <w:szCs w:val="24"/>
          <w:lang w:val="en-US" w:eastAsia="zh-CN" w:bidi="ar"/>
        </w:rPr>
        <w:t>7</w:t>
      </w:r>
      <w:r>
        <w:rPr>
          <w:rFonts w:hint="default" w:ascii="Times New Roman" w:hAnsi="Times New Roman" w:cs="Times New Roman" w:eastAsiaTheme="minorEastAsia"/>
          <w:bCs/>
          <w:color w:val="auto"/>
          <w:kern w:val="0"/>
          <w:sz w:val="24"/>
          <w:szCs w:val="24"/>
          <w:lang w:val="en-US" w:eastAsia="zh-CN" w:bidi="ar"/>
        </w:rPr>
        <w:t>。</w:t>
      </w:r>
    </w:p>
    <w:p>
      <w:pPr>
        <w:pStyle w:val="2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val="0"/>
          <w:color w:val="auto"/>
          <w:sz w:val="21"/>
          <w:szCs w:val="21"/>
          <w:lang w:val="en-US"/>
        </w:rPr>
      </w:pPr>
      <w:r>
        <w:rPr>
          <w:rFonts w:hint="eastAsia" w:ascii="Times New Roman" w:hAnsi="Times New Roman" w:cs="Times New Roman" w:eastAsiaTheme="minorEastAsia"/>
          <w:b/>
          <w:bCs w:val="0"/>
          <w:color w:val="auto"/>
          <w:kern w:val="0"/>
          <w:sz w:val="21"/>
          <w:szCs w:val="21"/>
          <w:lang w:val="en-US" w:eastAsia="zh-CN" w:bidi="ar"/>
        </w:rPr>
        <w:t xml:space="preserve">4-7  </w:t>
      </w:r>
      <w:r>
        <w:rPr>
          <w:rFonts w:hint="default" w:ascii="Times New Roman" w:hAnsi="Times New Roman" w:cs="Times New Roman" w:eastAsiaTheme="minorEastAsia"/>
          <w:b/>
          <w:bCs w:val="0"/>
          <w:color w:val="auto"/>
          <w:kern w:val="0"/>
          <w:sz w:val="21"/>
          <w:szCs w:val="21"/>
          <w:lang w:val="en-US" w:eastAsia="zh-CN" w:bidi="ar"/>
        </w:rPr>
        <w:t>道路交通噪声强度</w:t>
      </w:r>
      <w:r>
        <w:rPr>
          <w:rFonts w:hint="eastAsia" w:ascii="Times New Roman" w:hAnsi="Times New Roman" w:cs="Times New Roman" w:eastAsiaTheme="minorEastAsia"/>
          <w:b/>
          <w:bCs w:val="0"/>
          <w:color w:val="auto"/>
          <w:kern w:val="0"/>
          <w:sz w:val="21"/>
          <w:szCs w:val="21"/>
          <w:lang w:val="en-US" w:eastAsia="zh-CN" w:bidi="ar"/>
        </w:rPr>
        <w:t>分</w:t>
      </w:r>
      <w:r>
        <w:rPr>
          <w:rFonts w:hint="default" w:ascii="Times New Roman" w:hAnsi="Times New Roman" w:cs="Times New Roman" w:eastAsiaTheme="minorEastAsia"/>
          <w:b/>
          <w:bCs w:val="0"/>
          <w:color w:val="auto"/>
          <w:kern w:val="0"/>
          <w:sz w:val="21"/>
          <w:szCs w:val="21"/>
          <w:lang w:val="en-US" w:eastAsia="zh-CN" w:bidi="ar"/>
        </w:rPr>
        <w:t>级</w:t>
      </w:r>
      <w:r>
        <w:rPr>
          <w:rFonts w:hint="eastAsia" w:ascii="Times New Roman" w:hAnsi="Times New Roman" w:cs="Times New Roman" w:eastAsiaTheme="minorEastAsia"/>
          <w:b/>
          <w:bCs w:val="0"/>
          <w:color w:val="auto"/>
          <w:kern w:val="0"/>
          <w:sz w:val="21"/>
          <w:szCs w:val="21"/>
          <w:lang w:val="en-US" w:eastAsia="zh-CN" w:bidi="ar"/>
        </w:rPr>
        <w:t>划分表  单位：dB（A）</w:t>
      </w:r>
    </w:p>
    <w:tbl>
      <w:tblPr>
        <w:tblStyle w:val="24"/>
        <w:tblW w:w="8528"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2070"/>
        <w:gridCol w:w="1261"/>
        <w:gridCol w:w="1325"/>
        <w:gridCol w:w="1324"/>
        <w:gridCol w:w="1325"/>
        <w:gridCol w:w="1223"/>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blHeader/>
        </w:trPr>
        <w:tc>
          <w:tcPr>
            <w:tcW w:w="207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等级</w:t>
            </w:r>
          </w:p>
        </w:tc>
        <w:tc>
          <w:tcPr>
            <w:tcW w:w="1261"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一级</w:t>
            </w:r>
          </w:p>
        </w:tc>
        <w:tc>
          <w:tcPr>
            <w:tcW w:w="132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二级</w:t>
            </w:r>
          </w:p>
        </w:tc>
        <w:tc>
          <w:tcPr>
            <w:tcW w:w="132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三级</w:t>
            </w:r>
          </w:p>
        </w:tc>
        <w:tc>
          <w:tcPr>
            <w:tcW w:w="132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四级</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五级</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207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昼间平均等效声级</w:t>
            </w:r>
          </w:p>
        </w:tc>
        <w:tc>
          <w:tcPr>
            <w:tcW w:w="1261"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≤68.0</w:t>
            </w:r>
          </w:p>
        </w:tc>
        <w:tc>
          <w:tcPr>
            <w:tcW w:w="132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68.1~70.0</w:t>
            </w:r>
          </w:p>
        </w:tc>
        <w:tc>
          <w:tcPr>
            <w:tcW w:w="132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70.0~72.0</w:t>
            </w:r>
          </w:p>
        </w:tc>
        <w:tc>
          <w:tcPr>
            <w:tcW w:w="132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72.1~74.0</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74.0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207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夜间平均等效声级</w:t>
            </w:r>
          </w:p>
        </w:tc>
        <w:tc>
          <w:tcPr>
            <w:tcW w:w="1261"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≤5</w:t>
            </w:r>
            <w:r>
              <w:rPr>
                <w:rFonts w:hint="eastAsia" w:eastAsia="宋体" w:cs="Times New Roman"/>
                <w:color w:val="auto"/>
                <w:kern w:val="2"/>
                <w:sz w:val="21"/>
                <w:szCs w:val="21"/>
                <w:lang w:val="en-US" w:eastAsia="zh-CN" w:bidi="ar"/>
              </w:rPr>
              <w:t>8</w:t>
            </w:r>
            <w:r>
              <w:rPr>
                <w:rFonts w:hint="default" w:ascii="Times New Roman" w:hAnsi="Times New Roman" w:eastAsia="宋体" w:cs="Times New Roman"/>
                <w:color w:val="auto"/>
                <w:kern w:val="2"/>
                <w:sz w:val="21"/>
                <w:szCs w:val="21"/>
                <w:lang w:val="en-US" w:eastAsia="zh-CN" w:bidi="ar"/>
              </w:rPr>
              <w:t>.0</w:t>
            </w:r>
          </w:p>
        </w:tc>
        <w:tc>
          <w:tcPr>
            <w:tcW w:w="132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t>5</w:t>
            </w:r>
            <w:r>
              <w:rPr>
                <w:rFonts w:hint="eastAsia" w:eastAsia="宋体" w:cs="Times New Roman"/>
                <w:color w:val="auto"/>
                <w:kern w:val="2"/>
                <w:sz w:val="21"/>
                <w:szCs w:val="21"/>
                <w:lang w:val="en-US" w:eastAsia="zh-CN" w:bidi="ar"/>
              </w:rPr>
              <w:t>8</w:t>
            </w:r>
            <w:r>
              <w:rPr>
                <w:rFonts w:hint="default" w:ascii="Times New Roman" w:hAnsi="Times New Roman" w:eastAsia="宋体" w:cs="Times New Roman"/>
                <w:color w:val="auto"/>
                <w:kern w:val="2"/>
                <w:sz w:val="21"/>
                <w:szCs w:val="21"/>
                <w:lang w:val="en-US" w:eastAsia="zh-CN" w:bidi="ar"/>
              </w:rPr>
              <w:t>.1~</w:t>
            </w:r>
            <w:r>
              <w:rPr>
                <w:rFonts w:hint="eastAsia" w:eastAsia="宋体" w:cs="Times New Roman"/>
                <w:color w:val="auto"/>
                <w:kern w:val="2"/>
                <w:sz w:val="21"/>
                <w:szCs w:val="21"/>
                <w:lang w:val="en-US" w:eastAsia="zh-CN" w:bidi="ar"/>
              </w:rPr>
              <w:t>60</w:t>
            </w:r>
            <w:r>
              <w:rPr>
                <w:rFonts w:hint="default" w:ascii="Times New Roman" w:hAnsi="Times New Roman" w:eastAsia="宋体" w:cs="Times New Roman"/>
                <w:color w:val="auto"/>
                <w:kern w:val="2"/>
                <w:sz w:val="21"/>
                <w:szCs w:val="21"/>
                <w:lang w:val="en-US" w:eastAsia="zh-CN" w:bidi="ar"/>
              </w:rPr>
              <w:t>.0</w:t>
            </w:r>
          </w:p>
        </w:tc>
        <w:tc>
          <w:tcPr>
            <w:tcW w:w="132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eastAsia="宋体" w:cs="Times New Roman"/>
                <w:color w:val="auto"/>
                <w:kern w:val="2"/>
                <w:sz w:val="21"/>
                <w:szCs w:val="21"/>
                <w:lang w:val="en-US" w:eastAsia="zh-CN" w:bidi="ar"/>
              </w:rPr>
              <w:t>60</w:t>
            </w:r>
            <w:r>
              <w:rPr>
                <w:rFonts w:hint="default" w:ascii="Times New Roman" w:hAnsi="Times New Roman" w:eastAsia="宋体" w:cs="Times New Roman"/>
                <w:color w:val="auto"/>
                <w:kern w:val="2"/>
                <w:sz w:val="21"/>
                <w:szCs w:val="21"/>
                <w:lang w:val="en-US" w:eastAsia="zh-CN" w:bidi="ar"/>
              </w:rPr>
              <w:t>.1~</w:t>
            </w:r>
            <w:r>
              <w:rPr>
                <w:rFonts w:hint="eastAsia" w:eastAsia="宋体" w:cs="Times New Roman"/>
                <w:color w:val="auto"/>
                <w:kern w:val="2"/>
                <w:sz w:val="21"/>
                <w:szCs w:val="21"/>
                <w:lang w:val="en-US" w:eastAsia="zh-CN" w:bidi="ar"/>
              </w:rPr>
              <w:t>62</w:t>
            </w:r>
            <w:r>
              <w:rPr>
                <w:rFonts w:hint="default" w:ascii="Times New Roman" w:hAnsi="Times New Roman" w:eastAsia="宋体" w:cs="Times New Roman"/>
                <w:color w:val="auto"/>
                <w:kern w:val="2"/>
                <w:sz w:val="21"/>
                <w:szCs w:val="21"/>
                <w:lang w:val="en-US" w:eastAsia="zh-CN" w:bidi="ar"/>
              </w:rPr>
              <w:t>.0</w:t>
            </w:r>
          </w:p>
        </w:tc>
        <w:tc>
          <w:tcPr>
            <w:tcW w:w="132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eastAsia="宋体" w:cs="Times New Roman"/>
                <w:color w:val="auto"/>
                <w:kern w:val="2"/>
                <w:sz w:val="21"/>
                <w:szCs w:val="21"/>
                <w:lang w:val="en-US" w:eastAsia="zh-CN" w:bidi="ar"/>
              </w:rPr>
              <w:t>62</w:t>
            </w:r>
            <w:r>
              <w:rPr>
                <w:rFonts w:hint="default" w:ascii="Times New Roman" w:hAnsi="Times New Roman" w:eastAsia="宋体" w:cs="Times New Roman"/>
                <w:color w:val="auto"/>
                <w:kern w:val="2"/>
                <w:sz w:val="21"/>
                <w:szCs w:val="21"/>
                <w:lang w:val="en-US" w:eastAsia="zh-CN" w:bidi="ar"/>
              </w:rPr>
              <w:t>1~6</w:t>
            </w:r>
            <w:r>
              <w:rPr>
                <w:rFonts w:hint="eastAsia" w:eastAsia="宋体" w:cs="Times New Roman"/>
                <w:color w:val="auto"/>
                <w:kern w:val="2"/>
                <w:sz w:val="21"/>
                <w:szCs w:val="21"/>
                <w:lang w:val="en-US" w:eastAsia="zh-CN" w:bidi="ar"/>
              </w:rPr>
              <w:t>4</w:t>
            </w:r>
            <w:r>
              <w:rPr>
                <w:rFonts w:hint="default" w:ascii="Times New Roman" w:hAnsi="Times New Roman" w:eastAsia="宋体" w:cs="Times New Roman"/>
                <w:color w:val="auto"/>
                <w:kern w:val="2"/>
                <w:sz w:val="21"/>
                <w:szCs w:val="21"/>
                <w:lang w:val="en-US" w:eastAsia="zh-CN" w:bidi="ar"/>
              </w:rPr>
              <w:t>.0</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w:t>
            </w:r>
            <w:r>
              <w:rPr>
                <w:rFonts w:hint="default" w:ascii="Times New Roman" w:hAnsi="Times New Roman" w:eastAsia="宋体" w:cs="Times New Roman"/>
                <w:color w:val="auto"/>
                <w:kern w:val="2"/>
                <w:sz w:val="21"/>
                <w:szCs w:val="21"/>
                <w:lang w:val="en-US" w:eastAsia="zh-CN" w:bidi="ar"/>
              </w:rPr>
              <w:t>6</w:t>
            </w:r>
            <w:r>
              <w:rPr>
                <w:rFonts w:hint="eastAsia" w:eastAsia="宋体" w:cs="Times New Roman"/>
                <w:color w:val="auto"/>
                <w:kern w:val="2"/>
                <w:sz w:val="21"/>
                <w:szCs w:val="21"/>
                <w:lang w:val="en-US" w:eastAsia="zh-CN" w:bidi="ar"/>
              </w:rPr>
              <w:t>4</w:t>
            </w:r>
            <w:r>
              <w:rPr>
                <w:rFonts w:hint="default" w:ascii="Times New Roman" w:hAnsi="Times New Roman" w:eastAsia="宋体" w:cs="Times New Roman"/>
                <w:color w:val="auto"/>
                <w:kern w:val="2"/>
                <w:sz w:val="21"/>
                <w:szCs w:val="21"/>
                <w:lang w:val="en-US" w:eastAsia="zh-CN" w:bidi="ar"/>
              </w:rPr>
              <w:t>.0</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0" w:hRule="atLeast"/>
        </w:trPr>
        <w:tc>
          <w:tcPr>
            <w:tcW w:w="207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color w:val="auto"/>
                <w:kern w:val="2"/>
                <w:sz w:val="21"/>
                <w:szCs w:val="21"/>
                <w:lang w:val="en-US" w:eastAsia="zh-CN" w:bidi="ar"/>
              </w:rPr>
            </w:pPr>
            <w:r>
              <w:rPr>
                <w:rFonts w:hint="eastAsia" w:ascii="Times New Roman" w:hAnsi="Times New Roman" w:eastAsia="宋体" w:cs="宋体"/>
                <w:color w:val="auto"/>
                <w:kern w:val="2"/>
                <w:sz w:val="21"/>
                <w:szCs w:val="21"/>
                <w:lang w:val="en-US" w:eastAsia="zh-CN" w:bidi="ar"/>
              </w:rPr>
              <w:t>强度分级</w:t>
            </w:r>
          </w:p>
        </w:tc>
        <w:tc>
          <w:tcPr>
            <w:tcW w:w="1261"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好</w:t>
            </w:r>
          </w:p>
        </w:tc>
        <w:tc>
          <w:tcPr>
            <w:tcW w:w="132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较好</w:t>
            </w:r>
          </w:p>
        </w:tc>
        <w:tc>
          <w:tcPr>
            <w:tcW w:w="132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一般</w:t>
            </w:r>
          </w:p>
        </w:tc>
        <w:tc>
          <w:tcPr>
            <w:tcW w:w="132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较差</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宋体"/>
                <w:color w:val="auto"/>
                <w:kern w:val="2"/>
                <w:sz w:val="21"/>
                <w:szCs w:val="21"/>
                <w:lang w:val="en-US" w:eastAsia="zh-CN" w:bidi="ar"/>
              </w:rPr>
            </w:pPr>
            <w:r>
              <w:rPr>
                <w:rFonts w:hint="eastAsia" w:ascii="Times New Roman" w:hAnsi="Times New Roman" w:eastAsia="宋体" w:cs="宋体"/>
                <w:color w:val="auto"/>
                <w:kern w:val="2"/>
                <w:sz w:val="21"/>
                <w:szCs w:val="21"/>
                <w:lang w:val="en-US" w:eastAsia="zh-CN" w:bidi="ar"/>
              </w:rPr>
              <w:t>差</w:t>
            </w:r>
          </w:p>
        </w:tc>
      </w:tr>
    </w:tbl>
    <w:p>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eastAsiaTheme="minorEastAsia"/>
          <w:color w:val="4F0FBD"/>
          <w:kern w:val="2"/>
          <w:sz w:val="24"/>
          <w:szCs w:val="24"/>
          <w:lang w:val="en-US" w:eastAsia="zh-CN" w:bidi="ar"/>
        </w:rPr>
      </w:pPr>
      <w:r>
        <w:rPr>
          <w:rFonts w:hint="default" w:ascii="Times New Roman" w:hAnsi="Times New Roman" w:cs="Times New Roman" w:eastAsiaTheme="minorEastAsia"/>
          <w:color w:val="auto"/>
          <w:kern w:val="2"/>
          <w:sz w:val="24"/>
          <w:szCs w:val="24"/>
          <w:lang w:val="en-US" w:eastAsia="zh-CN" w:bidi="ar"/>
        </w:rPr>
        <w:t>通过计算，结果见表4-</w:t>
      </w:r>
      <w:r>
        <w:rPr>
          <w:rFonts w:hint="eastAsia" w:ascii="Times New Roman" w:hAnsi="Times New Roman" w:cs="Times New Roman" w:eastAsiaTheme="minorEastAsia"/>
          <w:color w:val="auto"/>
          <w:kern w:val="2"/>
          <w:sz w:val="24"/>
          <w:szCs w:val="24"/>
          <w:lang w:val="en-US" w:eastAsia="zh-CN" w:bidi="ar"/>
        </w:rPr>
        <w:t>8</w:t>
      </w:r>
      <w:r>
        <w:rPr>
          <w:rFonts w:hint="default" w:ascii="Times New Roman" w:hAnsi="Times New Roman" w:cs="Times New Roman" w:eastAsiaTheme="minorEastAsia"/>
          <w:color w:val="auto"/>
          <w:kern w:val="2"/>
          <w:sz w:val="24"/>
          <w:szCs w:val="24"/>
          <w:lang w:val="en-US" w:eastAsia="zh-CN" w:bidi="ar"/>
        </w:rPr>
        <w:t>。</w:t>
      </w:r>
    </w:p>
    <w:p>
      <w:pPr>
        <w:pStyle w:val="2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lang w:val="en-US"/>
        </w:rPr>
      </w:pPr>
      <w:r>
        <w:rPr>
          <w:rFonts w:hint="eastAsia" w:ascii="Times New Roman" w:hAnsi="Times New Roman" w:eastAsia="宋体" w:cs="宋体"/>
          <w:b/>
          <w:bCs w:val="0"/>
          <w:color w:val="auto"/>
          <w:kern w:val="2"/>
          <w:sz w:val="21"/>
          <w:szCs w:val="21"/>
          <w:lang w:val="en-US" w:eastAsia="zh-CN" w:bidi="ar"/>
        </w:rPr>
        <w:t>表</w:t>
      </w:r>
      <w:r>
        <w:rPr>
          <w:rFonts w:hint="default" w:ascii="Times New Roman" w:hAnsi="Times New Roman" w:eastAsia="宋体" w:cs="Times New Roman"/>
          <w:b/>
          <w:bCs w:val="0"/>
          <w:color w:val="auto"/>
          <w:kern w:val="2"/>
          <w:sz w:val="21"/>
          <w:szCs w:val="21"/>
          <w:lang w:val="en-US" w:eastAsia="zh-CN" w:bidi="ar"/>
        </w:rPr>
        <w:t>4-</w:t>
      </w:r>
      <w:r>
        <w:rPr>
          <w:rFonts w:hint="eastAsia" w:ascii="Times New Roman" w:hAnsi="Times New Roman" w:eastAsia="宋体" w:cs="Times New Roman"/>
          <w:b/>
          <w:bCs w:val="0"/>
          <w:color w:val="auto"/>
          <w:kern w:val="2"/>
          <w:sz w:val="21"/>
          <w:szCs w:val="21"/>
          <w:lang w:val="en-US" w:eastAsia="zh-CN" w:bidi="ar"/>
        </w:rPr>
        <w:t xml:space="preserve">8  </w:t>
      </w:r>
      <w:r>
        <w:rPr>
          <w:rFonts w:hint="eastAsia" w:ascii="Times New Roman" w:hAnsi="Times New Roman" w:eastAsia="宋体" w:cs="宋体"/>
          <w:b/>
          <w:bCs w:val="0"/>
          <w:color w:val="auto"/>
          <w:kern w:val="2"/>
          <w:sz w:val="21"/>
          <w:szCs w:val="21"/>
          <w:lang w:val="en-US" w:eastAsia="zh-CN" w:bidi="ar"/>
        </w:rPr>
        <w:t>道路交通环境噪声总体水平计算结果</w:t>
      </w:r>
    </w:p>
    <w:tbl>
      <w:tblPr>
        <w:tblStyle w:val="24"/>
        <w:tblW w:w="852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2084"/>
        <w:gridCol w:w="3148"/>
        <w:gridCol w:w="3296"/>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12" w:hRule="atLeast"/>
          <w:jc w:val="center"/>
        </w:trPr>
        <w:tc>
          <w:tcPr>
            <w:tcW w:w="2084" w:type="dxa"/>
            <w:vMerge w:val="restart"/>
            <w:tcBorders>
              <w:tl2br w:val="nil"/>
              <w:tr2bl w:val="nil"/>
            </w:tcBorders>
            <w:shd w:val="clear" w:color="auto" w:fill="auto"/>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指标</w:t>
            </w:r>
          </w:p>
        </w:tc>
        <w:tc>
          <w:tcPr>
            <w:tcW w:w="3148" w:type="dxa"/>
            <w:tcBorders>
              <w:tl2br w:val="nil"/>
              <w:tr2bl w:val="nil"/>
            </w:tcBorders>
            <w:shd w:val="clear" w:color="auto" w:fill="auto"/>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昼间平均值</w:t>
            </w:r>
          </w:p>
        </w:tc>
        <w:tc>
          <w:tcPr>
            <w:tcW w:w="3296" w:type="dxa"/>
            <w:tcBorders>
              <w:tl2br w:val="nil"/>
              <w:tr2bl w:val="nil"/>
            </w:tcBorders>
            <w:shd w:val="clear" w:color="auto" w:fill="auto"/>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夜间平均值</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3" w:hRule="atLeast"/>
          <w:jc w:val="center"/>
        </w:trPr>
        <w:tc>
          <w:tcPr>
            <w:tcW w:w="2084" w:type="dxa"/>
            <w:vMerge w:val="continue"/>
            <w:tcBorders>
              <w:tl2br w:val="nil"/>
              <w:tr2bl w:val="nil"/>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eastAsia="Times New Roman" w:cs="Times New Roman"/>
                <w:color w:val="auto"/>
                <w:sz w:val="20"/>
                <w:szCs w:val="20"/>
              </w:rPr>
            </w:pPr>
          </w:p>
        </w:tc>
        <w:tc>
          <w:tcPr>
            <w:tcW w:w="3148" w:type="dxa"/>
            <w:tcBorders>
              <w:tl2br w:val="nil"/>
              <w:tr2bl w:val="nil"/>
            </w:tcBorders>
            <w:shd w:val="clear" w:color="auto" w:fill="auto"/>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object>
                <v:shape id="_x0000_i1038" o:spt="75" type="#_x0000_t75" style="height:20.25pt;width:17.25pt;" o:ole="t" filled="f" o:preferrelative="t" stroked="f" coordsize="21600,21600">
                  <v:path/>
                  <v:fill on="f" focussize="0,0"/>
                  <v:stroke on="f" joinstyle="miter"/>
                  <v:imagedata r:id="rId36" o:title=""/>
                  <o:lock v:ext="edit" aspectratio="t"/>
                  <w10:wrap type="none"/>
                  <w10:anchorlock/>
                </v:shape>
                <o:OLEObject Type="Embed" ProgID="Equation.3" ShapeID="_x0000_i1038" DrawAspect="Content" ObjectID="_1468075738" r:id="rId50">
                  <o:LockedField>false</o:LockedField>
                </o:OLEObject>
              </w:object>
            </w:r>
          </w:p>
        </w:tc>
        <w:tc>
          <w:tcPr>
            <w:tcW w:w="3296" w:type="dxa"/>
            <w:tcBorders>
              <w:tl2br w:val="nil"/>
              <w:tr2bl w:val="nil"/>
            </w:tcBorders>
            <w:shd w:val="clear" w:color="auto" w:fill="auto"/>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color w:val="auto"/>
                <w:sz w:val="21"/>
                <w:szCs w:val="21"/>
                <w:lang w:val="en-US"/>
              </w:rPr>
            </w:pPr>
            <w:r>
              <w:rPr>
                <w:rFonts w:hint="default" w:ascii="Times New Roman" w:hAnsi="Times New Roman" w:eastAsia="宋体" w:cs="Times New Roman"/>
                <w:color w:val="auto"/>
                <w:kern w:val="2"/>
                <w:sz w:val="21"/>
                <w:szCs w:val="21"/>
                <w:lang w:val="en-US" w:eastAsia="zh-CN" w:bidi="ar"/>
              </w:rPr>
              <w:object>
                <v:shape id="_x0000_i1039" o:spt="75" type="#_x0000_t75" style="height:20.25pt;width:15.75pt;" o:ole="t" filled="f" o:preferrelative="t" stroked="f" coordsize="21600,21600">
                  <v:path/>
                  <v:fill on="f" focussize="0,0"/>
                  <v:stroke on="f" joinstyle="miter"/>
                  <v:imagedata r:id="rId38" o:title=""/>
                  <o:lock v:ext="edit" aspectratio="t"/>
                  <w10:wrap type="none"/>
                  <w10:anchorlock/>
                </v:shape>
                <o:OLEObject Type="Embed" ProgID="Equation.3" ShapeID="_x0000_i1039" DrawAspect="Content" ObjectID="_1468075739" r:id="rId51">
                  <o:LockedField>false</o:LockedField>
                </o:OLEObject>
              </w:objec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4" w:hRule="atLeast"/>
          <w:jc w:val="center"/>
        </w:trPr>
        <w:tc>
          <w:tcPr>
            <w:tcW w:w="2084" w:type="dxa"/>
            <w:tcBorders>
              <w:tl2br w:val="nil"/>
              <w:tr2bl w:val="nil"/>
            </w:tcBorders>
            <w:shd w:val="clear" w:color="auto" w:fill="auto"/>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color w:val="auto"/>
                <w:sz w:val="21"/>
                <w:szCs w:val="21"/>
                <w:lang w:val="en-US"/>
              </w:rPr>
            </w:pPr>
            <w:r>
              <w:rPr>
                <w:rFonts w:hint="eastAsia" w:ascii="Times New Roman" w:hAnsi="Times New Roman" w:eastAsia="宋体" w:cs="宋体"/>
                <w:color w:val="auto"/>
                <w:kern w:val="2"/>
                <w:sz w:val="21"/>
                <w:szCs w:val="21"/>
                <w:lang w:val="en-US" w:eastAsia="zh-CN" w:bidi="ar"/>
              </w:rPr>
              <w:t>结果</w:t>
            </w:r>
          </w:p>
        </w:tc>
        <w:tc>
          <w:tcPr>
            <w:tcW w:w="3148" w:type="dxa"/>
            <w:tcBorders>
              <w:tl2br w:val="nil"/>
              <w:tr2bl w:val="nil"/>
            </w:tcBorders>
            <w:shd w:val="clear" w:color="auto" w:fill="auto"/>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color w:val="auto"/>
                <w:sz w:val="21"/>
                <w:szCs w:val="21"/>
                <w:highlight w:val="yellow"/>
                <w:lang w:val="en-US"/>
              </w:rPr>
            </w:pPr>
            <w:r>
              <w:rPr>
                <w:rFonts w:hint="eastAsia" w:eastAsia="宋体" w:cs="Times New Roman"/>
                <w:color w:val="auto"/>
                <w:kern w:val="2"/>
                <w:sz w:val="21"/>
                <w:szCs w:val="21"/>
                <w:highlight w:val="none"/>
                <w:lang w:val="en-US" w:eastAsia="zh-CN" w:bidi="ar"/>
              </w:rPr>
              <w:t>65.6</w:t>
            </w:r>
          </w:p>
        </w:tc>
        <w:tc>
          <w:tcPr>
            <w:tcW w:w="3296" w:type="dxa"/>
            <w:tcBorders>
              <w:tl2br w:val="nil"/>
              <w:tr2bl w:val="nil"/>
            </w:tcBorders>
            <w:shd w:val="clear" w:color="auto" w:fill="auto"/>
            <w:vAlign w:val="center"/>
          </w:tcPr>
          <w:p>
            <w:pPr>
              <w:keepNext w:val="0"/>
              <w:keepLines w:val="0"/>
              <w:widowControl/>
              <w:suppressLineNumbers w:val="0"/>
              <w:spacing w:before="0" w:beforeAutospacing="0" w:after="0" w:afterAutospacing="0" w:line="240" w:lineRule="auto"/>
              <w:ind w:left="0" w:right="0" w:firstLine="0" w:firstLineChars="0"/>
              <w:jc w:val="center"/>
              <w:rPr>
                <w:rFonts w:hint="default"/>
                <w:color w:val="auto"/>
                <w:sz w:val="21"/>
                <w:szCs w:val="21"/>
                <w:highlight w:val="yellow"/>
                <w:lang w:val="en-US"/>
              </w:rPr>
            </w:pPr>
            <w:r>
              <w:rPr>
                <w:rFonts w:hint="default" w:ascii="Times New Roman" w:hAnsi="Times New Roman" w:eastAsia="宋体" w:cs="Times New Roman"/>
                <w:color w:val="auto"/>
                <w:kern w:val="2"/>
                <w:sz w:val="21"/>
                <w:szCs w:val="21"/>
                <w:highlight w:val="none"/>
                <w:lang w:val="en-US" w:eastAsia="zh-CN" w:bidi="ar"/>
              </w:rPr>
              <w:t>5</w:t>
            </w:r>
            <w:r>
              <w:rPr>
                <w:rFonts w:hint="eastAsia" w:eastAsia="宋体" w:cs="Times New Roman"/>
                <w:color w:val="auto"/>
                <w:kern w:val="2"/>
                <w:sz w:val="21"/>
                <w:szCs w:val="21"/>
                <w:highlight w:val="none"/>
                <w:lang w:val="en-US" w:eastAsia="zh-CN" w:bidi="ar"/>
              </w:rPr>
              <w:t>3.39</w:t>
            </w:r>
          </w:p>
        </w:tc>
      </w:tr>
    </w:tbl>
    <w:p>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eastAsia="宋体" w:cs="宋体"/>
          <w:color w:val="auto"/>
          <w:kern w:val="2"/>
          <w:sz w:val="24"/>
          <w:szCs w:val="24"/>
          <w:lang w:val="en-US" w:eastAsia="zh-CN" w:bidi="ar"/>
        </w:rPr>
      </w:pPr>
      <w:r>
        <w:rPr>
          <w:rFonts w:hint="eastAsia" w:ascii="Times New Roman" w:hAnsi="Times New Roman" w:cs="Times New Roman" w:eastAsiaTheme="minorEastAsia"/>
          <w:bCs/>
          <w:color w:val="auto"/>
          <w:kern w:val="0"/>
          <w:sz w:val="24"/>
          <w:szCs w:val="24"/>
          <w:lang w:val="en-US" w:eastAsia="zh-CN" w:bidi="ar"/>
        </w:rPr>
        <w:t>对比道路交通噪声强度分级</w:t>
      </w:r>
      <w:r>
        <w:rPr>
          <w:rFonts w:hint="default" w:ascii="Times New Roman" w:hAnsi="Times New Roman" w:cs="Times New Roman" w:eastAsiaTheme="minorEastAsia"/>
          <w:bCs/>
          <w:color w:val="auto"/>
          <w:kern w:val="0"/>
          <w:sz w:val="24"/>
          <w:szCs w:val="24"/>
          <w:lang w:val="en-US" w:eastAsia="zh-CN" w:bidi="ar"/>
        </w:rPr>
        <w:t>，昼间及夜间道路噪声强度为一级，道路声环境质量评价为“好”</w:t>
      </w:r>
      <w:r>
        <w:rPr>
          <w:rFonts w:hint="eastAsia" w:ascii="Times New Roman" w:hAnsi="Times New Roman" w:eastAsia="宋体" w:cs="宋体"/>
          <w:color w:val="auto"/>
          <w:kern w:val="2"/>
          <w:sz w:val="24"/>
          <w:szCs w:val="24"/>
          <w:lang w:val="en-US" w:eastAsia="zh-CN" w:bidi="ar"/>
        </w:rPr>
        <w:t>。</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eastAsia" w:ascii="Times New Roman" w:hAnsi="Times New Roman" w:cs="Times New Roman" w:eastAsiaTheme="minorEastAsia"/>
          <w:color w:val="auto"/>
          <w:sz w:val="28"/>
          <w:szCs w:val="28"/>
          <w:lang w:val="en-US" w:eastAsia="zh-CN"/>
        </w:rPr>
        <w:t>4.3.4道路噪声与上期监测结果的差异性分析</w:t>
      </w:r>
    </w:p>
    <w:p>
      <w:pPr>
        <w:keepNext w:val="0"/>
        <w:keepLines w:val="0"/>
        <w:widowControl/>
        <w:suppressLineNumbers w:val="0"/>
        <w:spacing w:before="0" w:beforeAutospacing="0" w:after="0" w:afterAutospacing="0" w:line="360" w:lineRule="auto"/>
        <w:ind w:left="0" w:right="0" w:firstLine="480" w:firstLineChars="200"/>
        <w:jc w:val="left"/>
        <w:rPr>
          <w:rFonts w:hint="eastAsia" w:ascii="Times New Roman" w:hAnsi="Times New Roman" w:eastAsia="宋体" w:cs="宋体"/>
          <w:color w:val="auto"/>
          <w:kern w:val="2"/>
          <w:sz w:val="24"/>
          <w:szCs w:val="24"/>
          <w:lang w:val="en-US" w:eastAsia="zh-CN" w:bidi="ar"/>
        </w:rPr>
      </w:pPr>
      <w:r>
        <w:rPr>
          <w:rFonts w:hint="eastAsia" w:ascii="Times New Roman" w:hAnsi="Times New Roman" w:eastAsia="宋体" w:cs="宋体"/>
          <w:color w:val="auto"/>
          <w:kern w:val="2"/>
          <w:sz w:val="24"/>
          <w:szCs w:val="24"/>
          <w:lang w:val="en-US" w:eastAsia="zh-CN" w:bidi="ar"/>
        </w:rPr>
        <w:t>2014年曲沃县噪声现状监测中，道路噪声昼间噪声等效声级为69.5dB（A），道路噪声夜间等效声级为62.4dB（A），本次现状监测中，昼间噪声等效声级为65.6dB（A），夜间等效声级为53.39dB（A），可以看出，曲沃县道路昼、夜噪声值有明显改善，源于近年来曲沃县政府积极加强对道路运输车辆的管控。</w:t>
      </w:r>
    </w:p>
    <w:p>
      <w:pPr>
        <w:ind w:firstLine="560"/>
        <w:sectPr>
          <w:pgSz w:w="11906" w:h="16838"/>
          <w:pgMar w:top="1440" w:right="1797" w:bottom="1440" w:left="1797" w:header="851" w:footer="992" w:gutter="0"/>
          <w:pgBorders>
            <w:top w:val="none" w:sz="0" w:space="0"/>
            <w:left w:val="none" w:sz="0" w:space="0"/>
            <w:bottom w:val="none" w:sz="0" w:space="0"/>
            <w:right w:val="none" w:sz="0" w:space="0"/>
          </w:pgBorders>
          <w:cols w:space="425" w:num="1"/>
          <w:docGrid w:type="lines" w:linePitch="312" w:charSpace="0"/>
        </w:sectPr>
      </w:pPr>
    </w:p>
    <w:p>
      <w:pPr>
        <w:pStyle w:val="2"/>
        <w:keepNext/>
        <w:keepLines/>
        <w:pageBreakBefore w:val="0"/>
        <w:widowControl w:val="0"/>
        <w:numPr>
          <w:ilvl w:val="0"/>
          <w:numId w:val="0"/>
        </w:numPr>
        <w:kinsoku/>
        <w:wordWrap/>
        <w:overflowPunct/>
        <w:topLinePunct w:val="0"/>
        <w:autoSpaceDE/>
        <w:autoSpaceDN/>
        <w:bidi w:val="0"/>
        <w:adjustRightInd/>
        <w:snapToGrid/>
        <w:spacing w:before="0" w:beforeLines="0" w:line="360" w:lineRule="auto"/>
        <w:ind w:leftChars="0"/>
        <w:jc w:val="both"/>
        <w:textAlignment w:val="auto"/>
        <w:rPr>
          <w:rFonts w:hint="default" w:cs="Times New Roman" w:eastAsiaTheme="minorEastAsia"/>
          <w:color w:val="auto"/>
          <w:sz w:val="32"/>
          <w:szCs w:val="32"/>
          <w:highlight w:val="none"/>
          <w:lang w:val="en-US" w:eastAsia="zh-CN"/>
        </w:rPr>
      </w:pPr>
      <w:bookmarkStart w:id="20" w:name="_Toc1759"/>
      <w:r>
        <w:rPr>
          <w:rFonts w:hint="eastAsia" w:cs="Times New Roman" w:eastAsiaTheme="minorEastAsia"/>
          <w:color w:val="auto"/>
          <w:sz w:val="32"/>
          <w:szCs w:val="32"/>
          <w:highlight w:val="none"/>
          <w:lang w:val="en-US" w:eastAsia="zh-CN"/>
        </w:rPr>
        <w:t>5</w:t>
      </w:r>
      <w:r>
        <w:rPr>
          <w:rFonts w:hint="default" w:cs="Times New Roman" w:eastAsiaTheme="minorEastAsia"/>
          <w:color w:val="auto"/>
          <w:sz w:val="32"/>
          <w:szCs w:val="32"/>
          <w:highlight w:val="none"/>
          <w:lang w:val="en-US" w:eastAsia="zh-CN"/>
        </w:rPr>
        <w:t>城乡区域环境噪声适用区划分方案</w:t>
      </w:r>
      <w:bookmarkEnd w:id="20"/>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default" w:cs="Times New Roman" w:eastAsiaTheme="minorEastAsia"/>
          <w:color w:val="auto"/>
          <w:sz w:val="30"/>
          <w:szCs w:val="30"/>
          <w:highlight w:val="none"/>
          <w:lang w:val="en-US" w:eastAsia="zh-CN"/>
        </w:rPr>
      </w:pPr>
      <w:bookmarkStart w:id="21" w:name="_Toc8235"/>
      <w:r>
        <w:rPr>
          <w:rFonts w:hint="eastAsia" w:cs="Times New Roman" w:eastAsiaTheme="minorEastAsia"/>
          <w:color w:val="auto"/>
          <w:sz w:val="30"/>
          <w:szCs w:val="30"/>
          <w:highlight w:val="none"/>
          <w:lang w:val="en-US" w:eastAsia="zh-CN"/>
        </w:rPr>
        <w:t>5.1</w:t>
      </w:r>
      <w:r>
        <w:rPr>
          <w:rFonts w:hint="default" w:cs="Times New Roman" w:eastAsiaTheme="minorEastAsia"/>
          <w:color w:val="auto"/>
          <w:sz w:val="30"/>
          <w:szCs w:val="30"/>
          <w:highlight w:val="none"/>
          <w:lang w:val="en-US" w:eastAsia="zh-CN"/>
        </w:rPr>
        <w:t>声环境功能区分类</w:t>
      </w:r>
      <w:bookmarkEnd w:id="21"/>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lang w:eastAsia="zh-CN"/>
        </w:rPr>
        <w:t>根据</w:t>
      </w:r>
      <w:r>
        <w:rPr>
          <w:rFonts w:hint="default" w:ascii="Times New Roman" w:hAnsi="Times New Roman" w:cs="Times New Roman" w:eastAsiaTheme="minorEastAsia"/>
          <w:color w:val="auto"/>
          <w:sz w:val="24"/>
          <w:szCs w:val="24"/>
        </w:rPr>
        <w:t>《声环境质量标准》（GB3096-2008）</w:t>
      </w:r>
      <w:r>
        <w:rPr>
          <w:rFonts w:hint="default" w:ascii="Times New Roman" w:hAnsi="Times New Roman" w:cs="Times New Roman" w:eastAsiaTheme="minorEastAsia"/>
          <w:color w:val="auto"/>
          <w:sz w:val="24"/>
          <w:szCs w:val="24"/>
          <w:lang w:eastAsia="zh-CN"/>
        </w:rPr>
        <w:t>，</w:t>
      </w:r>
      <w:r>
        <w:rPr>
          <w:rFonts w:hint="default" w:ascii="Times New Roman" w:hAnsi="Times New Roman" w:cs="Times New Roman" w:eastAsiaTheme="minorEastAsia"/>
          <w:color w:val="auto"/>
          <w:sz w:val="24"/>
          <w:szCs w:val="24"/>
        </w:rPr>
        <w:t>按区域的使用功能特点和环境质量要求，声环境功能区分为以下五类：</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0类声环境功能区：指康复疗养区等特别需要安静的区域。</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1类声环境功能区：指以居民住宅、医疗卫生、文化教育、科研设计、行政办公为主要功能，需要保持安静的区域。</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2类声环境功能区：指以商业金融、集市贸易为主要功能，或者居住、商业、工业混杂，需要维护住宅安静的区域。</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3类声环境功能区：指以工业生产、仓储物流为主要功能，需要防止工业噪声对周围环境产生严重影响的区域。</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4类声环境功能区：指交通干线两侧一定距离之内，需要防止交通噪声对周围环境产生严重影响的区域，包括4a类和4b类两种类型。4a类为高速公路、一级公路、二级公路、城市快速路、城市主干路、城市次干路、城市轨道交通（地面段）、内河航道两侧区域；4b类为铁路干线两侧区域。</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default" w:cs="Times New Roman" w:eastAsiaTheme="minorEastAsia"/>
          <w:color w:val="auto"/>
          <w:sz w:val="30"/>
          <w:szCs w:val="30"/>
          <w:highlight w:val="none"/>
          <w:lang w:val="en-US" w:eastAsia="zh-CN"/>
        </w:rPr>
      </w:pPr>
      <w:bookmarkStart w:id="22" w:name="_Toc8291"/>
      <w:r>
        <w:rPr>
          <w:rFonts w:hint="eastAsia" w:cs="Times New Roman" w:eastAsiaTheme="minorEastAsia"/>
          <w:color w:val="auto"/>
          <w:sz w:val="30"/>
          <w:szCs w:val="30"/>
          <w:highlight w:val="none"/>
          <w:lang w:val="en-US" w:eastAsia="zh-CN"/>
        </w:rPr>
        <w:t>5.2</w:t>
      </w:r>
      <w:r>
        <w:rPr>
          <w:rFonts w:hint="default" w:cs="Times New Roman" w:eastAsiaTheme="minorEastAsia"/>
          <w:color w:val="auto"/>
          <w:sz w:val="30"/>
          <w:szCs w:val="30"/>
          <w:highlight w:val="none"/>
          <w:lang w:val="en-US" w:eastAsia="zh-CN"/>
        </w:rPr>
        <w:t>噪声区划的用地指标</w:t>
      </w:r>
      <w:bookmarkEnd w:id="22"/>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噪声区划的用地指标可反映区域主导功能，是合理调整区域土地利用政策和土地利用方向，进行土地利用空间管制和用途管制的重要依据，有利于坚持以人为本，促进区域与环境的协调发展，建设环境友好型社会。</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噪声区划的用地指标由城市建设用地分类（见GB50137-2011《城市用地分类与规划建设用地标准》）归纳成两大类用地。其中：</w:t>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1 \* ROMAN</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I</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t>类用地包括居住用地（R类）、公园绿地（G1类）、行政办公用地（A1类）、文化设施用地（A2类）、教育科研用地（A3类）、医疗卫生用地（A5类）、社会福利设施用地（A6类）；</w:t>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2 \* ROMAN</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II</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t>类用地包括工业用地（M类）和物流仓储用地（W类）。</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default" w:cs="Times New Roman" w:eastAsiaTheme="minorEastAsia"/>
          <w:color w:val="auto"/>
          <w:sz w:val="30"/>
          <w:szCs w:val="30"/>
          <w:highlight w:val="none"/>
          <w:lang w:val="en-US" w:eastAsia="zh-CN"/>
        </w:rPr>
      </w:pPr>
      <w:bookmarkStart w:id="23" w:name="_Toc25815"/>
      <w:r>
        <w:rPr>
          <w:rFonts w:hint="eastAsia" w:cs="Times New Roman" w:eastAsiaTheme="minorEastAsia"/>
          <w:color w:val="auto"/>
          <w:sz w:val="30"/>
          <w:szCs w:val="30"/>
          <w:highlight w:val="none"/>
          <w:lang w:val="en-US" w:eastAsia="zh-CN"/>
        </w:rPr>
        <w:t>5.3</w:t>
      </w:r>
      <w:r>
        <w:rPr>
          <w:rFonts w:hint="default" w:cs="Times New Roman" w:eastAsiaTheme="minorEastAsia"/>
          <w:color w:val="auto"/>
          <w:sz w:val="30"/>
          <w:szCs w:val="30"/>
          <w:highlight w:val="none"/>
          <w:lang w:val="en-US" w:eastAsia="zh-CN"/>
        </w:rPr>
        <w:t>城乡声环境功能区的划分要求</w:t>
      </w:r>
      <w:bookmarkEnd w:id="23"/>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eastAsia" w:ascii="Times New Roman" w:hAnsi="Times New Roman" w:cs="Times New Roman" w:eastAsiaTheme="minorEastAsia"/>
          <w:color w:val="auto"/>
          <w:sz w:val="28"/>
          <w:szCs w:val="28"/>
          <w:lang w:val="en-US" w:eastAsia="zh-CN"/>
        </w:rPr>
        <w:t>5.3.1</w:t>
      </w:r>
      <w:r>
        <w:rPr>
          <w:rFonts w:hint="default" w:ascii="Times New Roman" w:hAnsi="Times New Roman" w:cs="Times New Roman" w:eastAsiaTheme="minorEastAsia"/>
          <w:color w:val="auto"/>
          <w:sz w:val="28"/>
          <w:szCs w:val="28"/>
          <w:lang w:val="en-US" w:eastAsia="zh-CN"/>
        </w:rPr>
        <w:t>城市声环境功能区的划分</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城市区域应按照《城市区域环境噪声适用区划分技术规范》GB/T15190的规定划分声环境功能区，共分为5类，分别执行本标准规定的0、1、2、3、4类声环境功能区环境噪声限值。各类声环境功能区环境噪声限值见表5-1。</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表</w:t>
      </w:r>
      <w:r>
        <w:rPr>
          <w:rFonts w:hint="eastAsia" w:ascii="Times New Roman" w:hAnsi="Times New Roman" w:cs="Times New Roman" w:eastAsiaTheme="minorEastAsia"/>
          <w:b/>
          <w:bCs/>
          <w:color w:val="auto"/>
          <w:sz w:val="21"/>
          <w:szCs w:val="21"/>
          <w:lang w:val="en-US" w:eastAsia="zh-CN"/>
        </w:rPr>
        <w:t xml:space="preserve">5-1  </w:t>
      </w:r>
      <w:r>
        <w:rPr>
          <w:rFonts w:hint="default" w:ascii="Times New Roman" w:hAnsi="Times New Roman" w:cs="Times New Roman" w:eastAsiaTheme="minorEastAsia"/>
          <w:b/>
          <w:bCs/>
          <w:color w:val="auto"/>
          <w:sz w:val="21"/>
          <w:szCs w:val="21"/>
        </w:rPr>
        <w:t>环境噪声限值        单位dB(A)</w:t>
      </w:r>
    </w:p>
    <w:tbl>
      <w:tblPr>
        <w:tblStyle w:val="24"/>
        <w:tblW w:w="852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2132"/>
        <w:gridCol w:w="213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4" w:type="dxa"/>
            <w:gridSpan w:val="2"/>
            <w:vMerge w:val="restart"/>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声环境功能区类别</w:t>
            </w:r>
          </w:p>
        </w:tc>
        <w:tc>
          <w:tcPr>
            <w:tcW w:w="4264" w:type="dxa"/>
            <w:gridSpan w:val="2"/>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时段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4" w:type="dxa"/>
            <w:gridSpan w:val="2"/>
            <w:vMerge w:val="continue"/>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p>
        </w:tc>
        <w:tc>
          <w:tcPr>
            <w:tcW w:w="2132"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昼间</w:t>
            </w:r>
          </w:p>
        </w:tc>
        <w:tc>
          <w:tcPr>
            <w:tcW w:w="2132"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夜间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4" w:type="dxa"/>
            <w:gridSpan w:val="2"/>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0类</w:t>
            </w:r>
          </w:p>
        </w:tc>
        <w:tc>
          <w:tcPr>
            <w:tcW w:w="2132"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50</w:t>
            </w:r>
          </w:p>
        </w:tc>
        <w:tc>
          <w:tcPr>
            <w:tcW w:w="2132"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4264" w:type="dxa"/>
            <w:gridSpan w:val="2"/>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1类</w:t>
            </w:r>
          </w:p>
        </w:tc>
        <w:tc>
          <w:tcPr>
            <w:tcW w:w="2132"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55</w:t>
            </w:r>
          </w:p>
        </w:tc>
        <w:tc>
          <w:tcPr>
            <w:tcW w:w="2132"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264" w:type="dxa"/>
            <w:gridSpan w:val="2"/>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2类</w:t>
            </w:r>
          </w:p>
        </w:tc>
        <w:tc>
          <w:tcPr>
            <w:tcW w:w="2132"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60</w:t>
            </w:r>
          </w:p>
        </w:tc>
        <w:tc>
          <w:tcPr>
            <w:tcW w:w="2132"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4264" w:type="dxa"/>
            <w:gridSpan w:val="2"/>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3类</w:t>
            </w:r>
          </w:p>
        </w:tc>
        <w:tc>
          <w:tcPr>
            <w:tcW w:w="2132"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65</w:t>
            </w:r>
          </w:p>
        </w:tc>
        <w:tc>
          <w:tcPr>
            <w:tcW w:w="2132"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132" w:type="dxa"/>
            <w:vMerge w:val="restart"/>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4类</w:t>
            </w:r>
          </w:p>
        </w:tc>
        <w:tc>
          <w:tcPr>
            <w:tcW w:w="2132"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4a</w:t>
            </w:r>
          </w:p>
        </w:tc>
        <w:tc>
          <w:tcPr>
            <w:tcW w:w="2132"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70</w:t>
            </w:r>
          </w:p>
        </w:tc>
        <w:tc>
          <w:tcPr>
            <w:tcW w:w="2132"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132" w:type="dxa"/>
            <w:vMerge w:val="continue"/>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p>
        </w:tc>
        <w:tc>
          <w:tcPr>
            <w:tcW w:w="2132"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4b</w:t>
            </w:r>
          </w:p>
        </w:tc>
        <w:tc>
          <w:tcPr>
            <w:tcW w:w="2132"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70</w:t>
            </w:r>
          </w:p>
        </w:tc>
        <w:tc>
          <w:tcPr>
            <w:tcW w:w="2132"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exact"/>
              <w:ind w:left="0" w:right="0"/>
              <w:textAlignment w:val="auto"/>
              <w:outlineLvl w:val="9"/>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60</w:t>
            </w:r>
          </w:p>
        </w:tc>
      </w:tr>
    </w:tbl>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eastAsia" w:ascii="Times New Roman" w:hAnsi="Times New Roman" w:cs="Times New Roman" w:eastAsiaTheme="minorEastAsia"/>
          <w:color w:val="auto"/>
          <w:sz w:val="28"/>
          <w:szCs w:val="28"/>
          <w:lang w:val="en-US" w:eastAsia="zh-CN"/>
        </w:rPr>
        <w:t>5.3.2</w:t>
      </w:r>
      <w:r>
        <w:rPr>
          <w:rFonts w:hint="default" w:ascii="Times New Roman" w:hAnsi="Times New Roman" w:cs="Times New Roman" w:eastAsiaTheme="minorEastAsia"/>
          <w:color w:val="auto"/>
          <w:sz w:val="28"/>
          <w:szCs w:val="28"/>
          <w:lang w:val="en-US" w:eastAsia="zh-CN"/>
        </w:rPr>
        <w:t>乡村声环境功能区的确定</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（1）位于乡村的康复疗养区执行0类声环境功能区要求；</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（2）村庄原则上执行1类声环境功能区要求，工业活动较多的村庄以及有交通干线经过的村庄（指执行4类声环境功能区要求以外的地区）可局部或全部执行2类声环境功能区要求；</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（3）集镇执行2类声环境功能区要求；</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（4）独立村庄、集镇以外的工业、仓储集中区执行3类声环境功能区要求；</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（5）位于交通干线两侧一定距离（参考GB/T15190第8.3条规定）内的噪声敏感建筑物执行4类声环境功能区要求。</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default" w:cs="Times New Roman" w:eastAsiaTheme="minorEastAsia"/>
          <w:color w:val="auto"/>
          <w:sz w:val="30"/>
          <w:szCs w:val="30"/>
          <w:highlight w:val="none"/>
          <w:lang w:val="en-US" w:eastAsia="zh-CN"/>
        </w:rPr>
      </w:pPr>
      <w:bookmarkStart w:id="24" w:name="_Toc3028"/>
      <w:r>
        <w:rPr>
          <w:rFonts w:hint="eastAsia" w:cs="Times New Roman" w:eastAsiaTheme="minorEastAsia"/>
          <w:color w:val="auto"/>
          <w:sz w:val="30"/>
          <w:szCs w:val="30"/>
          <w:highlight w:val="none"/>
          <w:lang w:val="en-US" w:eastAsia="zh-CN"/>
        </w:rPr>
        <w:t>5.4</w:t>
      </w:r>
      <w:r>
        <w:rPr>
          <w:rFonts w:hint="default" w:cs="Times New Roman" w:eastAsiaTheme="minorEastAsia"/>
          <w:color w:val="auto"/>
          <w:sz w:val="30"/>
          <w:szCs w:val="30"/>
          <w:highlight w:val="none"/>
          <w:lang w:val="en-US" w:eastAsia="zh-CN"/>
        </w:rPr>
        <w:t>噪声功能区区划方法</w:t>
      </w:r>
      <w:bookmarkEnd w:id="24"/>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曲沃县声环境功能区划分的主要依据是城市性质、结构特征、城市总体规划、分区规划、近期规划和城市规划用地现状，特别是城市的近期规划和城市规划用地现状。各类区的划分采用用地类型和规划用地类别相结合的方法。城市规划区内的功能区划分宜首先对0、1、3类声环境功能区确认划分，余下区域划分为2类声环境功能区，在此基础上划分4类声环境功能区。</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对于规划区范围内暂时未划定使用功能的地块，暂不划分其声环境功能。绿地暂时按一类区执行，城市规划对其有新的调整后，根据新的用地类型执行相应的功能区类别。</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eastAsia" w:ascii="Times New Roman" w:hAnsi="Times New Roman" w:cs="Times New Roman" w:eastAsiaTheme="minorEastAsia"/>
          <w:color w:val="auto"/>
          <w:sz w:val="28"/>
          <w:szCs w:val="28"/>
          <w:lang w:val="en-US" w:eastAsia="zh-CN"/>
        </w:rPr>
        <w:t>5.4.1</w:t>
      </w:r>
      <w:r>
        <w:rPr>
          <w:rFonts w:hint="default" w:ascii="Times New Roman" w:hAnsi="Times New Roman" w:cs="Times New Roman" w:eastAsiaTheme="minorEastAsia"/>
          <w:color w:val="auto"/>
          <w:sz w:val="28"/>
          <w:szCs w:val="28"/>
          <w:lang w:val="en-US" w:eastAsia="zh-CN"/>
        </w:rPr>
        <w:t>“0类”标准适用区域划分</w:t>
      </w:r>
    </w:p>
    <w:p>
      <w:pPr>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highlight w:val="none"/>
        </w:rPr>
      </w:pPr>
      <w:r>
        <w:rPr>
          <w:rFonts w:hint="default" w:ascii="Times New Roman" w:hAnsi="Times New Roman" w:cs="Times New Roman" w:eastAsiaTheme="minorEastAsia"/>
          <w:color w:val="auto"/>
          <w:sz w:val="24"/>
          <w:szCs w:val="24"/>
          <w:highlight w:val="none"/>
        </w:rPr>
        <w:t>根据《声环境功能区划分技术规范》中8.2规定，0类声环境功能区域的划分：0类声环境功能区域适用于康复疗养区等特别需要安静的区域。该区域内及附近区域应无明显噪声源，区域界限明确。原则上面积不小于0.5km</w:t>
      </w:r>
      <w:r>
        <w:rPr>
          <w:rFonts w:hint="default" w:ascii="Times New Roman" w:hAnsi="Times New Roman" w:cs="Times New Roman" w:eastAsiaTheme="minorEastAsia"/>
          <w:color w:val="auto"/>
          <w:sz w:val="24"/>
          <w:szCs w:val="24"/>
          <w:highlight w:val="none"/>
          <w:vertAlign w:val="superscript"/>
        </w:rPr>
        <w:t>2</w:t>
      </w:r>
      <w:r>
        <w:rPr>
          <w:rFonts w:hint="default" w:ascii="Times New Roman" w:hAnsi="Times New Roman" w:cs="Times New Roman" w:eastAsiaTheme="minorEastAsia"/>
          <w:color w:val="auto"/>
          <w:sz w:val="24"/>
          <w:szCs w:val="24"/>
          <w:highlight w:val="none"/>
        </w:rPr>
        <w:t>。</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eastAsia" w:ascii="Times New Roman" w:hAnsi="Times New Roman" w:cs="Times New Roman" w:eastAsiaTheme="minorEastAsia"/>
          <w:color w:val="auto"/>
          <w:sz w:val="28"/>
          <w:szCs w:val="28"/>
          <w:lang w:val="en-US" w:eastAsia="zh-CN"/>
        </w:rPr>
        <w:t>5.4.2</w:t>
      </w:r>
      <w:r>
        <w:rPr>
          <w:rFonts w:hint="default" w:ascii="Times New Roman" w:hAnsi="Times New Roman" w:cs="Times New Roman" w:eastAsiaTheme="minorEastAsia"/>
          <w:color w:val="auto"/>
          <w:sz w:val="28"/>
          <w:szCs w:val="28"/>
          <w:lang w:val="en-US" w:eastAsia="zh-CN"/>
        </w:rPr>
        <w:t>“1~3类”标准适用区域划分</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（1）城市规划明确划定且已形成一定规模的各类规划区分别根据其区域位置和范围按声环境功能区分类的规定确定相应的标准使用区域。</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（2）未能依前款确定的区域则按以下方法划分。</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 1 \* GB3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①</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t>区划指标符合下列条件之一的划为1类标准适用区域。</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a）城市用地现已形成一定规模或近期规划已明确主要功能的区域，其用地性质符合4.2条规定的区域；</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b）I类用地占地率大于70%（含70%）的混合区域。</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 2 \* GB3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②</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t>区划指标符合下列条件之一的划为2类标准适用区域。</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a）城市用地现状已形成一定规模或近期规划已明确主要功能的区域，其用地性质符合4.3条规定的区域；</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b）划定的0、1、3类声环境功能区以为居住、商业、工业混杂区域。</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 3 \* GB3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③</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t>区划指标符合下列条件之一的划为3类标准适用区域。</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a）城市用地现状已形成一定规模或近期规划已明确主要功能的区域，其用地性质符合4.4条规定的区域；</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b）II类用地占地率大于70%（含70%）的混合用地区域。</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eastAsia" w:ascii="Times New Roman" w:hAnsi="Times New Roman" w:cs="Times New Roman" w:eastAsiaTheme="minorEastAsia"/>
          <w:color w:val="auto"/>
          <w:sz w:val="28"/>
          <w:szCs w:val="28"/>
          <w:lang w:val="en-US" w:eastAsia="zh-CN"/>
        </w:rPr>
        <w:t>5.4.3</w:t>
      </w:r>
      <w:r>
        <w:rPr>
          <w:rFonts w:hint="default" w:ascii="Times New Roman" w:hAnsi="Times New Roman" w:cs="Times New Roman" w:eastAsiaTheme="minorEastAsia"/>
          <w:color w:val="auto"/>
          <w:sz w:val="28"/>
          <w:szCs w:val="28"/>
          <w:lang w:val="en-US" w:eastAsia="zh-CN"/>
        </w:rPr>
        <w:t>“4类”声环境功能区划分</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各地根据交通干线声源特性、两侧建筑物形式、地貌特征以及相邻区域的声环境功能区类别，划分4类声环境功能区。</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划分为4类声环境功能区时，不同的道路、不同的路段、同路段的两侧及道路的同侧其距离可以不一。</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b/>
          <w:bCs/>
          <w:color w:val="auto"/>
          <w:sz w:val="28"/>
          <w:szCs w:val="28"/>
        </w:rPr>
      </w:pPr>
      <w:r>
        <w:rPr>
          <w:rFonts w:hint="default" w:ascii="Times New Roman" w:hAnsi="Times New Roman" w:cs="Times New Roman" w:eastAsiaTheme="minorEastAsia"/>
          <w:b/>
          <w:bCs/>
          <w:color w:val="auto"/>
          <w:sz w:val="28"/>
          <w:szCs w:val="28"/>
        </w:rPr>
        <w:t>“4a类”声环境功能区划分</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将交通干线边界线外一定距离内的区域划分为4a类声环境功能区。距离的确定方法如下：</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a ）相邻区域为1类声环境功能区域，距离为50±5米；</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b ）相邻区域为2类声环境功能区域，距离为35±5米；</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c ）相邻区域为3类声环境功能区域，距离为20±5米。</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当临街建筑高于三层楼房（含三层）时，将临街建筑面向交通干线一侧至交通干线边界的区域划定为4a类标准的区域。</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b/>
          <w:bCs/>
          <w:color w:val="auto"/>
          <w:sz w:val="28"/>
          <w:szCs w:val="28"/>
        </w:rPr>
      </w:pPr>
      <w:r>
        <w:rPr>
          <w:rFonts w:hint="default" w:ascii="Times New Roman" w:hAnsi="Times New Roman" w:cs="Times New Roman" w:eastAsiaTheme="minorEastAsia"/>
          <w:b/>
          <w:bCs/>
          <w:color w:val="auto"/>
          <w:sz w:val="28"/>
          <w:szCs w:val="28"/>
        </w:rPr>
        <w:t>“4b类”声环境功能区划分</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交通干线边界线为一定距离以内的区域划分为4b类声环境功能区。距离的确定方法同4a类。</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eastAsia" w:ascii="Times New Roman" w:hAnsi="Times New Roman" w:cs="Times New Roman" w:eastAsiaTheme="minorEastAsia"/>
          <w:color w:val="auto"/>
          <w:sz w:val="28"/>
          <w:szCs w:val="28"/>
          <w:lang w:val="en-US" w:eastAsia="zh-CN"/>
        </w:rPr>
        <w:t>5.4.4</w:t>
      </w:r>
      <w:r>
        <w:rPr>
          <w:rFonts w:hint="default" w:ascii="Times New Roman" w:hAnsi="Times New Roman" w:cs="Times New Roman" w:eastAsiaTheme="minorEastAsia"/>
          <w:color w:val="auto"/>
          <w:sz w:val="28"/>
          <w:szCs w:val="28"/>
          <w:lang w:val="en-US" w:eastAsia="zh-CN"/>
        </w:rPr>
        <w:t>其他规定</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（1）大型工业园中的生活小区，根据其与生产现场的距离和环境噪声现状水平，可从工业区中划出，定为2类或1类声环境功能区。</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（2）铁路和城市轨道交通（地面）场站、公交枢纽、港口站场、高速公路服务区等具有一定规模的交通服务区域，</w:t>
      </w:r>
      <w:r>
        <w:rPr>
          <w:rFonts w:hint="eastAsia" w:cs="Times New Roman" w:eastAsiaTheme="minorEastAsia"/>
          <w:color w:val="auto"/>
          <w:sz w:val="24"/>
          <w:szCs w:val="24"/>
          <w:lang w:val="en-US" w:eastAsia="zh-CN"/>
        </w:rPr>
        <w:t>划分</w:t>
      </w:r>
      <w:r>
        <w:rPr>
          <w:rFonts w:hint="default" w:ascii="Times New Roman" w:hAnsi="Times New Roman" w:cs="Times New Roman" w:eastAsiaTheme="minorEastAsia"/>
          <w:color w:val="auto"/>
          <w:sz w:val="24"/>
          <w:szCs w:val="24"/>
        </w:rPr>
        <w:t>为4a或4b类声环境功能区。</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（3）尽量避免0类声环境功能区紧邻3类、4类声环境功能区的情况。</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（4）近期内区域功能与规划目标相差较大的区域，以用地现状作为区划的主要依据；随着城市规划的逐步实现，及时调整声环境功能区。</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（5）未建成的规划区内，按其性质或按区域声环境质量现状，结合可能发展划定区域类型。</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（6）噪声区划图图示要求：</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区划图可用不同颜色或阴影线在城市地图上绘制。各区域的颜色或阴影线规定见下表。</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bCs/>
          <w:color w:val="auto"/>
          <w:sz w:val="21"/>
          <w:szCs w:val="21"/>
        </w:rPr>
      </w:pPr>
      <w:r>
        <w:rPr>
          <w:rFonts w:hint="default" w:ascii="Times New Roman" w:hAnsi="Times New Roman" w:cs="Times New Roman" w:eastAsiaTheme="minorEastAsia"/>
          <w:b/>
          <w:bCs/>
          <w:color w:val="auto"/>
          <w:sz w:val="21"/>
          <w:szCs w:val="21"/>
        </w:rPr>
        <w:t>表</w:t>
      </w:r>
      <w:r>
        <w:rPr>
          <w:rFonts w:hint="eastAsia" w:ascii="Times New Roman" w:hAnsi="Times New Roman" w:cs="Times New Roman" w:eastAsiaTheme="minorEastAsia"/>
          <w:b/>
          <w:bCs/>
          <w:color w:val="auto"/>
          <w:sz w:val="21"/>
          <w:szCs w:val="21"/>
          <w:lang w:val="en-US" w:eastAsia="zh-CN"/>
        </w:rPr>
        <w:t xml:space="preserve">5-2  </w:t>
      </w:r>
      <w:r>
        <w:rPr>
          <w:rFonts w:hint="default" w:ascii="Times New Roman" w:hAnsi="Times New Roman" w:cs="Times New Roman" w:eastAsiaTheme="minorEastAsia"/>
          <w:b/>
          <w:bCs/>
          <w:color w:val="auto"/>
          <w:sz w:val="21"/>
          <w:szCs w:val="21"/>
        </w:rPr>
        <w:t>各区域的颜色或阴影线规定一览表</w:t>
      </w:r>
    </w:p>
    <w:tbl>
      <w:tblPr>
        <w:tblStyle w:val="24"/>
        <w:tblW w:w="852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81"/>
        <w:gridCol w:w="3408"/>
        <w:gridCol w:w="889"/>
        <w:gridCol w:w="981"/>
        <w:gridCol w:w="32"/>
        <w:gridCol w:w="918"/>
        <w:gridCol w:w="91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528" w:type="dxa"/>
            <w:gridSpan w:val="7"/>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1、山西省城市区域环境噪声适用区域划分图</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81"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序号</w:t>
            </w:r>
          </w:p>
        </w:tc>
        <w:tc>
          <w:tcPr>
            <w:tcW w:w="340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适用区域</w:t>
            </w:r>
          </w:p>
        </w:tc>
        <w:tc>
          <w:tcPr>
            <w:tcW w:w="1870" w:type="dxa"/>
            <w:gridSpan w:val="2"/>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颜色值</w:t>
            </w:r>
          </w:p>
        </w:tc>
        <w:tc>
          <w:tcPr>
            <w:tcW w:w="1869" w:type="dxa"/>
            <w:gridSpan w:val="3"/>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阴影线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81"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w:t>
            </w:r>
          </w:p>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p>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p>
        </w:tc>
        <w:tc>
          <w:tcPr>
            <w:tcW w:w="340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0类标准适用区</w:t>
            </w:r>
          </w:p>
        </w:tc>
        <w:tc>
          <w:tcPr>
            <w:tcW w:w="1870" w:type="dxa"/>
            <w:gridSpan w:val="2"/>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浅黄色</w:t>
            </w:r>
          </w:p>
        </w:tc>
        <w:tc>
          <w:tcPr>
            <w:tcW w:w="1869" w:type="dxa"/>
            <w:gridSpan w:val="3"/>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小点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81"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w:t>
            </w:r>
          </w:p>
        </w:tc>
        <w:tc>
          <w:tcPr>
            <w:tcW w:w="340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1类标准适用区</w:t>
            </w:r>
          </w:p>
        </w:tc>
        <w:tc>
          <w:tcPr>
            <w:tcW w:w="1870" w:type="dxa"/>
            <w:gridSpan w:val="2"/>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浅绿色</w:t>
            </w:r>
          </w:p>
        </w:tc>
        <w:tc>
          <w:tcPr>
            <w:tcW w:w="1869" w:type="dxa"/>
            <w:gridSpan w:val="3"/>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垂直线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81"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3</w:t>
            </w:r>
          </w:p>
        </w:tc>
        <w:tc>
          <w:tcPr>
            <w:tcW w:w="340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2类标准适用区</w:t>
            </w:r>
          </w:p>
        </w:tc>
        <w:tc>
          <w:tcPr>
            <w:tcW w:w="1870" w:type="dxa"/>
            <w:gridSpan w:val="2"/>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浅蓝色</w:t>
            </w:r>
          </w:p>
        </w:tc>
        <w:tc>
          <w:tcPr>
            <w:tcW w:w="1869" w:type="dxa"/>
            <w:gridSpan w:val="3"/>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斜线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81"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w:t>
            </w:r>
          </w:p>
        </w:tc>
        <w:tc>
          <w:tcPr>
            <w:tcW w:w="340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3类标准适用区</w:t>
            </w:r>
          </w:p>
        </w:tc>
        <w:tc>
          <w:tcPr>
            <w:tcW w:w="1870" w:type="dxa"/>
            <w:gridSpan w:val="2"/>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褐色</w:t>
            </w:r>
          </w:p>
        </w:tc>
        <w:tc>
          <w:tcPr>
            <w:tcW w:w="1869" w:type="dxa"/>
            <w:gridSpan w:val="3"/>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交叉线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81" w:type="dxa"/>
            <w:vMerge w:val="restart"/>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w:t>
            </w:r>
          </w:p>
        </w:tc>
        <w:tc>
          <w:tcPr>
            <w:tcW w:w="340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4a类标准（交通干线）适用区</w:t>
            </w:r>
          </w:p>
        </w:tc>
        <w:tc>
          <w:tcPr>
            <w:tcW w:w="1870" w:type="dxa"/>
            <w:gridSpan w:val="2"/>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红色</w:t>
            </w:r>
          </w:p>
        </w:tc>
        <w:tc>
          <w:tcPr>
            <w:tcW w:w="1869" w:type="dxa"/>
            <w:gridSpan w:val="3"/>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粗黑线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81" w:type="dxa"/>
            <w:vMerge w:val="continue"/>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p>
        </w:tc>
        <w:tc>
          <w:tcPr>
            <w:tcW w:w="340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4b类标准（交通干线）适用区</w:t>
            </w:r>
          </w:p>
        </w:tc>
        <w:tc>
          <w:tcPr>
            <w:tcW w:w="1870" w:type="dxa"/>
            <w:gridSpan w:val="2"/>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紫色</w:t>
            </w:r>
          </w:p>
        </w:tc>
        <w:tc>
          <w:tcPr>
            <w:tcW w:w="1869" w:type="dxa"/>
            <w:gridSpan w:val="3"/>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波浪线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8528" w:type="dxa"/>
            <w:gridSpan w:val="7"/>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2、山西省城市区域环境噪声污染空间分布图</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81" w:type="dxa"/>
            <w:vMerge w:val="restart"/>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序号</w:t>
            </w:r>
          </w:p>
        </w:tc>
        <w:tc>
          <w:tcPr>
            <w:tcW w:w="3408" w:type="dxa"/>
            <w:vMerge w:val="restart"/>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污染程度</w:t>
            </w:r>
          </w:p>
        </w:tc>
        <w:tc>
          <w:tcPr>
            <w:tcW w:w="3739" w:type="dxa"/>
            <w:gridSpan w:val="5"/>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颜色值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81" w:type="dxa"/>
            <w:vMerge w:val="continue"/>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p>
        </w:tc>
        <w:tc>
          <w:tcPr>
            <w:tcW w:w="3408" w:type="dxa"/>
            <w:vMerge w:val="continue"/>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p>
        </w:tc>
        <w:tc>
          <w:tcPr>
            <w:tcW w:w="88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C</w:t>
            </w:r>
          </w:p>
        </w:tc>
        <w:tc>
          <w:tcPr>
            <w:tcW w:w="1013" w:type="dxa"/>
            <w:gridSpan w:val="2"/>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M</w:t>
            </w:r>
          </w:p>
        </w:tc>
        <w:tc>
          <w:tcPr>
            <w:tcW w:w="91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Y</w:t>
            </w:r>
          </w:p>
        </w:tc>
        <w:tc>
          <w:tcPr>
            <w:tcW w:w="91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K</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81"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w:t>
            </w:r>
          </w:p>
        </w:tc>
        <w:tc>
          <w:tcPr>
            <w:tcW w:w="340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35dB以下</w:t>
            </w:r>
          </w:p>
        </w:tc>
        <w:tc>
          <w:tcPr>
            <w:tcW w:w="88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20</w:t>
            </w:r>
          </w:p>
        </w:tc>
        <w:tc>
          <w:tcPr>
            <w:tcW w:w="1013" w:type="dxa"/>
            <w:gridSpan w:val="2"/>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91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55</w:t>
            </w:r>
          </w:p>
        </w:tc>
        <w:tc>
          <w:tcPr>
            <w:tcW w:w="91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81"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w:t>
            </w:r>
          </w:p>
        </w:tc>
        <w:tc>
          <w:tcPr>
            <w:tcW w:w="340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35dB-40dB</w:t>
            </w:r>
          </w:p>
        </w:tc>
        <w:tc>
          <w:tcPr>
            <w:tcW w:w="88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80</w:t>
            </w:r>
          </w:p>
        </w:tc>
        <w:tc>
          <w:tcPr>
            <w:tcW w:w="1013" w:type="dxa"/>
            <w:gridSpan w:val="2"/>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91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100</w:t>
            </w:r>
          </w:p>
        </w:tc>
        <w:tc>
          <w:tcPr>
            <w:tcW w:w="91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81"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3</w:t>
            </w:r>
          </w:p>
        </w:tc>
        <w:tc>
          <w:tcPr>
            <w:tcW w:w="340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41dB-45dB</w:t>
            </w:r>
          </w:p>
        </w:tc>
        <w:tc>
          <w:tcPr>
            <w:tcW w:w="88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95</w:t>
            </w:r>
          </w:p>
        </w:tc>
        <w:tc>
          <w:tcPr>
            <w:tcW w:w="1013" w:type="dxa"/>
            <w:gridSpan w:val="2"/>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30</w:t>
            </w:r>
          </w:p>
        </w:tc>
        <w:tc>
          <w:tcPr>
            <w:tcW w:w="91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100</w:t>
            </w:r>
          </w:p>
        </w:tc>
        <w:tc>
          <w:tcPr>
            <w:tcW w:w="91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81"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w:t>
            </w:r>
          </w:p>
        </w:tc>
        <w:tc>
          <w:tcPr>
            <w:tcW w:w="340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46dB-50dB</w:t>
            </w:r>
          </w:p>
        </w:tc>
        <w:tc>
          <w:tcPr>
            <w:tcW w:w="88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w:t>
            </w:r>
          </w:p>
        </w:tc>
        <w:tc>
          <w:tcPr>
            <w:tcW w:w="1013" w:type="dxa"/>
            <w:gridSpan w:val="2"/>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w:t>
            </w:r>
          </w:p>
        </w:tc>
        <w:tc>
          <w:tcPr>
            <w:tcW w:w="91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95</w:t>
            </w:r>
          </w:p>
        </w:tc>
        <w:tc>
          <w:tcPr>
            <w:tcW w:w="91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81"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w:t>
            </w:r>
          </w:p>
        </w:tc>
        <w:tc>
          <w:tcPr>
            <w:tcW w:w="340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51dB-55dB</w:t>
            </w:r>
          </w:p>
        </w:tc>
        <w:tc>
          <w:tcPr>
            <w:tcW w:w="88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16</w:t>
            </w:r>
          </w:p>
        </w:tc>
        <w:tc>
          <w:tcPr>
            <w:tcW w:w="1013" w:type="dxa"/>
            <w:gridSpan w:val="2"/>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56</w:t>
            </w:r>
          </w:p>
        </w:tc>
        <w:tc>
          <w:tcPr>
            <w:tcW w:w="91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82</w:t>
            </w:r>
          </w:p>
        </w:tc>
        <w:tc>
          <w:tcPr>
            <w:tcW w:w="91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81"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6</w:t>
            </w:r>
          </w:p>
        </w:tc>
        <w:tc>
          <w:tcPr>
            <w:tcW w:w="340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56dB-60dB</w:t>
            </w:r>
          </w:p>
        </w:tc>
        <w:tc>
          <w:tcPr>
            <w:tcW w:w="88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w:t>
            </w:r>
          </w:p>
        </w:tc>
        <w:tc>
          <w:tcPr>
            <w:tcW w:w="1013" w:type="dxa"/>
            <w:gridSpan w:val="2"/>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52</w:t>
            </w:r>
          </w:p>
        </w:tc>
        <w:tc>
          <w:tcPr>
            <w:tcW w:w="91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92</w:t>
            </w:r>
          </w:p>
        </w:tc>
        <w:tc>
          <w:tcPr>
            <w:tcW w:w="91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81"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7</w:t>
            </w:r>
          </w:p>
        </w:tc>
        <w:tc>
          <w:tcPr>
            <w:tcW w:w="340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61dB-65dB</w:t>
            </w:r>
          </w:p>
        </w:tc>
        <w:tc>
          <w:tcPr>
            <w:tcW w:w="88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c>
          <w:tcPr>
            <w:tcW w:w="1013" w:type="dxa"/>
            <w:gridSpan w:val="2"/>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90</w:t>
            </w:r>
          </w:p>
        </w:tc>
        <w:tc>
          <w:tcPr>
            <w:tcW w:w="91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95</w:t>
            </w:r>
          </w:p>
        </w:tc>
        <w:tc>
          <w:tcPr>
            <w:tcW w:w="91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81"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8</w:t>
            </w:r>
          </w:p>
        </w:tc>
        <w:tc>
          <w:tcPr>
            <w:tcW w:w="340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66dB-70dB</w:t>
            </w:r>
          </w:p>
        </w:tc>
        <w:tc>
          <w:tcPr>
            <w:tcW w:w="88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6</w:t>
            </w:r>
          </w:p>
        </w:tc>
        <w:tc>
          <w:tcPr>
            <w:tcW w:w="1013" w:type="dxa"/>
            <w:gridSpan w:val="2"/>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100</w:t>
            </w:r>
          </w:p>
        </w:tc>
        <w:tc>
          <w:tcPr>
            <w:tcW w:w="91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70</w:t>
            </w:r>
          </w:p>
        </w:tc>
        <w:tc>
          <w:tcPr>
            <w:tcW w:w="91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81"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9</w:t>
            </w:r>
          </w:p>
        </w:tc>
        <w:tc>
          <w:tcPr>
            <w:tcW w:w="340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71dB-75dB</w:t>
            </w:r>
          </w:p>
        </w:tc>
        <w:tc>
          <w:tcPr>
            <w:tcW w:w="88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26</w:t>
            </w:r>
          </w:p>
        </w:tc>
        <w:tc>
          <w:tcPr>
            <w:tcW w:w="1013" w:type="dxa"/>
            <w:gridSpan w:val="2"/>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98</w:t>
            </w:r>
          </w:p>
        </w:tc>
        <w:tc>
          <w:tcPr>
            <w:tcW w:w="91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3</w:t>
            </w:r>
          </w:p>
        </w:tc>
        <w:tc>
          <w:tcPr>
            <w:tcW w:w="91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81"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10</w:t>
            </w:r>
          </w:p>
        </w:tc>
        <w:tc>
          <w:tcPr>
            <w:tcW w:w="340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76dB-80dB</w:t>
            </w:r>
          </w:p>
        </w:tc>
        <w:tc>
          <w:tcPr>
            <w:tcW w:w="88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82</w:t>
            </w:r>
          </w:p>
        </w:tc>
        <w:tc>
          <w:tcPr>
            <w:tcW w:w="1013" w:type="dxa"/>
            <w:gridSpan w:val="2"/>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10</w:t>
            </w:r>
          </w:p>
        </w:tc>
        <w:tc>
          <w:tcPr>
            <w:tcW w:w="91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2</w:t>
            </w:r>
          </w:p>
        </w:tc>
        <w:tc>
          <w:tcPr>
            <w:tcW w:w="91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381"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11</w:t>
            </w:r>
          </w:p>
        </w:tc>
        <w:tc>
          <w:tcPr>
            <w:tcW w:w="340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80dB以上</w:t>
            </w:r>
          </w:p>
        </w:tc>
        <w:tc>
          <w:tcPr>
            <w:tcW w:w="88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96</w:t>
            </w:r>
          </w:p>
        </w:tc>
        <w:tc>
          <w:tcPr>
            <w:tcW w:w="1013" w:type="dxa"/>
            <w:gridSpan w:val="2"/>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66</w:t>
            </w:r>
          </w:p>
        </w:tc>
        <w:tc>
          <w:tcPr>
            <w:tcW w:w="918"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10</w:t>
            </w:r>
          </w:p>
        </w:tc>
        <w:tc>
          <w:tcPr>
            <w:tcW w:w="919" w:type="dxa"/>
            <w:tcBorders>
              <w:tl2br w:val="nil"/>
              <w:tr2bl w:val="nil"/>
            </w:tcBorders>
            <w:vAlign w:val="center"/>
          </w:tcPr>
          <w:p>
            <w:pPr>
              <w:pStyle w:val="45"/>
              <w:keepNext w:val="0"/>
              <w:keepLines w:val="0"/>
              <w:suppressLineNumbers w:val="0"/>
              <w:snapToGrid w:val="0"/>
              <w:spacing w:before="0" w:beforeAutospacing="0" w:after="0" w:afterAutospacing="0" w:line="240" w:lineRule="auto"/>
              <w:ind w:left="0" w:right="0"/>
              <w:rPr>
                <w:rFonts w:hint="default" w:ascii="Times New Roman" w:hAnsi="Times New Roman" w:cs="Times New Roman" w:eastAsiaTheme="minorEastAsia"/>
                <w:color w:val="auto"/>
                <w:sz w:val="21"/>
                <w:szCs w:val="21"/>
              </w:rPr>
            </w:pPr>
            <w:r>
              <w:rPr>
                <w:rFonts w:hint="default" w:ascii="Times New Roman" w:hAnsi="Times New Roman" w:cs="Times New Roman" w:eastAsiaTheme="minorEastAsia"/>
                <w:color w:val="auto"/>
                <w:sz w:val="21"/>
                <w:szCs w:val="21"/>
              </w:rPr>
              <w:t>0</w:t>
            </w:r>
          </w:p>
        </w:tc>
      </w:tr>
    </w:tbl>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default" w:cs="Times New Roman" w:eastAsiaTheme="minorEastAsia"/>
          <w:color w:val="auto"/>
          <w:sz w:val="30"/>
          <w:szCs w:val="30"/>
          <w:highlight w:val="none"/>
          <w:lang w:val="en-US" w:eastAsia="zh-CN"/>
        </w:rPr>
      </w:pPr>
      <w:bookmarkStart w:id="25" w:name="_Toc11972"/>
      <w:r>
        <w:rPr>
          <w:rFonts w:hint="eastAsia" w:cs="Times New Roman" w:eastAsiaTheme="minorEastAsia"/>
          <w:color w:val="auto"/>
          <w:sz w:val="30"/>
          <w:szCs w:val="30"/>
          <w:highlight w:val="none"/>
          <w:lang w:val="en-US" w:eastAsia="zh-CN"/>
        </w:rPr>
        <w:t>5.5</w:t>
      </w:r>
      <w:r>
        <w:rPr>
          <w:rFonts w:hint="default" w:cs="Times New Roman" w:eastAsiaTheme="minorEastAsia"/>
          <w:color w:val="auto"/>
          <w:sz w:val="30"/>
          <w:szCs w:val="30"/>
          <w:highlight w:val="none"/>
          <w:lang w:val="en-US" w:eastAsia="zh-CN"/>
        </w:rPr>
        <w:t>声环境功能区划分步骤</w:t>
      </w:r>
      <w:bookmarkEnd w:id="25"/>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eastAsia" w:cs="Times New Roman" w:eastAsiaTheme="minorEastAsia"/>
          <w:color w:val="auto"/>
          <w:sz w:val="28"/>
          <w:szCs w:val="28"/>
          <w:lang w:val="en-US" w:eastAsia="zh-CN"/>
        </w:rPr>
        <w:t>5.5.1</w:t>
      </w:r>
      <w:r>
        <w:rPr>
          <w:rFonts w:hint="default" w:ascii="Times New Roman" w:hAnsi="Times New Roman" w:cs="Times New Roman" w:eastAsiaTheme="minorEastAsia"/>
          <w:color w:val="auto"/>
          <w:sz w:val="28"/>
          <w:szCs w:val="28"/>
          <w:lang w:val="en-US" w:eastAsia="zh-CN"/>
        </w:rPr>
        <w:t>城市区域噪声单元类型划分</w:t>
      </w:r>
    </w:p>
    <w:p>
      <w:pPr>
        <w:pStyle w:val="5"/>
        <w:numPr>
          <w:ilvl w:val="3"/>
          <w:numId w:val="0"/>
        </w:numPr>
        <w:snapToGrid w:val="0"/>
        <w:ind w:leftChars="0"/>
        <w:rPr>
          <w:rFonts w:hint="default" w:ascii="Times New Roman" w:hAnsi="Times New Roman" w:cs="Times New Roman" w:eastAsiaTheme="minorEastAsia"/>
        </w:rPr>
      </w:pPr>
      <w:r>
        <w:rPr>
          <w:rFonts w:hint="eastAsia" w:cs="Times New Roman" w:eastAsiaTheme="minorEastAsia"/>
          <w:lang w:val="en-US" w:eastAsia="zh-CN"/>
        </w:rPr>
        <w:t>5.5.1.1</w:t>
      </w:r>
      <w:r>
        <w:rPr>
          <w:rFonts w:hint="default" w:ascii="Times New Roman" w:hAnsi="Times New Roman" w:cs="Times New Roman" w:eastAsiaTheme="minorEastAsia"/>
        </w:rPr>
        <w:t>确定用地功能</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根据《曲沃县城市总体规划（2014-2030年）》用地类型与现场调研核实，确定曲沃县土地利用现状，明确该地块的面积及使用功能。</w:t>
      </w:r>
    </w:p>
    <w:p>
      <w:pPr>
        <w:keepNext w:val="0"/>
        <w:keepLines w:val="0"/>
        <w:pageBreakBefore w:val="0"/>
        <w:widowControl w:val="0"/>
        <w:kinsoku/>
        <w:wordWrap/>
        <w:overflowPunct/>
        <w:topLinePunct w:val="0"/>
        <w:autoSpaceDE/>
        <w:autoSpaceDN/>
        <w:bidi w:val="0"/>
        <w:adjustRightInd/>
        <w:snapToGrid/>
        <w:ind w:firstLine="560"/>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t>按照《城市用地分类与规划建设用地标准》（GB50137-2011），其中，</w:t>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 1 \* ROMAN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I</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t>类用地含各类居住用地、绿地、行政办公用地、文化设施、教育科研、医疗卫生及社会福利设施用地；</w:t>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 2 \* ROMAN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II</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t>类用地含各类工业用地、仓储用地。把曲沃县建成区各地块按照</w:t>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 1 \* ROMAN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I</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t>、</w:t>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 2 \* ROMAN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II</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t>类用地进行分类。各地块分类结果详见下表。</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b/>
          <w:bCs/>
          <w:color w:val="auto"/>
          <w:sz w:val="21"/>
          <w:szCs w:val="21"/>
          <w:vertAlign w:val="superscript"/>
          <w:lang w:val="en-US" w:eastAsia="zh-CN"/>
        </w:rPr>
      </w:pPr>
      <w:r>
        <w:rPr>
          <w:rFonts w:hint="default" w:ascii="Times New Roman" w:hAnsi="Times New Roman" w:cs="Times New Roman" w:eastAsiaTheme="minorEastAsia"/>
          <w:b/>
          <w:bCs/>
          <w:color w:val="auto"/>
          <w:sz w:val="21"/>
          <w:szCs w:val="21"/>
          <w:lang w:val="en-US" w:eastAsia="zh-CN"/>
        </w:rPr>
        <w:t>表 5-</w:t>
      </w:r>
      <w:r>
        <w:rPr>
          <w:rFonts w:hint="eastAsia" w:ascii="Times New Roman" w:hAnsi="Times New Roman" w:cs="Times New Roman" w:eastAsiaTheme="minorEastAsia"/>
          <w:b/>
          <w:bCs/>
          <w:color w:val="auto"/>
          <w:sz w:val="21"/>
          <w:szCs w:val="21"/>
          <w:lang w:val="en-US" w:eastAsia="zh-CN"/>
        </w:rPr>
        <w:t xml:space="preserve">3   </w:t>
      </w:r>
      <w:r>
        <w:rPr>
          <w:rFonts w:hint="default" w:ascii="Times New Roman" w:hAnsi="Times New Roman" w:cs="Times New Roman" w:eastAsiaTheme="minorEastAsia"/>
          <w:b/>
          <w:bCs/>
          <w:color w:val="auto"/>
          <w:sz w:val="21"/>
          <w:szCs w:val="21"/>
          <w:lang w:val="en-US" w:eastAsia="zh-CN"/>
        </w:rPr>
        <w:t>曲沃县各块土地的用地功能及面积统计表</w:t>
      </w:r>
      <w:r>
        <w:rPr>
          <w:rFonts w:hint="eastAsia" w:ascii="Times New Roman" w:hAnsi="Times New Roman" w:cs="Times New Roman" w:eastAsiaTheme="minorEastAsia"/>
          <w:b/>
          <w:bCs/>
          <w:color w:val="auto"/>
          <w:sz w:val="21"/>
          <w:szCs w:val="21"/>
          <w:lang w:val="en-US" w:eastAsia="zh-CN"/>
        </w:rPr>
        <w:t xml:space="preserve">   </w:t>
      </w:r>
      <w:r>
        <w:rPr>
          <w:rFonts w:hint="default" w:ascii="Times New Roman" w:hAnsi="Times New Roman" w:cs="Times New Roman" w:eastAsiaTheme="minorEastAsia"/>
          <w:b/>
          <w:bCs/>
          <w:color w:val="auto"/>
          <w:sz w:val="21"/>
          <w:szCs w:val="21"/>
          <w:lang w:val="en-US" w:eastAsia="zh-CN"/>
        </w:rPr>
        <w:t>单位：m</w:t>
      </w:r>
      <w:r>
        <w:rPr>
          <w:rFonts w:hint="default" w:ascii="Times New Roman" w:hAnsi="Times New Roman" w:cs="Times New Roman" w:eastAsiaTheme="minorEastAsia"/>
          <w:b/>
          <w:bCs/>
          <w:color w:val="auto"/>
          <w:sz w:val="21"/>
          <w:szCs w:val="21"/>
          <w:vertAlign w:val="superscript"/>
          <w:lang w:val="en-US" w:eastAsia="zh-CN"/>
        </w:rPr>
        <w:t>2</w:t>
      </w:r>
    </w:p>
    <w:tbl>
      <w:tblPr>
        <w:tblStyle w:val="24"/>
        <w:tblW w:w="834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15" w:type="dxa"/>
          <w:left w:w="15" w:type="dxa"/>
          <w:bottom w:w="15" w:type="dxa"/>
          <w:right w:w="15" w:type="dxa"/>
        </w:tblCellMar>
      </w:tblPr>
      <w:tblGrid>
        <w:gridCol w:w="1622"/>
        <w:gridCol w:w="2194"/>
        <w:gridCol w:w="2193"/>
        <w:gridCol w:w="2333"/>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15" w:type="dxa"/>
            <w:left w:w="15" w:type="dxa"/>
            <w:bottom w:w="15" w:type="dxa"/>
            <w:right w:w="15" w:type="dxa"/>
          </w:tblCellMar>
        </w:tblPrEx>
        <w:trPr>
          <w:trHeight w:val="90"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地块编号</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面积</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用地功能</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用地分类</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05"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117703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47387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46876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科研用地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7033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46297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科研用地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8056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44826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13108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71011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9556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4591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10555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10815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交通场站用地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61129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48593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27724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124934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41127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3098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10688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5667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水域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85308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59440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7290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2693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水域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1933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83266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9360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05"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3835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公用交通场站用地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8891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公用交通场站用地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197987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Ⅱ类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一类物流仓储用地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21578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防护绿地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72910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11801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7173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水域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45607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中小学用地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10228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7270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16671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4192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20244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1698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26098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3098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51973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2739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48135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2127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4700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消防用地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9744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24766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14408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5353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58414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7735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3765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18995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交通枢纽用地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8646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2319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加油加气站用地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4118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7240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59979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17584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14887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90548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9843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7529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水域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4978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76416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12772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13509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社会福利用地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32369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66886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14819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64889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中小学用地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67657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16571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防护绿地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119900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100925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9798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公共交通场站用地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公共交通场站用地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3905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110159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25466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中小学用地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3699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水域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3170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100345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12818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环卫用地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22171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社会福利用地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46933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40905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43004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医疗卫生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3771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34959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1986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2592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水域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1640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33537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2677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6816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水域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4591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41324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39539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2438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水域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2947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34469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91753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9461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7493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2949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15063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31216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20235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4678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其它服务设施用地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35430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19585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16687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5048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120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8066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121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60634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122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7703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123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3757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124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5076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125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8370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126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14219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127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3756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水域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128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3070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129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25979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130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15127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131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88223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132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7311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133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4351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134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2653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135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4656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136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8403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137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143908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138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4039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中等专业学校用地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139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9572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Ⅱ类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一类物流仓储用地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9019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17617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168262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14061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防护绿地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149090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65367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中等专业学校用地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22085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2450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22759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中等专业学校用地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2113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2595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27000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45322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15869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居住兼容商业</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3011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其它服务设施用地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6010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3269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305"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34339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2802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17202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23061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8909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1017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572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水域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5909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54281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5995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15441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4220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水域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8430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170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11887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171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23057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商业兼容居住</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172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29479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173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91554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174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5701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175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18235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176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50321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177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3135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178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75664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179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3465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9777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居住兼容商业</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3194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加油加气站用地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3992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3473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1138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42807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576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广场用地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2407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39790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商业兼容居住</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1644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190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2089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居住兼容商业</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191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3725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192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4116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193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4506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194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5607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195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1472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居住兼容商业</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196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24452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197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7096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198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5050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199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2014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2716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2692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1537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38763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居住兼容商业</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6915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99729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9297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4443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18263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医疗卫生用地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3332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210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41760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211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82945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212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7413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213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5030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水域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214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5135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215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1563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216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4534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217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31985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商业兼容居住</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218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6214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219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16264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中小学用地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220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4051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221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1120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水域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222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38237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223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4119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交通场站用地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224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19894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225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34281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医疗卫生用地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226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64542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227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59622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商业兼容居住</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228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15826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229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19050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230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9591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231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7911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232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82641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中小学用地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233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14853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234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84557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235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12762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236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20279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237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5938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238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3907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239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15083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商业兼容居住</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240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30555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241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116281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242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60556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243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2729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广场用地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244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1146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宗教用地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245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41668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246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4576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247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18802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248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1883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249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10983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250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1394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251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5977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252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20616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253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7888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254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2816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255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1307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256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5771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居住兼容商业</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257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7422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258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49017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259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40247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3895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2179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1460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70891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2267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中等专业学校用地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2830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2503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7923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18853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5796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商业兼容居住</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270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6095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271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4324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广场用地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272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3800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273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1470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274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1351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275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30863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276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3341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277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4765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278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3678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279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1377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280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11208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广场用地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281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7811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282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6415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283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2075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284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5481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商业兼容居住</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285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5574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商业兼容居住</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286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7789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287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860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288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1338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289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10119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商业兼容居住</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290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2594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291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16589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292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1206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293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8211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294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5760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295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1855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296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17617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297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2634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298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38873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299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14861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商业兼容居住</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300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2062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301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13812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中小学用地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302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2075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文化设施用地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303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13673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文物古迹用地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304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38832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中小学用地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305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2896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306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75409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307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1672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行政办公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308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16613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商业兼容居住</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309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7728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310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5595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311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58902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中等专业学校用地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312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4475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313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2108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水域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314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13464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中小学用地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315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2399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316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4722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317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8568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318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121583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319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11008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320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998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水域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321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9864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322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23046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323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14062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324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51855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商业兼容居住</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325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16399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326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7605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327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1782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水域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328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8525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329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107679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330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12153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331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77947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广场用地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332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54408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文化设施用地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333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57636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334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16544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335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60980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336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38328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337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90151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338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5531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中等专业学校用地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339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6278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公共设施用地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340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19071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341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1770027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文物古迹用地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342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3193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343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79252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344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35588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体育用地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345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5392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346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106843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347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10705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348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12152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349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83214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350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10791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351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18313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352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16593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353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1111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交通场站用地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354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9223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355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25523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中小学用地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356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105802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357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11963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358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18057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文化活动用地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359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53107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360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14063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社会福利用地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361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2577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交通场站用地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362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32317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中小学用地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363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7624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364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9939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365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3633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水域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366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11727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367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30301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368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28661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369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94429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370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17634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371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86283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372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24896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医疗卫生用地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373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19669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374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109329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375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9600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公共交通场站用地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376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7943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377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21771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医疗卫生用地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378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152103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379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11580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380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10847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381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8896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广场用地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382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150987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体育用地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383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37523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384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64420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水域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385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16480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386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26237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387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38245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388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25247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389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105425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中等专业学校用地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390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7137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中等专业学校用地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391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11888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防护绿地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392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9448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393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4835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394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5273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水域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395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1119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396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146180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397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15872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防护绿地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398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2428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水域</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399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5821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400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5548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防护绿地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401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104954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商业兼容居住</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402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67919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403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5514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404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178555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防护绿地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405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rPr>
            </w:pPr>
            <w:r>
              <w:rPr>
                <w:rFonts w:hint="eastAsia" w:ascii="宋体" w:hAnsi="宋体" w:eastAsia="宋体" w:cs="宋体"/>
                <w:i w:val="0"/>
                <w:color w:val="000000"/>
                <w:sz w:val="24"/>
                <w:szCs w:val="24"/>
                <w:u w:val="none"/>
                <w:lang w:val="en-US" w:eastAsia="zh-CN"/>
              </w:rPr>
              <w:t>237374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公园绿地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406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150500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居住兼容商业</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407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65376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408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4165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供燃气用地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409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14187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中小学用地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410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23896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中小学用地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411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562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交通场站用地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412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7181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90"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413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25571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商业金融</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414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24791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415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13743</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416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12158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中小学用地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sz w:val="24"/>
                <w:szCs w:val="24"/>
                <w:highlight w:val="none"/>
                <w:u w:val="none"/>
                <w:lang w:val="en-US" w:eastAsia="zh-CN"/>
              </w:rPr>
              <w:t>417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sz w:val="24"/>
                <w:szCs w:val="24"/>
                <w:highlight w:val="none"/>
                <w:u w:val="none"/>
                <w:lang w:val="en-US" w:eastAsia="zh-CN"/>
              </w:rPr>
              <w:t>14271</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sz w:val="24"/>
                <w:szCs w:val="24"/>
                <w:highlight w:val="none"/>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sz w:val="24"/>
                <w:szCs w:val="24"/>
                <w:highlight w:val="none"/>
                <w:u w:val="none"/>
                <w:lang w:val="en-US" w:eastAsia="zh-CN"/>
              </w:rPr>
              <w:t>中小学用地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418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58408</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防护绿地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419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78762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防护绿地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420</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57474</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Ⅰ类</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居住用地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421</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139166</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防护绿地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422</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61999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消防用地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423</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62960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防护绿地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424</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16225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供电用地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425</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18497</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供热用地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426</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14780</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消防用地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427</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31329</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供水用地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428</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4892</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供气用地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15" w:type="dxa"/>
            <w:left w:w="15" w:type="dxa"/>
            <w:bottom w:w="15" w:type="dxa"/>
            <w:right w:w="15" w:type="dxa"/>
          </w:tblCellMar>
        </w:tblPrEx>
        <w:trPr>
          <w:trHeight w:val="271" w:hRule="atLeast"/>
          <w:jc w:val="center"/>
        </w:trPr>
        <w:tc>
          <w:tcPr>
            <w:tcW w:w="162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429</w:t>
            </w:r>
          </w:p>
        </w:tc>
        <w:tc>
          <w:tcPr>
            <w:tcW w:w="2194"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58625</w:t>
            </w:r>
          </w:p>
        </w:tc>
        <w:tc>
          <w:tcPr>
            <w:tcW w:w="219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其他</w:t>
            </w:r>
          </w:p>
        </w:tc>
        <w:tc>
          <w:tcPr>
            <w:tcW w:w="23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居住兼容商业</w:t>
            </w:r>
          </w:p>
        </w:tc>
      </w:tr>
    </w:tbl>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r>
        <w:rPr>
          <w:rFonts w:hint="eastAsia" w:ascii="Times New Roman" w:hAnsi="Times New Roman" w:cs="Times New Roman" w:eastAsiaTheme="minorEastAsia"/>
          <w:lang w:val="en-US" w:eastAsia="zh-CN"/>
        </w:rPr>
        <w:drawing>
          <wp:anchor distT="0" distB="0" distL="114300" distR="114300" simplePos="0" relativeHeight="251995136" behindDoc="1" locked="0" layoutInCell="1" allowOverlap="1">
            <wp:simplePos x="0" y="0"/>
            <wp:positionH relativeFrom="column">
              <wp:posOffset>-565785</wp:posOffset>
            </wp:positionH>
            <wp:positionV relativeFrom="paragraph">
              <wp:posOffset>-227330</wp:posOffset>
            </wp:positionV>
            <wp:extent cx="6323330" cy="8941435"/>
            <wp:effectExtent l="0" t="0" r="1270" b="12065"/>
            <wp:wrapNone/>
            <wp:docPr id="17" name="图片 17" descr="附图6曲沃县城市区域土地利用类型图"/>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17" descr="附图6曲沃县城市区域土地利用类型图"/>
                    <pic:cNvPicPr>
                      <a:picLocks noChangeAspect="true"/>
                    </pic:cNvPicPr>
                  </pic:nvPicPr>
                  <pic:blipFill>
                    <a:blip r:embed="rId52"/>
                    <a:stretch>
                      <a:fillRect/>
                    </a:stretch>
                  </pic:blipFill>
                  <pic:spPr>
                    <a:xfrm>
                      <a:off x="0" y="0"/>
                      <a:ext cx="6323330" cy="8941435"/>
                    </a:xfrm>
                    <a:prstGeom prst="rect">
                      <a:avLst/>
                    </a:prstGeom>
                  </pic:spPr>
                </pic:pic>
              </a:graphicData>
            </a:graphic>
          </wp:anchor>
        </w:drawing>
      </w: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outlineLvl w:val="9"/>
        <w:rPr>
          <w:rFonts w:hint="eastAsia" w:ascii="Times New Roman" w:hAnsi="Times New Roman" w:cs="Times New Roman" w:eastAsiaTheme="minorEastAsia"/>
          <w:lang w:val="en-US" w:eastAsia="zh-CN"/>
        </w:rPr>
      </w:pPr>
    </w:p>
    <w:p>
      <w:pPr>
        <w:numPr>
          <w:ilvl w:val="3"/>
          <w:numId w:val="0"/>
        </w:numPr>
        <w:snapToGrid w:val="0"/>
        <w:ind w:leftChars="0"/>
        <w:jc w:val="center"/>
        <w:outlineLvl w:val="9"/>
        <w:rPr>
          <w:rFonts w:hint="eastAsia" w:ascii="Times New Roman" w:hAnsi="Times New Roman" w:cs="Times New Roman" w:eastAsiaTheme="minorEastAsia"/>
          <w:b/>
          <w:bCs/>
          <w:lang w:val="en-US" w:eastAsia="zh-CN"/>
        </w:rPr>
      </w:pPr>
      <w:r>
        <w:rPr>
          <w:rFonts w:hint="eastAsia" w:cs="Times New Roman" w:eastAsiaTheme="minorEastAsia"/>
          <w:b/>
          <w:bCs/>
          <w:lang w:val="en-US" w:eastAsia="zh-CN"/>
        </w:rPr>
        <w:t xml:space="preserve">图5-1  </w:t>
      </w:r>
      <w:r>
        <w:rPr>
          <w:rFonts w:hint="eastAsia" w:ascii="Times New Roman" w:hAnsi="Times New Roman" w:cs="Times New Roman" w:eastAsiaTheme="minorEastAsia"/>
          <w:b/>
          <w:bCs/>
          <w:lang w:val="en-US" w:eastAsia="zh-CN"/>
        </w:rPr>
        <w:t>曲沃县城市区域土地利用类型图</w:t>
      </w:r>
    </w:p>
    <w:p>
      <w:pPr>
        <w:pStyle w:val="5"/>
        <w:numPr>
          <w:ilvl w:val="3"/>
          <w:numId w:val="0"/>
        </w:numPr>
        <w:snapToGrid w:val="0"/>
        <w:ind w:leftChars="0"/>
        <w:rPr>
          <w:rFonts w:hint="eastAsia" w:ascii="Times New Roman" w:hAnsi="Times New Roman" w:cs="Times New Roman" w:eastAsiaTheme="minorEastAsia"/>
        </w:rPr>
      </w:pPr>
      <w:r>
        <w:rPr>
          <w:rFonts w:hint="eastAsia" w:ascii="Times New Roman" w:hAnsi="Times New Roman" w:cs="Times New Roman" w:eastAsiaTheme="minorEastAsia"/>
          <w:lang w:val="en-US" w:eastAsia="zh-CN"/>
        </w:rPr>
        <w:t>5.5.1.2</w:t>
      </w:r>
      <w:r>
        <w:rPr>
          <w:rFonts w:hint="eastAsia" w:ascii="Times New Roman" w:hAnsi="Times New Roman" w:cs="Times New Roman" w:eastAsiaTheme="minorEastAsia"/>
        </w:rPr>
        <w:t>划分单元，明确单元区划类型</w:t>
      </w:r>
    </w:p>
    <w:p>
      <w:pPr>
        <w:spacing w:beforeLines="0" w:afterLines="0"/>
        <w:jc w:val="left"/>
        <w:rPr>
          <w:rFonts w:hint="default" w:ascii="Times New Roman" w:hAnsi="Times New Roman" w:cs="Times New Roman" w:eastAsiaTheme="minorEastAsia"/>
          <w:color w:val="auto"/>
          <w:sz w:val="24"/>
          <w:szCs w:val="24"/>
          <w:highlight w:val="red"/>
        </w:rPr>
      </w:pPr>
      <w:r>
        <w:rPr>
          <w:rFonts w:hint="eastAsia" w:ascii="宋体" w:hAnsi="宋体" w:eastAsia="宋体"/>
          <w:sz w:val="24"/>
        </w:rPr>
        <w:t>根据</w:t>
      </w:r>
      <w:r>
        <w:rPr>
          <w:rFonts w:hint="eastAsia" w:ascii="宋体" w:hAnsi="宋体" w:eastAsia="宋体"/>
          <w:sz w:val="24"/>
          <w:lang w:val="en-US" w:eastAsia="zh-CN"/>
        </w:rPr>
        <w:t>曲沃县</w:t>
      </w:r>
      <w:r>
        <w:rPr>
          <w:rFonts w:hint="eastAsia" w:ascii="宋体" w:hAnsi="宋体" w:eastAsia="宋体"/>
          <w:sz w:val="24"/>
        </w:rPr>
        <w:t>城市区域各个地块的用地类型对照结果，以</w:t>
      </w:r>
      <w:r>
        <w:rPr>
          <w:rFonts w:hint="eastAsia" w:ascii="MS-PGothic" w:hAnsi="MS-PGothic" w:eastAsia="MS-PGothic"/>
          <w:sz w:val="24"/>
        </w:rPr>
        <w:t>Ⅰ</w:t>
      </w:r>
      <w:r>
        <w:rPr>
          <w:rFonts w:hint="eastAsia" w:ascii="宋体" w:hAnsi="宋体" w:eastAsia="宋体"/>
          <w:sz w:val="24"/>
        </w:rPr>
        <w:t>类、</w:t>
      </w:r>
      <w:r>
        <w:rPr>
          <w:rFonts w:hint="eastAsia" w:ascii="MS-PGothic" w:hAnsi="MS-PGothic" w:eastAsia="MS-PGothic"/>
          <w:sz w:val="24"/>
        </w:rPr>
        <w:t>Ⅱ</w:t>
      </w:r>
      <w:r>
        <w:rPr>
          <w:rFonts w:hint="eastAsia" w:ascii="宋体" w:hAnsi="宋体" w:eastAsia="宋体"/>
          <w:sz w:val="24"/>
        </w:rPr>
        <w:t>类用地面积、分布情</w:t>
      </w:r>
      <w:r>
        <w:rPr>
          <w:rFonts w:hint="eastAsia" w:ascii="宋体" w:hAnsi="宋体" w:eastAsia="宋体"/>
          <w:sz w:val="24"/>
          <w:highlight w:val="none"/>
          <w:lang w:val="en-US" w:eastAsia="zh-CN"/>
        </w:rPr>
        <w:t>况为依据，结合地块周边明显的道路、绿地、沟壑等线状地物，将曲沃县中心城区初步划分为79个声功能区划单元，编号为</w:t>
      </w:r>
      <w:r>
        <w:rPr>
          <w:rFonts w:hint="default" w:ascii="宋体" w:hAnsi="宋体" w:eastAsia="宋体"/>
          <w:sz w:val="24"/>
          <w:highlight w:val="none"/>
          <w:lang w:val="en-US" w:eastAsia="zh-CN"/>
        </w:rPr>
        <w:t>1</w:t>
      </w:r>
      <w:r>
        <w:rPr>
          <w:rFonts w:hint="eastAsia" w:ascii="宋体" w:hAnsi="宋体" w:eastAsia="宋体"/>
          <w:sz w:val="24"/>
          <w:highlight w:val="none"/>
          <w:lang w:val="en-US" w:eastAsia="zh-CN"/>
        </w:rPr>
        <w:t>—79。</w:t>
      </w:r>
    </w:p>
    <w:p>
      <w:pPr>
        <w:spacing w:beforeLines="0" w:afterLines="0"/>
        <w:jc w:val="left"/>
        <w:rPr>
          <w:rFonts w:hint="eastAsia" w:ascii="宋体" w:hAnsi="宋体" w:eastAsia="宋体"/>
          <w:sz w:val="24"/>
          <w:highlight w:val="none"/>
          <w:lang w:val="en-US" w:eastAsia="zh-CN"/>
        </w:rPr>
      </w:pPr>
      <w:r>
        <w:rPr>
          <w:rFonts w:hint="eastAsia" w:ascii="宋体" w:hAnsi="宋体" w:eastAsia="宋体"/>
          <w:sz w:val="24"/>
          <w:highlight w:val="none"/>
          <w:lang w:val="en-US" w:eastAsia="zh-CN"/>
        </w:rPr>
        <w:t>根据《声环境功能区划分技术规范》中</w:t>
      </w:r>
      <w:r>
        <w:rPr>
          <w:rFonts w:hint="default" w:ascii="宋体" w:hAnsi="宋体" w:eastAsia="宋体"/>
          <w:sz w:val="24"/>
          <w:highlight w:val="none"/>
          <w:lang w:val="en-US" w:eastAsia="zh-CN"/>
        </w:rPr>
        <w:t>8.2.1</w:t>
      </w:r>
      <w:r>
        <w:rPr>
          <w:rFonts w:hint="eastAsia" w:ascii="宋体" w:hAnsi="宋体" w:eastAsia="宋体"/>
          <w:sz w:val="24"/>
          <w:highlight w:val="none"/>
          <w:lang w:val="en-US" w:eastAsia="zh-CN"/>
        </w:rPr>
        <w:t>规定，</w:t>
      </w:r>
      <w:r>
        <w:rPr>
          <w:rFonts w:hint="default" w:ascii="宋体" w:hAnsi="宋体" w:eastAsia="宋体"/>
          <w:sz w:val="24"/>
          <w:highlight w:val="none"/>
          <w:lang w:val="en-US" w:eastAsia="zh-CN"/>
        </w:rPr>
        <w:t>0</w:t>
      </w:r>
      <w:r>
        <w:rPr>
          <w:rFonts w:hint="eastAsia" w:ascii="宋体" w:hAnsi="宋体" w:eastAsia="宋体"/>
          <w:sz w:val="24"/>
          <w:highlight w:val="none"/>
          <w:lang w:val="en-US" w:eastAsia="zh-CN"/>
        </w:rPr>
        <w:t>类声环境功能区适用于特别需要安静的疗养区等特别需要安静的区域，区域内及附近区域应无明显噪声源，区域界线明确的可直接划为</w:t>
      </w:r>
      <w:r>
        <w:rPr>
          <w:rFonts w:hint="default" w:ascii="宋体" w:hAnsi="宋体" w:eastAsia="宋体"/>
          <w:sz w:val="24"/>
          <w:highlight w:val="none"/>
          <w:lang w:val="en-US" w:eastAsia="zh-CN"/>
        </w:rPr>
        <w:t>0</w:t>
      </w:r>
      <w:r>
        <w:rPr>
          <w:rFonts w:hint="eastAsia" w:ascii="宋体" w:hAnsi="宋体" w:eastAsia="宋体"/>
          <w:sz w:val="24"/>
          <w:highlight w:val="none"/>
          <w:lang w:val="en-US" w:eastAsia="zh-CN"/>
        </w:rPr>
        <w:t>类声环境功能区。对比曲沃县中心城区建设现状及总体规划，曲沃县中心城区内无特别需要安静的疗养区、高级宾馆和别墅区，因此不做0类区的划分。</w:t>
      </w:r>
    </w:p>
    <w:p>
      <w:pPr>
        <w:spacing w:beforeLines="0" w:afterLines="0"/>
        <w:jc w:val="left"/>
        <w:rPr>
          <w:rFonts w:hint="eastAsia" w:ascii="宋体" w:hAnsi="宋体" w:eastAsia="宋体"/>
          <w:sz w:val="24"/>
          <w:highlight w:val="none"/>
          <w:lang w:val="en-US" w:eastAsia="zh-CN"/>
        </w:rPr>
      </w:pPr>
      <w:r>
        <w:rPr>
          <w:rFonts w:hint="eastAsia" w:ascii="宋体" w:hAnsi="宋体" w:eastAsia="宋体"/>
          <w:sz w:val="24"/>
          <w:highlight w:val="none"/>
          <w:lang w:val="en-US" w:eastAsia="zh-CN"/>
        </w:rPr>
        <w:t>根据《曲沃县县城总体规划（2014</w:t>
      </w:r>
      <w:r>
        <w:rPr>
          <w:rFonts w:hint="eastAsia" w:ascii="宋体" w:hAnsi="宋体" w:eastAsia="宋体" w:cs="宋体"/>
          <w:sz w:val="24"/>
          <w:highlight w:val="none"/>
          <w:lang w:val="en-US" w:eastAsia="zh-CN"/>
        </w:rPr>
        <w:t>－</w:t>
      </w:r>
      <w:r>
        <w:rPr>
          <w:rFonts w:hint="eastAsia" w:ascii="宋体" w:hAnsi="宋体" w:eastAsia="宋体"/>
          <w:sz w:val="24"/>
          <w:highlight w:val="none"/>
          <w:lang w:val="en-US" w:eastAsia="zh-CN"/>
        </w:rPr>
        <w:t>2030）》，结合总体规划图可以看出，曲沃县中心城区79个声功能区划单元土地利用类型混合且地块破碎，居住区、文教区布局分散，商业区大多为沿街设置，且与居住区、文教区及其他机关事业单元混杂于一起，大多数单元不能按照直接划分法进行划分，因此按照声功能区划方法中的用地比例统计法，通过分别统计其Ⅰ类用地、Ⅱ类用地占地率，根据《声环境功能区划分技术规范》</w:t>
      </w:r>
      <w:r>
        <w:rPr>
          <w:rFonts w:hint="default" w:ascii="宋体" w:hAnsi="宋体" w:eastAsia="宋体"/>
          <w:sz w:val="24"/>
          <w:highlight w:val="none"/>
          <w:lang w:val="en-US" w:eastAsia="zh-CN"/>
        </w:rPr>
        <w:t>8.2</w:t>
      </w:r>
      <w:r>
        <w:rPr>
          <w:rFonts w:hint="eastAsia" w:ascii="宋体" w:hAnsi="宋体" w:eastAsia="宋体"/>
          <w:sz w:val="24"/>
          <w:highlight w:val="none"/>
          <w:lang w:val="en-US" w:eastAsia="zh-CN"/>
        </w:rPr>
        <w:t>的区划方法来确定噪声单元区划类型。具体划分结果见表</w:t>
      </w:r>
      <w:r>
        <w:rPr>
          <w:rFonts w:hint="default" w:ascii="宋体" w:hAnsi="宋体" w:eastAsia="宋体"/>
          <w:sz w:val="24"/>
          <w:highlight w:val="none"/>
          <w:lang w:val="en-US" w:eastAsia="zh-CN"/>
        </w:rPr>
        <w:t>5-</w:t>
      </w:r>
      <w:r>
        <w:rPr>
          <w:rFonts w:hint="eastAsia" w:ascii="宋体" w:hAnsi="宋体" w:eastAsia="宋体"/>
          <w:sz w:val="24"/>
          <w:highlight w:val="none"/>
          <w:lang w:val="en-US" w:eastAsia="zh-CN"/>
        </w:rPr>
        <w:t>5。</w:t>
      </w:r>
    </w:p>
    <w:p>
      <w:pPr>
        <w:pStyle w:val="23"/>
        <w:rPr>
          <w:rFonts w:hint="eastAsia" w:ascii="宋体" w:hAnsi="宋体" w:eastAsia="宋体"/>
          <w:sz w:val="24"/>
          <w:highlight w:val="none"/>
          <w:lang w:val="en-US" w:eastAsia="zh-CN"/>
        </w:rPr>
        <w:sectPr>
          <w:pgSz w:w="11906" w:h="16838"/>
          <w:pgMar w:top="1440" w:right="1797" w:bottom="1440" w:left="1797" w:header="851" w:footer="992" w:gutter="0"/>
          <w:pgBorders>
            <w:top w:val="none" w:sz="0" w:space="0"/>
            <w:left w:val="none" w:sz="0" w:space="0"/>
            <w:bottom w:val="none" w:sz="0" w:space="0"/>
            <w:right w:val="none" w:sz="0" w:space="0"/>
          </w:pgBorders>
          <w:pgNumType w:fmt="decimal"/>
          <w:cols w:space="425" w:num="1"/>
          <w:docGrid w:type="lines" w:linePitch="381" w:charSpace="0"/>
        </w:sect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default" w:ascii="Times New Roman" w:hAnsi="Times New Roman" w:cs="Times New Roman" w:eastAsiaTheme="minorEastAsia"/>
          <w:b/>
          <w:bCs/>
          <w:color w:val="auto"/>
          <w:sz w:val="21"/>
          <w:szCs w:val="21"/>
          <w:lang w:val="en-US" w:eastAsia="zh-CN"/>
        </w:rPr>
        <w:t>表 5-</w:t>
      </w:r>
      <w:r>
        <w:rPr>
          <w:rFonts w:hint="eastAsia" w:ascii="Times New Roman" w:hAnsi="Times New Roman" w:cs="Times New Roman" w:eastAsiaTheme="minorEastAsia"/>
          <w:b/>
          <w:bCs/>
          <w:color w:val="auto"/>
          <w:sz w:val="21"/>
          <w:szCs w:val="21"/>
          <w:lang w:val="en-US" w:eastAsia="zh-CN"/>
        </w:rPr>
        <w:t xml:space="preserve">4   </w:t>
      </w:r>
      <w:r>
        <w:rPr>
          <w:rFonts w:hint="default" w:ascii="Times New Roman" w:hAnsi="Times New Roman" w:cs="Times New Roman" w:eastAsiaTheme="minorEastAsia"/>
          <w:b/>
          <w:bCs/>
          <w:color w:val="auto"/>
          <w:sz w:val="21"/>
          <w:szCs w:val="21"/>
          <w:lang w:val="en-US" w:eastAsia="zh-CN"/>
        </w:rPr>
        <w:t>曲沃县</w:t>
      </w:r>
      <w:r>
        <w:rPr>
          <w:rFonts w:hint="eastAsia" w:ascii="Times New Roman" w:hAnsi="Times New Roman" w:cs="Times New Roman" w:eastAsiaTheme="minorEastAsia"/>
          <w:b/>
          <w:bCs/>
          <w:color w:val="auto"/>
          <w:sz w:val="21"/>
          <w:szCs w:val="21"/>
          <w:lang w:val="en-US" w:eastAsia="zh-CN"/>
        </w:rPr>
        <w:t>各噪声单元划分汇总表</w:t>
      </w:r>
    </w:p>
    <w:tbl>
      <w:tblPr>
        <w:tblStyle w:val="25"/>
        <w:tblW w:w="1417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2"/>
        <w:gridCol w:w="1275"/>
        <w:gridCol w:w="1335"/>
        <w:gridCol w:w="1305"/>
        <w:gridCol w:w="1425"/>
        <w:gridCol w:w="1410"/>
        <w:gridCol w:w="1455"/>
        <w:gridCol w:w="1260"/>
        <w:gridCol w:w="375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单元号</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单元面积</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包含地块</w:t>
            </w:r>
          </w:p>
        </w:tc>
        <w:tc>
          <w:tcPr>
            <w:tcW w:w="130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地块面积</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用地分类</w:t>
            </w:r>
          </w:p>
        </w:tc>
        <w:tc>
          <w:tcPr>
            <w:tcW w:w="141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cs="Times New Roman" w:eastAsiaTheme="minorEastAsia"/>
                <w:b/>
                <w:bCs/>
                <w:color w:val="auto"/>
                <w:sz w:val="24"/>
                <w:szCs w:val="24"/>
                <w:vertAlign w:val="baseline"/>
                <w:lang w:val="en-US" w:eastAsia="zh-CN"/>
              </w:rPr>
              <w:t>I 类用地</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cs="Times New Roman" w:eastAsiaTheme="minorEastAsia"/>
                <w:b/>
                <w:bCs/>
                <w:color w:val="auto"/>
                <w:sz w:val="24"/>
                <w:szCs w:val="24"/>
                <w:vertAlign w:val="baseline"/>
                <w:lang w:val="en-US" w:eastAsia="zh-CN"/>
              </w:rPr>
              <w:t>比例（%）</w:t>
            </w:r>
          </w:p>
        </w:tc>
        <w:tc>
          <w:tcPr>
            <w:tcW w:w="14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cs="Times New Roman" w:eastAsiaTheme="minorEastAsia"/>
                <w:b/>
                <w:bCs/>
                <w:color w:val="auto"/>
                <w:sz w:val="24"/>
                <w:szCs w:val="24"/>
                <w:vertAlign w:val="baseline"/>
                <w:lang w:val="en-US" w:eastAsia="zh-CN"/>
              </w:rPr>
              <w:t>II 类用地</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cs="Times New Roman" w:eastAsiaTheme="minorEastAsia"/>
                <w:b/>
                <w:bCs/>
                <w:color w:val="auto"/>
                <w:sz w:val="24"/>
                <w:szCs w:val="24"/>
                <w:vertAlign w:val="baseline"/>
                <w:lang w:val="en-US" w:eastAsia="zh-CN"/>
              </w:rPr>
              <w:t>比例（%）</w:t>
            </w:r>
          </w:p>
        </w:tc>
        <w:tc>
          <w:tcPr>
            <w:tcW w:w="126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cs="Times New Roman" w:eastAsiaTheme="minorEastAsia"/>
                <w:b/>
                <w:bCs/>
                <w:color w:val="auto"/>
                <w:sz w:val="24"/>
                <w:szCs w:val="24"/>
                <w:vertAlign w:val="baseline"/>
                <w:lang w:val="en-US" w:eastAsia="zh-CN"/>
              </w:rPr>
              <w:t>初步确定单元类型</w:t>
            </w:r>
          </w:p>
        </w:tc>
        <w:tc>
          <w:tcPr>
            <w:tcW w:w="375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单元边界范围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117703</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117703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cs="Times New Roman" w:eastAsiaTheme="minorEastAsia"/>
                <w:b w:val="0"/>
                <w:bCs w:val="0"/>
                <w:color w:val="auto"/>
                <w:sz w:val="24"/>
                <w:szCs w:val="24"/>
                <w:vertAlign w:val="baseline"/>
                <w:lang w:val="en-US" w:eastAsia="zh-CN"/>
              </w:rPr>
              <w:t>Ⅰ类</w:t>
            </w:r>
          </w:p>
        </w:tc>
        <w:tc>
          <w:tcPr>
            <w:tcW w:w="141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100</w:t>
            </w:r>
          </w:p>
        </w:tc>
        <w:tc>
          <w:tcPr>
            <w:tcW w:w="14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cs="Times New Roman" w:eastAsiaTheme="minorEastAsia"/>
                <w:b w:val="0"/>
                <w:bCs w:val="0"/>
                <w:color w:val="auto"/>
                <w:sz w:val="24"/>
                <w:szCs w:val="24"/>
                <w:vertAlign w:val="baseline"/>
                <w:lang w:val="en-US" w:eastAsia="zh-CN"/>
              </w:rPr>
              <w:t>Ⅰ类</w:t>
            </w:r>
            <w:r>
              <w:rPr>
                <w:rFonts w:hint="eastAsia" w:cs="Times New Roman" w:eastAsiaTheme="minorEastAsia"/>
                <w:b w:val="0"/>
                <w:bCs w:val="0"/>
                <w:color w:val="auto"/>
                <w:sz w:val="24"/>
                <w:szCs w:val="24"/>
                <w:vertAlign w:val="baseline"/>
                <w:lang w:val="en-US" w:eastAsia="zh-CN"/>
              </w:rPr>
              <w:t>区</w:t>
            </w:r>
          </w:p>
        </w:tc>
        <w:tc>
          <w:tcPr>
            <w:tcW w:w="3757"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北至规划一街，东至规划一路，</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南至城北大街，西至规划边界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101296</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47387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2"/>
                <w:sz w:val="24"/>
                <w:szCs w:val="24"/>
                <w:u w:val="none"/>
                <w:lang w:val="en-US" w:eastAsia="zh-CN" w:bidi="ar-SA"/>
              </w:rPr>
            </w:pPr>
            <w:r>
              <w:rPr>
                <w:rFonts w:hint="default" w:cs="Times New Roman" w:eastAsiaTheme="minorEastAsia"/>
                <w:b w:val="0"/>
                <w:bCs w:val="0"/>
                <w:color w:val="auto"/>
                <w:sz w:val="24"/>
                <w:szCs w:val="24"/>
                <w:vertAlign w:val="baseline"/>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100</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r>
              <w:rPr>
                <w:rFonts w:hint="default" w:cs="Times New Roman" w:eastAsiaTheme="minorEastAsia"/>
                <w:b w:val="0"/>
                <w:bCs w:val="0"/>
                <w:color w:val="auto"/>
                <w:sz w:val="24"/>
                <w:szCs w:val="24"/>
                <w:vertAlign w:val="baseline"/>
                <w:lang w:val="en-US" w:eastAsia="zh-CN"/>
              </w:rPr>
              <w:t>Ⅰ类</w:t>
            </w:r>
            <w:r>
              <w:rPr>
                <w:rFonts w:hint="eastAsia" w:cs="Times New Roman" w:eastAsiaTheme="minorEastAsia"/>
                <w:b w:val="0"/>
                <w:bCs w:val="0"/>
                <w:color w:val="auto"/>
                <w:sz w:val="24"/>
                <w:szCs w:val="24"/>
                <w:vertAlign w:val="baseline"/>
                <w:lang w:val="en-US" w:eastAsia="zh-CN"/>
              </w:rPr>
              <w:t>区</w:t>
            </w:r>
          </w:p>
        </w:tc>
        <w:tc>
          <w:tcPr>
            <w:tcW w:w="3757"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北至规划一街，东至城西路，</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南至城北大街，西至规划一路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46876</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2"/>
                <w:sz w:val="24"/>
                <w:szCs w:val="24"/>
                <w:u w:val="none"/>
                <w:lang w:val="en-US" w:eastAsia="zh-CN" w:bidi="ar-SA"/>
              </w:rPr>
            </w:pPr>
            <w:r>
              <w:rPr>
                <w:rFonts w:hint="default" w:cs="Times New Roman" w:eastAsiaTheme="minorEastAsia"/>
                <w:b w:val="0"/>
                <w:bCs w:val="0"/>
                <w:color w:val="auto"/>
                <w:sz w:val="24"/>
                <w:szCs w:val="24"/>
                <w:vertAlign w:val="baseline"/>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7033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2"/>
                <w:sz w:val="24"/>
                <w:szCs w:val="24"/>
                <w:u w:val="none"/>
                <w:lang w:val="en-US" w:eastAsia="zh-CN" w:bidi="ar-SA"/>
              </w:rPr>
            </w:pPr>
            <w:r>
              <w:rPr>
                <w:rFonts w:hint="default" w:cs="Times New Roman" w:eastAsiaTheme="minorEastAsia"/>
                <w:b w:val="0"/>
                <w:bCs w:val="0"/>
                <w:color w:val="auto"/>
                <w:sz w:val="24"/>
                <w:szCs w:val="24"/>
                <w:vertAlign w:val="baseline"/>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99179</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46297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2"/>
                <w:sz w:val="24"/>
                <w:szCs w:val="24"/>
                <w:u w:val="none"/>
                <w:lang w:val="en-US" w:eastAsia="zh-CN" w:bidi="ar-SA"/>
              </w:rPr>
            </w:pPr>
            <w:r>
              <w:rPr>
                <w:rFonts w:hint="default" w:cs="Times New Roman" w:eastAsiaTheme="minorEastAsia"/>
                <w:b w:val="0"/>
                <w:bCs w:val="0"/>
                <w:color w:val="auto"/>
                <w:sz w:val="24"/>
                <w:szCs w:val="24"/>
                <w:vertAlign w:val="baseline"/>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100</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r>
              <w:rPr>
                <w:rFonts w:hint="default" w:cs="Times New Roman" w:eastAsiaTheme="minorEastAsia"/>
                <w:b w:val="0"/>
                <w:bCs w:val="0"/>
                <w:color w:val="auto"/>
                <w:sz w:val="24"/>
                <w:szCs w:val="24"/>
                <w:vertAlign w:val="baseline"/>
                <w:lang w:val="en-US" w:eastAsia="zh-CN"/>
              </w:rPr>
              <w:t>Ⅰ类</w:t>
            </w:r>
            <w:r>
              <w:rPr>
                <w:rFonts w:hint="eastAsia" w:cs="Times New Roman" w:eastAsiaTheme="minorEastAsia"/>
                <w:b w:val="0"/>
                <w:bCs w:val="0"/>
                <w:color w:val="auto"/>
                <w:sz w:val="24"/>
                <w:szCs w:val="24"/>
                <w:vertAlign w:val="baseline"/>
                <w:lang w:val="en-US" w:eastAsia="zh-CN"/>
              </w:rPr>
              <w:t>区</w:t>
            </w:r>
          </w:p>
        </w:tc>
        <w:tc>
          <w:tcPr>
            <w:tcW w:w="3757"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北至规划一街，东至规划二路，</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南至城北大街，西至城西路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8056</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2"/>
                <w:sz w:val="24"/>
                <w:szCs w:val="24"/>
                <w:u w:val="none"/>
                <w:lang w:val="en-US" w:eastAsia="zh-CN" w:bidi="ar-SA"/>
              </w:rPr>
            </w:pPr>
            <w:r>
              <w:rPr>
                <w:rFonts w:hint="default" w:cs="Times New Roman" w:eastAsiaTheme="minorEastAsia"/>
                <w:b w:val="0"/>
                <w:bCs w:val="0"/>
                <w:color w:val="auto"/>
                <w:sz w:val="24"/>
                <w:szCs w:val="24"/>
                <w:vertAlign w:val="baseline"/>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44826</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2"/>
                <w:sz w:val="24"/>
                <w:szCs w:val="24"/>
                <w:u w:val="none"/>
                <w:lang w:val="en-US" w:eastAsia="zh-CN" w:bidi="ar-SA"/>
              </w:rPr>
            </w:pPr>
            <w:r>
              <w:rPr>
                <w:rFonts w:hint="default" w:cs="Times New Roman" w:eastAsiaTheme="minorEastAsia"/>
                <w:b w:val="0"/>
                <w:bCs w:val="0"/>
                <w:color w:val="auto"/>
                <w:sz w:val="24"/>
                <w:szCs w:val="24"/>
                <w:vertAlign w:val="baseline"/>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95713</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71011</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2"/>
                <w:sz w:val="24"/>
                <w:szCs w:val="24"/>
                <w:u w:val="none"/>
                <w:lang w:val="en-US" w:eastAsia="zh-CN" w:bidi="ar-SA"/>
              </w:rPr>
            </w:pPr>
            <w:r>
              <w:rPr>
                <w:rFonts w:hint="default" w:cs="Times New Roman" w:eastAsiaTheme="minorEastAsia"/>
                <w:b w:val="0"/>
                <w:bCs w:val="0"/>
                <w:color w:val="auto"/>
                <w:sz w:val="24"/>
                <w:szCs w:val="24"/>
                <w:vertAlign w:val="baseline"/>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88.97</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default" w:cs="Times New Roman" w:eastAsiaTheme="minorEastAsia"/>
                <w:b w:val="0"/>
                <w:bCs w:val="0"/>
                <w:color w:val="auto"/>
                <w:sz w:val="24"/>
                <w:szCs w:val="24"/>
                <w:vertAlign w:val="baseline"/>
                <w:lang w:val="en-US" w:eastAsia="zh-CN"/>
              </w:rPr>
              <w:t>Ⅰ类</w:t>
            </w:r>
            <w:r>
              <w:rPr>
                <w:rFonts w:hint="eastAsia" w:cs="Times New Roman" w:eastAsiaTheme="minorEastAsia"/>
                <w:b w:val="0"/>
                <w:bCs w:val="0"/>
                <w:color w:val="auto"/>
                <w:sz w:val="24"/>
                <w:szCs w:val="24"/>
                <w:vertAlign w:val="baseline"/>
                <w:lang w:val="en-US" w:eastAsia="zh-CN"/>
              </w:rPr>
              <w:t>区</w:t>
            </w:r>
          </w:p>
        </w:tc>
        <w:tc>
          <w:tcPr>
            <w:tcW w:w="3757"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北至规划一街，东至晋都北路，</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南至城北大街，西至规划二路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9556</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2"/>
                <w:sz w:val="24"/>
                <w:szCs w:val="24"/>
                <w:u w:val="none"/>
                <w:lang w:val="en-US" w:eastAsia="zh-CN" w:bidi="ar-SA"/>
              </w:rPr>
            </w:pPr>
            <w:r>
              <w:rPr>
                <w:rFonts w:hint="default" w:cs="Times New Roman" w:eastAsiaTheme="minorEastAsia"/>
                <w:b w:val="0"/>
                <w:bCs w:val="0"/>
                <w:color w:val="auto"/>
                <w:sz w:val="24"/>
                <w:szCs w:val="24"/>
                <w:vertAlign w:val="baseline"/>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4591</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2"/>
                <w:sz w:val="24"/>
                <w:szCs w:val="24"/>
                <w:u w:val="none"/>
                <w:lang w:val="en-US" w:eastAsia="zh-CN" w:bidi="ar-SA"/>
              </w:rPr>
            </w:pPr>
            <w:r>
              <w:rPr>
                <w:rFonts w:hint="default" w:cs="Times New Roman" w:eastAsiaTheme="minorEastAsia"/>
                <w:b w:val="0"/>
                <w:bCs w:val="0"/>
                <w:color w:val="auto"/>
                <w:sz w:val="24"/>
                <w:szCs w:val="24"/>
                <w:vertAlign w:val="baseline"/>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10555</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5</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104761</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3098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2"/>
                <w:sz w:val="24"/>
                <w:szCs w:val="24"/>
                <w:u w:val="none"/>
                <w:lang w:val="en-US" w:eastAsia="zh-CN" w:bidi="ar-SA"/>
              </w:rPr>
            </w:pPr>
            <w:r>
              <w:rPr>
                <w:rFonts w:hint="default" w:cs="Times New Roman" w:eastAsiaTheme="minorEastAsia"/>
                <w:b w:val="0"/>
                <w:bCs w:val="0"/>
                <w:color w:val="auto"/>
                <w:sz w:val="24"/>
                <w:szCs w:val="24"/>
                <w:vertAlign w:val="baseline"/>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94.59</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default" w:cs="Times New Roman" w:eastAsiaTheme="minorEastAsia"/>
                <w:b w:val="0"/>
                <w:bCs w:val="0"/>
                <w:color w:val="auto"/>
                <w:sz w:val="24"/>
                <w:szCs w:val="24"/>
                <w:vertAlign w:val="baseline"/>
                <w:lang w:val="en-US" w:eastAsia="zh-CN"/>
              </w:rPr>
              <w:t>Ⅰ类</w:t>
            </w:r>
            <w:r>
              <w:rPr>
                <w:rFonts w:hint="eastAsia" w:cs="Times New Roman" w:eastAsiaTheme="minorEastAsia"/>
                <w:b w:val="0"/>
                <w:bCs w:val="0"/>
                <w:color w:val="auto"/>
                <w:sz w:val="24"/>
                <w:szCs w:val="24"/>
                <w:vertAlign w:val="baseline"/>
                <w:lang w:val="en-US" w:eastAsia="zh-CN"/>
              </w:rPr>
              <w:t>区</w:t>
            </w:r>
          </w:p>
        </w:tc>
        <w:tc>
          <w:tcPr>
            <w:tcW w:w="3757"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北至规划一街，东至吉祥北路，</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南至规划二街，西至绛山路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10688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2"/>
                <w:sz w:val="24"/>
                <w:szCs w:val="24"/>
                <w:u w:val="none"/>
                <w:lang w:val="en-US" w:eastAsia="zh-CN" w:bidi="ar-SA"/>
              </w:rPr>
            </w:pPr>
            <w:r>
              <w:rPr>
                <w:rFonts w:hint="default" w:cs="Times New Roman" w:eastAsiaTheme="minorEastAsia"/>
                <w:b w:val="0"/>
                <w:bCs w:val="0"/>
                <w:color w:val="auto"/>
                <w:sz w:val="24"/>
                <w:szCs w:val="24"/>
                <w:vertAlign w:val="baseline"/>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5667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85308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2"/>
                <w:sz w:val="24"/>
                <w:szCs w:val="24"/>
                <w:u w:val="none"/>
                <w:lang w:val="en-US" w:eastAsia="zh-CN" w:bidi="ar-SA"/>
              </w:rPr>
            </w:pPr>
            <w:r>
              <w:rPr>
                <w:rFonts w:hint="default" w:cs="Times New Roman" w:eastAsiaTheme="minorEastAsia"/>
                <w:b w:val="0"/>
                <w:bCs w:val="0"/>
                <w:color w:val="auto"/>
                <w:sz w:val="24"/>
                <w:szCs w:val="24"/>
                <w:vertAlign w:val="baseline"/>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71356</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59440</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2"/>
                <w:sz w:val="24"/>
                <w:szCs w:val="24"/>
                <w:u w:val="none"/>
                <w:lang w:val="en-US" w:eastAsia="zh-CN" w:bidi="ar-SA"/>
              </w:rPr>
            </w:pPr>
            <w:r>
              <w:rPr>
                <w:rFonts w:hint="default" w:cs="Times New Roman" w:eastAsiaTheme="minorEastAsia"/>
                <w:b w:val="0"/>
                <w:bCs w:val="0"/>
                <w:color w:val="auto"/>
                <w:sz w:val="24"/>
                <w:szCs w:val="24"/>
                <w:vertAlign w:val="baseline"/>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96.23</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default" w:cs="Times New Roman" w:eastAsiaTheme="minorEastAsia"/>
                <w:b w:val="0"/>
                <w:bCs w:val="0"/>
                <w:color w:val="auto"/>
                <w:sz w:val="24"/>
                <w:szCs w:val="24"/>
                <w:vertAlign w:val="baseline"/>
                <w:lang w:val="en-US" w:eastAsia="zh-CN"/>
              </w:rPr>
              <w:t>Ⅰ类</w:t>
            </w:r>
            <w:r>
              <w:rPr>
                <w:rFonts w:hint="eastAsia" w:cs="Times New Roman" w:eastAsiaTheme="minorEastAsia"/>
                <w:b w:val="0"/>
                <w:bCs w:val="0"/>
                <w:color w:val="auto"/>
                <w:sz w:val="24"/>
                <w:szCs w:val="24"/>
                <w:vertAlign w:val="baseline"/>
                <w:lang w:val="en-US" w:eastAsia="zh-CN"/>
              </w:rPr>
              <w:t>区</w:t>
            </w:r>
          </w:p>
        </w:tc>
        <w:tc>
          <w:tcPr>
            <w:tcW w:w="3757"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北至规划二街，东至规划四路，</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南至城北大街，西至绛山路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7290</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2"/>
                <w:sz w:val="24"/>
                <w:szCs w:val="24"/>
                <w:u w:val="none"/>
                <w:lang w:val="en-US" w:eastAsia="zh-CN" w:bidi="ar-SA"/>
              </w:rPr>
            </w:pPr>
            <w:r>
              <w:rPr>
                <w:rFonts w:hint="default" w:cs="Times New Roman" w:eastAsiaTheme="minorEastAsia"/>
                <w:b w:val="0"/>
                <w:bCs w:val="0"/>
                <w:color w:val="auto"/>
                <w:sz w:val="24"/>
                <w:szCs w:val="24"/>
                <w:vertAlign w:val="baseline"/>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2"/>
                <w:sz w:val="24"/>
                <w:szCs w:val="24"/>
                <w:u w:val="none"/>
                <w:lang w:val="en-US" w:eastAsia="zh-CN" w:bidi="ar-SA"/>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2693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2"/>
                <w:sz w:val="24"/>
                <w:szCs w:val="24"/>
                <w:u w:val="none"/>
                <w:lang w:val="en-US" w:eastAsia="zh-CN" w:bidi="ar-SA"/>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1933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cs="Times New Roman" w:eastAsiaTheme="minorEastAsia"/>
                <w:b w:val="0"/>
                <w:bCs w:val="0"/>
                <w:color w:val="auto"/>
                <w:sz w:val="24"/>
                <w:szCs w:val="24"/>
                <w:vertAlign w:val="baseline"/>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7</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92626</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83266</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89.6</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cs="Times New Roman" w:eastAsiaTheme="minorEastAsia"/>
                <w:b w:val="0"/>
                <w:bCs w:val="0"/>
                <w:color w:val="auto"/>
                <w:sz w:val="24"/>
                <w:szCs w:val="24"/>
                <w:vertAlign w:val="baseline"/>
                <w:lang w:val="en-US" w:eastAsia="zh-CN"/>
              </w:rPr>
            </w:pPr>
            <w:r>
              <w:rPr>
                <w:rFonts w:hint="default" w:cs="Times New Roman" w:eastAsiaTheme="minorEastAsia"/>
                <w:b w:val="0"/>
                <w:bCs w:val="0"/>
                <w:color w:val="auto"/>
                <w:sz w:val="24"/>
                <w:szCs w:val="24"/>
                <w:vertAlign w:val="baseline"/>
                <w:lang w:val="en-US" w:eastAsia="zh-CN"/>
              </w:rPr>
              <w:t>Ⅰ类</w:t>
            </w:r>
            <w:r>
              <w:rPr>
                <w:rFonts w:hint="eastAsia" w:cs="Times New Roman" w:eastAsiaTheme="minorEastAsia"/>
                <w:b w:val="0"/>
                <w:bCs w:val="0"/>
                <w:color w:val="auto"/>
                <w:sz w:val="24"/>
                <w:szCs w:val="24"/>
                <w:vertAlign w:val="baseline"/>
                <w:lang w:val="en-US" w:eastAsia="zh-CN"/>
              </w:rPr>
              <w:t>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北至规划二街，东至吉祥路，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南至城北大街，西至规划四路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9360</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cs="Times New Roman" w:eastAsiaTheme="minorEastAsia"/>
                <w:b w:val="0"/>
                <w:bCs w:val="0"/>
                <w:color w:val="auto"/>
                <w:sz w:val="24"/>
                <w:szCs w:val="24"/>
                <w:vertAlign w:val="baseline"/>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8</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291840</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3835</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cs="Times New Roman" w:eastAsiaTheme="minorEastAsia"/>
                <w:b w:val="0"/>
                <w:bCs w:val="0"/>
                <w:color w:val="auto"/>
                <w:sz w:val="24"/>
                <w:szCs w:val="24"/>
                <w:vertAlign w:val="baseline"/>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1.65</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85.19</w:t>
            </w:r>
          </w:p>
        </w:tc>
        <w:tc>
          <w:tcPr>
            <w:tcW w:w="1260"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r>
              <w:rPr>
                <w:rFonts w:hint="eastAsia" w:cs="Times New Roman" w:eastAsiaTheme="minorEastAsia"/>
                <w:b w:val="0"/>
                <w:bCs w:val="0"/>
                <w:color w:val="auto"/>
                <w:sz w:val="24"/>
                <w:szCs w:val="24"/>
                <w:highlight w:val="none"/>
                <w:vertAlign w:val="baseline"/>
                <w:lang w:val="en-US" w:eastAsia="zh-CN"/>
              </w:rPr>
              <w:t>3</w:t>
            </w:r>
            <w:r>
              <w:rPr>
                <w:rFonts w:hint="default" w:cs="Times New Roman" w:eastAsiaTheme="minorEastAsia"/>
                <w:b w:val="0"/>
                <w:bCs w:val="0"/>
                <w:color w:val="auto"/>
                <w:sz w:val="24"/>
                <w:szCs w:val="24"/>
                <w:highlight w:val="none"/>
                <w:vertAlign w:val="baseline"/>
                <w:lang w:val="en-US" w:eastAsia="zh-CN"/>
              </w:rPr>
              <w:t>类</w:t>
            </w:r>
            <w:r>
              <w:rPr>
                <w:rFonts w:hint="eastAsia" w:cs="Times New Roman" w:eastAsiaTheme="minorEastAsia"/>
                <w:b w:val="0"/>
                <w:bCs w:val="0"/>
                <w:color w:val="auto"/>
                <w:sz w:val="24"/>
                <w:szCs w:val="24"/>
                <w:highlight w:val="none"/>
                <w:vertAlign w:val="baseline"/>
                <w:lang w:val="en-US" w:eastAsia="zh-CN"/>
              </w:rPr>
              <w:t>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北至规划一街，东至曲绛线，</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南至城北大街，西至吉祥路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117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8891</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197987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Ⅱ类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lang w:val="en-US"/>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21578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9</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72910</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72910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100</w:t>
            </w:r>
          </w:p>
        </w:tc>
        <w:tc>
          <w:tcPr>
            <w:tcW w:w="14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r>
              <w:rPr>
                <w:rFonts w:hint="default" w:cs="Times New Roman" w:eastAsiaTheme="minorEastAsia"/>
                <w:b w:val="0"/>
                <w:bCs w:val="0"/>
                <w:color w:val="auto"/>
                <w:sz w:val="24"/>
                <w:szCs w:val="24"/>
                <w:vertAlign w:val="baseline"/>
                <w:lang w:val="en-US" w:eastAsia="zh-CN"/>
              </w:rPr>
              <w:t>Ⅰ类</w:t>
            </w:r>
            <w:r>
              <w:rPr>
                <w:rFonts w:hint="eastAsia" w:cs="Times New Roman" w:eastAsiaTheme="minorEastAsia"/>
                <w:b w:val="0"/>
                <w:bCs w:val="0"/>
                <w:color w:val="auto"/>
                <w:sz w:val="24"/>
                <w:szCs w:val="24"/>
                <w:vertAlign w:val="baseline"/>
                <w:lang w:val="en-US" w:eastAsia="zh-CN"/>
              </w:rPr>
              <w:t>区</w:t>
            </w:r>
          </w:p>
        </w:tc>
        <w:tc>
          <w:tcPr>
            <w:tcW w:w="375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北至规划二路，东至如意北路，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南至城北大街，西至吉祥路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10</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112111</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45607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96.7</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r>
              <w:rPr>
                <w:rFonts w:hint="default" w:cs="Times New Roman" w:eastAsiaTheme="minorEastAsia"/>
                <w:b w:val="0"/>
                <w:bCs w:val="0"/>
                <w:color w:val="auto"/>
                <w:sz w:val="24"/>
                <w:szCs w:val="24"/>
                <w:vertAlign w:val="baseline"/>
                <w:lang w:val="en-US" w:eastAsia="zh-CN"/>
              </w:rPr>
              <w:t>Ⅰ类</w:t>
            </w:r>
            <w:r>
              <w:rPr>
                <w:rFonts w:hint="eastAsia" w:cs="Times New Roman" w:eastAsiaTheme="minorEastAsia"/>
                <w:b w:val="0"/>
                <w:bCs w:val="0"/>
                <w:color w:val="auto"/>
                <w:sz w:val="24"/>
                <w:szCs w:val="24"/>
                <w:vertAlign w:val="baseline"/>
                <w:lang w:val="en-US" w:eastAsia="zh-CN"/>
              </w:rPr>
              <w:t>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北至城北大街，东至城西路，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南至规划三街，西至规划一路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10228</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7270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16671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85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25466</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86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3699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eastAsia="宋体"/>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87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3170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11</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133038</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11801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94.61</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r>
              <w:rPr>
                <w:rFonts w:hint="default" w:cs="Times New Roman" w:eastAsiaTheme="minorEastAsia"/>
                <w:b w:val="0"/>
                <w:bCs w:val="0"/>
                <w:color w:val="auto"/>
                <w:sz w:val="24"/>
                <w:szCs w:val="24"/>
                <w:vertAlign w:val="baseline"/>
                <w:lang w:val="en-US" w:eastAsia="zh-CN"/>
              </w:rPr>
              <w:t>Ⅰ类</w:t>
            </w:r>
            <w:r>
              <w:rPr>
                <w:rFonts w:hint="eastAsia" w:cs="Times New Roman" w:eastAsiaTheme="minorEastAsia"/>
                <w:b w:val="0"/>
                <w:bCs w:val="0"/>
                <w:color w:val="auto"/>
                <w:sz w:val="24"/>
                <w:szCs w:val="24"/>
                <w:vertAlign w:val="baseline"/>
                <w:lang w:val="en-US" w:eastAsia="zh-CN"/>
              </w:rPr>
              <w:t>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北至城北大街，东至规划一路，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南至规划三街，西至规划边界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7173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eastAsia="宋体"/>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both"/>
              <w:textAlignment w:val="top"/>
              <w:outlineLvl w:val="9"/>
              <w:rPr>
                <w:rFonts w:hint="default" w:cs="Times New Roman" w:eastAsiaTheme="minorEastAsia"/>
                <w:b/>
                <w:bCs/>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83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3905</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both"/>
              <w:textAlignment w:val="top"/>
              <w:outlineLvl w:val="9"/>
              <w:rPr>
                <w:rFonts w:hint="default" w:cs="Times New Roman" w:eastAsiaTheme="minorEastAsia"/>
                <w:b/>
                <w:bCs/>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84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110159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both"/>
              <w:textAlignment w:val="top"/>
              <w:outlineLvl w:val="9"/>
              <w:rPr>
                <w:rFonts w:hint="default" w:cs="Times New Roman" w:eastAsiaTheme="minorEastAsia"/>
                <w:b/>
                <w:bCs/>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12</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107303</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4192</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56.8</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2类区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北至城北大街，东至规划二路，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南至规划三街，西至城西路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20244</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eastAsia="宋体"/>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1698</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26098</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eastAsia="宋体"/>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3098</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51973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13</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106398</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2739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86.42</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北至城北大街，东至晋都路，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南至规划三街，西至规划二路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48135</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2127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50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4700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eastAsia="宋体"/>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51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9744</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eastAsia="宋体"/>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52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24766</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409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14187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14</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85910</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53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14408</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eastAsia="宋体"/>
                <w:sz w:val="24"/>
                <w:szCs w:val="24"/>
                <w:lang w:val="en-US" w:eastAsia="zh-CN"/>
              </w:rPr>
              <w:t>其他</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83.23</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北至城北大街，东至新华路，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西至晋都北路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54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5353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55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58414</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56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7735</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15</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105062</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57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3765</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60.67</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2类区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北至城北大街，东至浍滨北路，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南至规划四街，西至新华路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58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18995</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eastAsia="宋体"/>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481" w:firstLineChars="200"/>
              <w:jc w:val="center"/>
              <w:textAlignment w:val="top"/>
              <w:outlineLvl w:val="9"/>
              <w:rPr>
                <w:rFonts w:hint="default" w:cs="Times New Roman" w:eastAsiaTheme="minorEastAsia"/>
                <w:b/>
                <w:bCs/>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59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8646</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eastAsia="宋体"/>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481" w:firstLineChars="200"/>
              <w:jc w:val="center"/>
              <w:textAlignment w:val="top"/>
              <w:outlineLvl w:val="9"/>
              <w:rPr>
                <w:rFonts w:hint="default" w:cs="Times New Roman" w:eastAsiaTheme="minorEastAsia"/>
                <w:b/>
                <w:bCs/>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2319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eastAsia="宋体"/>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481" w:firstLineChars="200"/>
              <w:jc w:val="both"/>
              <w:textAlignment w:val="top"/>
              <w:outlineLvl w:val="9"/>
              <w:rPr>
                <w:rFonts w:hint="default" w:cs="Times New Roman" w:eastAsiaTheme="minorEastAsia"/>
                <w:b/>
                <w:bCs/>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4118</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eastAsia="宋体"/>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481" w:firstLineChars="200"/>
              <w:jc w:val="center"/>
              <w:textAlignment w:val="top"/>
              <w:outlineLvl w:val="9"/>
              <w:rPr>
                <w:rFonts w:hint="default" w:cs="Times New Roman" w:eastAsiaTheme="minorEastAsia"/>
                <w:b/>
                <w:bCs/>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7240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eastAsia="宋体"/>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481" w:firstLineChars="200"/>
              <w:jc w:val="center"/>
              <w:textAlignment w:val="top"/>
              <w:outlineLvl w:val="9"/>
              <w:rPr>
                <w:rFonts w:hint="default" w:cs="Times New Roman" w:eastAsiaTheme="minorEastAsia"/>
                <w:b/>
                <w:bCs/>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59979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481" w:firstLineChars="200"/>
              <w:jc w:val="center"/>
              <w:textAlignment w:val="top"/>
              <w:outlineLvl w:val="9"/>
              <w:rPr>
                <w:rFonts w:hint="default" w:cs="Times New Roman" w:eastAsiaTheme="minorEastAsia"/>
                <w:b/>
                <w:bCs/>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16</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133645</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13108</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eastAsia="宋体"/>
                <w:sz w:val="24"/>
                <w:szCs w:val="24"/>
                <w:lang w:val="en-US" w:eastAsia="zh-CN"/>
              </w:rPr>
              <w:t>其他</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36.36</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2类区</w:t>
            </w:r>
          </w:p>
        </w:tc>
        <w:tc>
          <w:tcPr>
            <w:tcW w:w="3757"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北至规划一街，东至新华路，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南至城北大街，西至晋都北路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10815</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eastAsia="宋体"/>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61129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eastAsia="宋体"/>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48593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17</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193785</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27724</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78.78</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北至规划一街，东至绛山路，</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南至城北大街，西至新华路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124934</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41127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eastAsia="宋体"/>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18</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123019</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17584</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100</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北至城北大街，东至绛山路，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南至规划四街，西至浍滨路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14887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90548</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19</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98766</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9843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92.38</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北至城北大街，东至规划四路，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南至规划四街，西至绛山路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7529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eastAsia="宋体"/>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4978</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70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76416</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20</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125536</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71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12772</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74.22</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北至城北大街，东至吉祥路，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南至规划四街，西至规划四路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72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13509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73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32369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eastAsia="宋体"/>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74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66886</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21</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147365</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75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14819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100</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北至城北大街，东至如意北路，</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南至规划四街，西至吉祥路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76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64889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77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67657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22</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136471</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78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16571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eastAsia="宋体"/>
                <w:sz w:val="24"/>
                <w:szCs w:val="24"/>
                <w:lang w:val="en-US" w:eastAsia="zh-CN"/>
              </w:rPr>
              <w:t>其他</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87.86</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北至城北大街，东至曲绛线，</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南至规划四街，西至如意北路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79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119900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23</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240" w:firstLineChars="1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211184</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80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100925</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95.31</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北至城北大街，东至曲绛线，</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南至规划四街，西至如意北路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81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9798</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eastAsia="宋体"/>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82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116</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eastAsia="宋体"/>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88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100345</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24</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169602</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89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12818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eastAsia="宋体"/>
                <w:sz w:val="24"/>
                <w:szCs w:val="24"/>
                <w:lang w:val="en-US" w:eastAsia="zh-CN"/>
              </w:rPr>
              <w:t>其他</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92.44</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北至规划三街，东至城西路，</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南至文公大街，西至规划一路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90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22171</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91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46933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92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40905</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93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43004</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94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3771</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25</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175046</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95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34959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eastAsia="宋体"/>
                <w:sz w:val="24"/>
                <w:szCs w:val="24"/>
                <w:lang w:val="en-US" w:eastAsia="zh-CN"/>
              </w:rPr>
              <w:t>其他</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54.1</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2类区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 北至规划三街，东至规划二路，</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南至文公大街，西至城西路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96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1986</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97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2592</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98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1640</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99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33537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100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2677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101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6816</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102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4591</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103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41324</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104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39539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105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2438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106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2947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3757"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26</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135683</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107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34469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100</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北至规划三街，东至新华路，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西至规划二路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108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91753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109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9461</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27</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38601</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110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7493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42.62</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2类区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西北至新华路，东至晋都北路，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南至文公大街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111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2949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153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15869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154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3011</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155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6010</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156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3269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28</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205554</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112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15063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41.9</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2类区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北至规划四街，东至浍滨北路，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南至文公大街，西至晋都北路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113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31216</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114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20235</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115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4678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116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35430</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117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19585</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118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16687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119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5048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156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3269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157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34339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158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2802</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159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17202</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29</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93606</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120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8066</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90.56</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北至规划四街，东至绛山路，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南至文公大街，西至浍滨北路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121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60634</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122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7703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123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3757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124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5076</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125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8370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30</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63151</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126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14219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71.22</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北至规划四街，东至规划四路，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南至文公大街，西至绛山路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127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3756</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128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3070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129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w:t>
            </w:r>
            <w:r>
              <w:rPr>
                <w:rFonts w:hint="eastAsia" w:ascii="宋体" w:hAnsi="宋体" w:eastAsia="宋体" w:cs="宋体"/>
                <w:i w:val="0"/>
                <w:color w:val="000000"/>
                <w:kern w:val="0"/>
                <w:sz w:val="24"/>
                <w:szCs w:val="24"/>
                <w:u w:val="none"/>
                <w:lang w:val="en-US" w:eastAsia="zh-CN" w:bidi="ar"/>
              </w:rPr>
              <w:t>6</w:t>
            </w:r>
            <w:r>
              <w:rPr>
                <w:rFonts w:hint="default" w:ascii="宋体" w:hAnsi="宋体" w:eastAsia="宋体" w:cs="宋体"/>
                <w:i w:val="0"/>
                <w:color w:val="000000"/>
                <w:kern w:val="0"/>
                <w:sz w:val="24"/>
                <w:szCs w:val="24"/>
                <w:u w:val="none"/>
                <w:lang w:val="en-US" w:eastAsia="zh-CN" w:bidi="ar"/>
              </w:rPr>
              <w:t>979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130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15127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31</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115597</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131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88223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90.42</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北至规划四街，东至吉祥北路，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南至文公大街，西至规划四路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132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7311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133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4351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134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2653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135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4656</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136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8403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32</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166538</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137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143908</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94.25</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5.75</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北至规划四街，东至如意北路，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南至文公大街，西至吉祥北路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138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4039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139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9572</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Ⅱ类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140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9019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33</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182323</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142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168262</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92.29</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北至规划四街，东至曲绛线，</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南至文公大街，西至如意北路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143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14061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34</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default" w:cs="Times New Roman" w:eastAsiaTheme="minorEastAsia"/>
                <w:b/>
                <w:bCs/>
                <w:color w:val="auto"/>
                <w:sz w:val="24"/>
                <w:szCs w:val="24"/>
                <w:vertAlign w:val="baseline"/>
                <w:lang w:val="en-US" w:eastAsia="zh-CN"/>
              </w:rPr>
              <w:t>149090</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144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149090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100</w:t>
            </w:r>
          </w:p>
        </w:tc>
        <w:tc>
          <w:tcPr>
            <w:tcW w:w="14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北至文公大街，东至规划一路，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南至规划五街，西至规划边界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35</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114774</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145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65367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80.76</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北至文公大街，东至城西路，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南至规划五街，西至规划一路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146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22085</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147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2450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148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22759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149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2113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36</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123343</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150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2595</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92.74</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北至文公大街，东南至新华路，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南至规划五街，西至城西路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151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27000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160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23061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161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8909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162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1017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163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571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164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5909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165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54281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37</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91295</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152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45322</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75.79</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北至文公大街，东至晋都北路，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南至府西街，西至新华路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166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5995</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167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15441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168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4220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169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8430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170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11887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38</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205142</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179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3465</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52.79</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2类区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北至文公大街，东至晋都南路，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南至府西街，西南至新华路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180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9777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181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3194</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182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3992</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183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3473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184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1138</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185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42807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186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576</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187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2407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188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39790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189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1644</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190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2089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191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3725</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192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4116</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193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4506</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194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5607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195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1472</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196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24452</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197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7096</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198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5050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199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2014</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412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7181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413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25571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39</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167986</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171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23057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68.73</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2类区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北至规划五街，东至规划一路，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南至府西街，西至规划边界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172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29479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173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91554</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410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23896</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40</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158464</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174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5701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88.49</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北至规划五街，东至新华路，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南至府西街，西至规划一路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175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18235</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176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50321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177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3135</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178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75664</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200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2716</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201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2692</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41</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238310</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202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1537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66.21</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2类区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北至文公大街，东至浍滨北路，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南至府东街，西至晋都南路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203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38763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204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6915</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205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99729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206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9297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207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4443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208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18263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209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3332</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210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41760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417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14271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42</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166254</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211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82945</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72.38</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 北至文公大街，东至绛山路，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南至府东街，西至浍滨北路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212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7413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213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5030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214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5135</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215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1563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216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4534</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217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31985</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218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6214</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219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16264</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220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4051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221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1120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43</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96531</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222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38237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95.73</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北至文公大街，东至规划四路，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南至府东街，西至绛山路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223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4119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224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19894</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225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34281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44</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139990</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226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64542</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57.41</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2类区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北至文公大街，东至吉祥路，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南至府东街，西至规划四路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227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59622</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228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15826</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45</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134046</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229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19050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100</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北至文公大街，东至如意北路，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南至府东街，西至吉祥路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230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9591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231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7911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232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82641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233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14853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46</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117598</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234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84557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100</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北至文公大街，东至曲绛线，</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南至府东街，西至如意北路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235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12762</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236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20279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47</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171764</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237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5938</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71.16</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北至府西街，东至规划一路，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南至新华南路，西至规划边界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238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1"/>
                <w:szCs w:val="21"/>
                <w:u w:val="none"/>
                <w:lang w:val="en-US" w:eastAsia="zh-CN" w:bidi="ar"/>
              </w:rPr>
            </w:pPr>
            <w:r>
              <w:rPr>
                <w:rFonts w:hint="default" w:ascii="宋体" w:hAnsi="宋体" w:eastAsia="宋体" w:cs="宋体"/>
                <w:i w:val="0"/>
                <w:color w:val="000000"/>
                <w:kern w:val="0"/>
                <w:sz w:val="21"/>
                <w:szCs w:val="21"/>
                <w:u w:val="none"/>
                <w:lang w:val="en-US" w:eastAsia="zh-CN" w:bidi="ar"/>
              </w:rPr>
              <w:t>3907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239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1"/>
                <w:szCs w:val="21"/>
                <w:u w:val="none"/>
                <w:lang w:val="en-US" w:eastAsia="zh-CN" w:bidi="ar"/>
              </w:rPr>
            </w:pPr>
            <w:r>
              <w:rPr>
                <w:rFonts w:hint="default" w:ascii="宋体" w:hAnsi="宋体" w:eastAsia="宋体" w:cs="宋体"/>
                <w:i w:val="0"/>
                <w:color w:val="000000"/>
                <w:kern w:val="0"/>
                <w:sz w:val="21"/>
                <w:szCs w:val="21"/>
                <w:u w:val="none"/>
                <w:lang w:val="en-US" w:eastAsia="zh-CN" w:bidi="ar"/>
              </w:rPr>
              <w:t>15083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240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1"/>
                <w:szCs w:val="21"/>
                <w:u w:val="none"/>
                <w:lang w:val="en-US" w:eastAsia="zh-CN" w:bidi="ar"/>
              </w:rPr>
            </w:pPr>
            <w:r>
              <w:rPr>
                <w:rFonts w:hint="default" w:ascii="宋体" w:hAnsi="宋体" w:eastAsia="宋体" w:cs="宋体"/>
                <w:i w:val="0"/>
                <w:color w:val="000000"/>
                <w:kern w:val="0"/>
                <w:sz w:val="21"/>
                <w:szCs w:val="21"/>
                <w:u w:val="none"/>
                <w:lang w:val="en-US" w:eastAsia="zh-CN" w:bidi="ar"/>
              </w:rPr>
              <w:t>30555</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241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1"/>
                <w:szCs w:val="21"/>
                <w:u w:val="none"/>
                <w:lang w:val="en-US" w:eastAsia="zh-CN" w:bidi="ar"/>
              </w:rPr>
            </w:pPr>
            <w:r>
              <w:rPr>
                <w:rFonts w:hint="default" w:ascii="宋体" w:hAnsi="宋体" w:eastAsia="宋体" w:cs="宋体"/>
                <w:i w:val="0"/>
                <w:color w:val="000000"/>
                <w:kern w:val="0"/>
                <w:sz w:val="21"/>
                <w:szCs w:val="21"/>
                <w:u w:val="none"/>
                <w:lang w:val="en-US" w:eastAsia="zh-CN" w:bidi="ar"/>
              </w:rPr>
              <w:t>116281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48</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default" w:cs="Times New Roman" w:eastAsiaTheme="minorEastAsia"/>
                <w:b/>
                <w:bCs/>
                <w:color w:val="auto"/>
                <w:sz w:val="24"/>
                <w:szCs w:val="24"/>
                <w:vertAlign w:val="baseline"/>
                <w:lang w:val="en-US" w:eastAsia="zh-CN"/>
              </w:rPr>
              <w:t>60556</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242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60556</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100</w:t>
            </w:r>
          </w:p>
        </w:tc>
        <w:tc>
          <w:tcPr>
            <w:tcW w:w="14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北至新华南路，东至规划一路，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南至贡院西街，西至规划边界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49</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45543</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243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2729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91.49</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北至府西街，东南至新华南路，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西至规划一路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244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1146</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245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41668</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50</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264724</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246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4576</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91.23</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北至府西街，东至城西路，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南至贡院西街，西至规划一路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247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18802</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248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1883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249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10983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250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1394</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251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5977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252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20616</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253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7888</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254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2816</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255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1307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256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5771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257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7422</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258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49017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259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40247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260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3895</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261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2179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262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1460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263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70891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264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2267</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265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2830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266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2503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51</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142950</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267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7923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84.68</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北至府西街，东至太和南路，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南至贡院西街，西至城西路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268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18853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269</w:t>
            </w:r>
          </w:p>
        </w:tc>
        <w:tc>
          <w:tcPr>
            <w:tcW w:w="130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default" w:ascii="Times New Roman" w:hAnsi="Times New Roman" w:eastAsia="Times New Roman"/>
                <w:sz w:val="24"/>
                <w:szCs w:val="24"/>
                <w:lang w:val="en-US" w:eastAsia="zh-CN"/>
              </w:rPr>
              <w:t>5796</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270</w:t>
            </w:r>
          </w:p>
        </w:tc>
        <w:tc>
          <w:tcPr>
            <w:tcW w:w="130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default" w:ascii="Times New Roman" w:hAnsi="Times New Roman" w:eastAsia="Times New Roman"/>
                <w:sz w:val="24"/>
                <w:szCs w:val="24"/>
                <w:lang w:val="en-US" w:eastAsia="zh-CN"/>
              </w:rPr>
              <w:t>6095</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271</w:t>
            </w:r>
          </w:p>
        </w:tc>
        <w:tc>
          <w:tcPr>
            <w:tcW w:w="130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default" w:ascii="Times New Roman" w:hAnsi="Times New Roman" w:eastAsia="Times New Roman"/>
                <w:sz w:val="24"/>
                <w:szCs w:val="24"/>
                <w:lang w:val="en-US" w:eastAsia="zh-CN"/>
              </w:rPr>
              <w:t>4324</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272</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3800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273</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1470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274</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1351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275</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30863</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276</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3341</w:t>
            </w:r>
          </w:p>
        </w:tc>
        <w:tc>
          <w:tcPr>
            <w:tcW w:w="142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277</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4765</w:t>
            </w:r>
          </w:p>
        </w:tc>
        <w:tc>
          <w:tcPr>
            <w:tcW w:w="142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278</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3678</w:t>
            </w:r>
          </w:p>
        </w:tc>
        <w:tc>
          <w:tcPr>
            <w:tcW w:w="142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414</w:t>
            </w:r>
          </w:p>
        </w:tc>
        <w:tc>
          <w:tcPr>
            <w:tcW w:w="130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24791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415</w:t>
            </w:r>
          </w:p>
        </w:tc>
        <w:tc>
          <w:tcPr>
            <w:tcW w:w="130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13742</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416</w:t>
            </w:r>
          </w:p>
        </w:tc>
        <w:tc>
          <w:tcPr>
            <w:tcW w:w="130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12158</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52</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113879</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279</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1377</w:t>
            </w:r>
          </w:p>
        </w:tc>
        <w:tc>
          <w:tcPr>
            <w:tcW w:w="142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其他</w:t>
            </w:r>
          </w:p>
        </w:tc>
        <w:tc>
          <w:tcPr>
            <w:tcW w:w="1410"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47.25</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color w:val="auto"/>
                <w:kern w:val="2"/>
                <w:sz w:val="24"/>
                <w:szCs w:val="24"/>
                <w:vertAlign w:val="baseline"/>
                <w:lang w:val="en-US" w:eastAsia="zh-CN" w:bidi="ar-SA"/>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color w:val="auto"/>
                <w:kern w:val="2"/>
                <w:sz w:val="24"/>
                <w:szCs w:val="24"/>
                <w:vertAlign w:val="baseline"/>
                <w:lang w:val="en-US" w:eastAsia="zh-CN" w:bidi="ar-SA"/>
              </w:rPr>
            </w:pPr>
            <w:r>
              <w:rPr>
                <w:rFonts w:hint="eastAsia" w:cs="Times New Roman" w:eastAsiaTheme="minorEastAsia"/>
                <w:b w:val="0"/>
                <w:bCs w:val="0"/>
                <w:color w:val="auto"/>
                <w:sz w:val="24"/>
                <w:szCs w:val="24"/>
                <w:vertAlign w:val="baseline"/>
                <w:lang w:val="en-US" w:eastAsia="zh-CN"/>
              </w:rPr>
              <w:t>2类区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北至府西街，东至晋都南路，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南至贡院西街，西至太和南路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280</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11208</w:t>
            </w:r>
          </w:p>
        </w:tc>
        <w:tc>
          <w:tcPr>
            <w:tcW w:w="142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281</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7811</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282</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6415</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283</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2075</w:t>
            </w:r>
          </w:p>
        </w:tc>
        <w:tc>
          <w:tcPr>
            <w:tcW w:w="142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284</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5481</w:t>
            </w:r>
          </w:p>
        </w:tc>
        <w:tc>
          <w:tcPr>
            <w:tcW w:w="142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285</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5574</w:t>
            </w:r>
          </w:p>
        </w:tc>
        <w:tc>
          <w:tcPr>
            <w:tcW w:w="142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286</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7789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287</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860</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288</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1338</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289</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10119</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290</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2594</w:t>
            </w:r>
          </w:p>
        </w:tc>
        <w:tc>
          <w:tcPr>
            <w:tcW w:w="14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291</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16589</w:t>
            </w:r>
          </w:p>
        </w:tc>
        <w:tc>
          <w:tcPr>
            <w:tcW w:w="142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292</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1206</w:t>
            </w:r>
          </w:p>
        </w:tc>
        <w:tc>
          <w:tcPr>
            <w:tcW w:w="142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293</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8211</w:t>
            </w:r>
          </w:p>
        </w:tc>
        <w:tc>
          <w:tcPr>
            <w:tcW w:w="142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294</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5760</w:t>
            </w:r>
          </w:p>
        </w:tc>
        <w:tc>
          <w:tcPr>
            <w:tcW w:w="142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295</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1855</w:t>
            </w:r>
          </w:p>
        </w:tc>
        <w:tc>
          <w:tcPr>
            <w:tcW w:w="142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296</w:t>
            </w:r>
          </w:p>
        </w:tc>
        <w:tc>
          <w:tcPr>
            <w:tcW w:w="130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17617</w:t>
            </w:r>
          </w:p>
        </w:tc>
        <w:tc>
          <w:tcPr>
            <w:tcW w:w="142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highlight w:val="none"/>
                <w:vertAlign w:val="baseline"/>
                <w:lang w:val="en-US" w:eastAsia="zh-CN"/>
              </w:rPr>
            </w:pPr>
            <w:r>
              <w:rPr>
                <w:rFonts w:hint="eastAsia" w:cs="Times New Roman" w:eastAsiaTheme="minorEastAsia"/>
                <w:b/>
                <w:bCs/>
                <w:color w:val="auto"/>
                <w:sz w:val="24"/>
                <w:szCs w:val="24"/>
                <w:highlight w:val="none"/>
                <w:vertAlign w:val="baseline"/>
                <w:lang w:val="en-US" w:eastAsia="zh-CN"/>
              </w:rPr>
              <w:t>53</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highlight w:val="none"/>
                <w:vertAlign w:val="baseline"/>
                <w:lang w:val="en-US" w:eastAsia="zh-CN"/>
              </w:rPr>
            </w:pPr>
            <w:r>
              <w:rPr>
                <w:rFonts w:hint="eastAsia" w:cs="Times New Roman" w:eastAsiaTheme="minorEastAsia"/>
                <w:b/>
                <w:bCs/>
                <w:color w:val="auto"/>
                <w:sz w:val="24"/>
                <w:szCs w:val="24"/>
                <w:highlight w:val="none"/>
                <w:vertAlign w:val="baseline"/>
                <w:lang w:val="en-US" w:eastAsia="zh-CN"/>
              </w:rPr>
              <w:t>223412</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highlight w:val="none"/>
                <w:vertAlign w:val="baseline"/>
                <w:lang w:val="en-US" w:eastAsia="zh-CN"/>
              </w:rPr>
            </w:pPr>
            <w:r>
              <w:rPr>
                <w:rFonts w:hint="eastAsia" w:cs="Times New Roman" w:eastAsiaTheme="minorEastAsia"/>
                <w:b/>
                <w:bCs/>
                <w:color w:val="auto"/>
                <w:sz w:val="24"/>
                <w:szCs w:val="24"/>
                <w:highlight w:val="none"/>
                <w:vertAlign w:val="baseline"/>
                <w:lang w:val="en-US" w:eastAsia="zh-CN"/>
              </w:rPr>
              <w:t>297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auto"/>
                <w:kern w:val="0"/>
                <w:sz w:val="24"/>
                <w:szCs w:val="24"/>
                <w:highlight w:val="none"/>
                <w:u w:val="none"/>
                <w:lang w:val="en-US" w:eastAsia="zh-CN" w:bidi="ar"/>
              </w:rPr>
            </w:pPr>
            <w:r>
              <w:rPr>
                <w:rFonts w:hint="default" w:ascii="宋体" w:hAnsi="宋体" w:eastAsia="宋体" w:cs="宋体"/>
                <w:i w:val="0"/>
                <w:color w:val="auto"/>
                <w:kern w:val="0"/>
                <w:sz w:val="24"/>
                <w:szCs w:val="24"/>
                <w:highlight w:val="none"/>
                <w:u w:val="none"/>
                <w:lang w:val="en-US" w:eastAsia="zh-CN" w:bidi="ar"/>
              </w:rPr>
              <w:t>2634</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auto"/>
                <w:kern w:val="0"/>
                <w:sz w:val="24"/>
                <w:szCs w:val="24"/>
                <w:highlight w:val="none"/>
                <w:u w:val="none"/>
                <w:lang w:val="en-US" w:eastAsia="zh-CN" w:bidi="ar"/>
              </w:rPr>
            </w:pPr>
            <w:r>
              <w:rPr>
                <w:rFonts w:hint="eastAsia" w:ascii="宋体" w:hAnsi="宋体" w:eastAsia="宋体" w:cs="宋体"/>
                <w:i w:val="0"/>
                <w:color w:val="auto"/>
                <w:kern w:val="0"/>
                <w:sz w:val="24"/>
                <w:szCs w:val="24"/>
                <w:highlight w:val="none"/>
                <w:u w:val="none"/>
                <w:lang w:val="en-US" w:eastAsia="zh-CN" w:bidi="ar"/>
              </w:rPr>
              <w:t>其他</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highlight w:val="none"/>
                <w:vertAlign w:val="baseline"/>
                <w:lang w:val="en-US" w:eastAsia="zh-CN"/>
              </w:rPr>
            </w:pPr>
            <w:r>
              <w:rPr>
                <w:rFonts w:hint="eastAsia" w:cs="Times New Roman" w:eastAsiaTheme="minorEastAsia"/>
                <w:b w:val="0"/>
                <w:bCs w:val="0"/>
                <w:color w:val="auto"/>
                <w:sz w:val="24"/>
                <w:szCs w:val="24"/>
                <w:highlight w:val="none"/>
                <w:vertAlign w:val="baseline"/>
                <w:lang w:val="en-US" w:eastAsia="zh-CN"/>
              </w:rPr>
              <w:t>77.32</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highlight w:val="none"/>
                <w:vertAlign w:val="baseline"/>
                <w:lang w:val="en-US" w:eastAsia="zh-CN"/>
              </w:rPr>
            </w:pPr>
            <w:r>
              <w:rPr>
                <w:rFonts w:hint="eastAsia" w:cs="Times New Roman" w:eastAsiaTheme="minorEastAsia"/>
                <w:b w:val="0"/>
                <w:bCs w:val="0"/>
                <w:color w:val="auto"/>
                <w:sz w:val="24"/>
                <w:szCs w:val="24"/>
                <w:highlight w:val="none"/>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highlight w:val="none"/>
                <w:vertAlign w:val="baseline"/>
                <w:lang w:val="en-US" w:eastAsia="zh-CN"/>
              </w:rPr>
            </w:pPr>
            <w:r>
              <w:rPr>
                <w:rFonts w:hint="eastAsia" w:cs="Times New Roman" w:eastAsiaTheme="minorEastAsia"/>
                <w:b w:val="0"/>
                <w:bCs w:val="0"/>
                <w:color w:val="auto"/>
                <w:sz w:val="24"/>
                <w:szCs w:val="24"/>
                <w:highlight w:val="none"/>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auto"/>
                <w:kern w:val="0"/>
                <w:sz w:val="24"/>
                <w:szCs w:val="24"/>
                <w:highlight w:val="none"/>
                <w:u w:val="none"/>
                <w:lang w:val="en-US" w:eastAsia="zh-CN" w:bidi="ar"/>
              </w:rPr>
            </w:pPr>
            <w:r>
              <w:rPr>
                <w:rFonts w:hint="eastAsia" w:ascii="宋体" w:hAnsi="宋体" w:eastAsia="宋体" w:cs="宋体"/>
                <w:i w:val="0"/>
                <w:color w:val="auto"/>
                <w:kern w:val="0"/>
                <w:sz w:val="24"/>
                <w:szCs w:val="24"/>
                <w:highlight w:val="none"/>
                <w:u w:val="none"/>
                <w:lang w:val="en-US" w:eastAsia="zh-CN" w:bidi="ar"/>
              </w:rPr>
              <w:t>北至府东街，东至浍滨南路，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highlight w:val="none"/>
                <w:vertAlign w:val="baseline"/>
                <w:lang w:val="en-US" w:eastAsia="zh-CN"/>
              </w:rPr>
            </w:pPr>
            <w:r>
              <w:rPr>
                <w:rFonts w:hint="eastAsia" w:ascii="宋体" w:hAnsi="宋体" w:eastAsia="宋体" w:cs="宋体"/>
                <w:i w:val="0"/>
                <w:color w:val="auto"/>
                <w:kern w:val="0"/>
                <w:sz w:val="24"/>
                <w:szCs w:val="24"/>
                <w:highlight w:val="none"/>
                <w:u w:val="none"/>
                <w:lang w:val="en-US" w:eastAsia="zh-CN" w:bidi="ar"/>
              </w:rPr>
              <w:t>南至贡院东街，西至晋都南路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highlight w:val="none"/>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highlight w:val="none"/>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highlight w:val="none"/>
                <w:vertAlign w:val="baseline"/>
                <w:lang w:val="en-US" w:eastAsia="zh-CN"/>
              </w:rPr>
            </w:pPr>
            <w:r>
              <w:rPr>
                <w:rFonts w:hint="eastAsia" w:cs="Times New Roman" w:eastAsiaTheme="minorEastAsia"/>
                <w:b/>
                <w:bCs/>
                <w:color w:val="auto"/>
                <w:sz w:val="24"/>
                <w:szCs w:val="24"/>
                <w:highlight w:val="none"/>
                <w:vertAlign w:val="baseline"/>
                <w:lang w:val="en-US" w:eastAsia="zh-CN"/>
              </w:rPr>
              <w:t>298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highlight w:val="none"/>
                <w:u w:val="none"/>
                <w:lang w:val="en-US" w:eastAsia="zh-CN" w:bidi="ar"/>
              </w:rPr>
            </w:pPr>
            <w:r>
              <w:rPr>
                <w:rFonts w:hint="default" w:ascii="宋体" w:hAnsi="宋体" w:eastAsia="宋体" w:cs="宋体"/>
                <w:i w:val="0"/>
                <w:color w:val="000000"/>
                <w:kern w:val="0"/>
                <w:sz w:val="24"/>
                <w:szCs w:val="24"/>
                <w:highlight w:val="none"/>
                <w:u w:val="none"/>
                <w:lang w:val="en-US" w:eastAsia="zh-CN" w:bidi="ar"/>
              </w:rPr>
              <w:t>38873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highlight w:val="none"/>
                <w:u w:val="none"/>
                <w:lang w:val="en-US" w:eastAsia="zh-CN" w:bidi="ar"/>
              </w:rPr>
            </w:pPr>
            <w:r>
              <w:rPr>
                <w:rFonts w:hint="default" w:ascii="Times New Roman" w:hAnsi="Times New Roman" w:eastAsia="Times New Roman"/>
                <w:sz w:val="24"/>
                <w:szCs w:val="24"/>
                <w:highlight w:val="none"/>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highlight w:val="none"/>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highlight w:val="none"/>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highlight w:val="none"/>
                <w:vertAlign w:val="baseline"/>
                <w:lang w:val="en-US" w:eastAsia="zh-CN"/>
              </w:rPr>
            </w:pPr>
            <w:r>
              <w:rPr>
                <w:rFonts w:hint="eastAsia" w:cs="Times New Roman" w:eastAsiaTheme="minorEastAsia"/>
                <w:b/>
                <w:bCs/>
                <w:color w:val="auto"/>
                <w:sz w:val="24"/>
                <w:szCs w:val="24"/>
                <w:highlight w:val="none"/>
                <w:vertAlign w:val="baseline"/>
                <w:lang w:val="en-US" w:eastAsia="zh-CN"/>
              </w:rPr>
              <w:t>299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highlight w:val="none"/>
                <w:u w:val="none"/>
                <w:lang w:val="en-US" w:eastAsia="zh-CN" w:bidi="ar"/>
              </w:rPr>
            </w:pPr>
            <w:r>
              <w:rPr>
                <w:rFonts w:hint="default" w:ascii="宋体" w:hAnsi="宋体" w:eastAsia="宋体" w:cs="宋体"/>
                <w:i w:val="0"/>
                <w:color w:val="000000"/>
                <w:kern w:val="0"/>
                <w:sz w:val="24"/>
                <w:szCs w:val="24"/>
                <w:highlight w:val="none"/>
                <w:u w:val="none"/>
                <w:lang w:val="en-US" w:eastAsia="zh-CN" w:bidi="ar"/>
              </w:rPr>
              <w:t>14861</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highlight w:val="none"/>
                <w:u w:val="none"/>
                <w:lang w:val="en-US" w:eastAsia="zh-CN" w:bidi="ar"/>
              </w:rPr>
            </w:pPr>
            <w:r>
              <w:rPr>
                <w:rFonts w:hint="eastAsia" w:ascii="Times New Roman" w:hAnsi="Times New Roman" w:eastAsia="Times New Roman"/>
                <w:sz w:val="24"/>
                <w:szCs w:val="24"/>
                <w:highlight w:val="none"/>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highlight w:val="none"/>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highlight w:val="none"/>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highlight w:val="none"/>
                <w:vertAlign w:val="baseline"/>
                <w:lang w:val="en-US" w:eastAsia="zh-CN"/>
              </w:rPr>
            </w:pPr>
            <w:r>
              <w:rPr>
                <w:rFonts w:hint="eastAsia" w:cs="Times New Roman" w:eastAsiaTheme="minorEastAsia"/>
                <w:b/>
                <w:bCs/>
                <w:color w:val="auto"/>
                <w:sz w:val="24"/>
                <w:szCs w:val="24"/>
                <w:highlight w:val="none"/>
                <w:vertAlign w:val="baseline"/>
                <w:lang w:val="en-US" w:eastAsia="zh-CN"/>
              </w:rPr>
              <w:t>300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highlight w:val="none"/>
                <w:u w:val="none"/>
                <w:lang w:val="en-US" w:eastAsia="zh-CN" w:bidi="ar"/>
              </w:rPr>
            </w:pPr>
            <w:r>
              <w:rPr>
                <w:rFonts w:hint="default" w:ascii="宋体" w:hAnsi="宋体" w:eastAsia="宋体" w:cs="宋体"/>
                <w:i w:val="0"/>
                <w:color w:val="000000"/>
                <w:kern w:val="0"/>
                <w:sz w:val="24"/>
                <w:szCs w:val="24"/>
                <w:highlight w:val="none"/>
                <w:u w:val="none"/>
                <w:lang w:val="en-US" w:eastAsia="zh-CN" w:bidi="ar"/>
              </w:rPr>
              <w:t>2062</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highlight w:val="none"/>
                <w:u w:val="none"/>
                <w:lang w:val="en-US" w:eastAsia="zh-CN" w:bidi="ar"/>
              </w:rPr>
            </w:pPr>
            <w:r>
              <w:rPr>
                <w:rFonts w:hint="default" w:ascii="Times New Roman" w:hAnsi="Times New Roman" w:eastAsia="Times New Roman"/>
                <w:sz w:val="24"/>
                <w:szCs w:val="24"/>
                <w:highlight w:val="none"/>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highlight w:val="none"/>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highlight w:val="none"/>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highlight w:val="none"/>
                <w:vertAlign w:val="baseline"/>
                <w:lang w:val="en-US" w:eastAsia="zh-CN"/>
              </w:rPr>
            </w:pPr>
            <w:r>
              <w:rPr>
                <w:rFonts w:hint="eastAsia" w:cs="Times New Roman" w:eastAsiaTheme="minorEastAsia"/>
                <w:b/>
                <w:bCs/>
                <w:color w:val="auto"/>
                <w:sz w:val="24"/>
                <w:szCs w:val="24"/>
                <w:highlight w:val="none"/>
                <w:vertAlign w:val="baseline"/>
                <w:lang w:val="en-US" w:eastAsia="zh-CN"/>
              </w:rPr>
              <w:t>301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highlight w:val="none"/>
                <w:u w:val="none"/>
                <w:lang w:val="en-US" w:eastAsia="zh-CN" w:bidi="ar"/>
              </w:rPr>
            </w:pPr>
            <w:r>
              <w:rPr>
                <w:rFonts w:hint="default" w:ascii="宋体" w:hAnsi="宋体" w:eastAsia="宋体" w:cs="宋体"/>
                <w:i w:val="0"/>
                <w:color w:val="000000"/>
                <w:kern w:val="0"/>
                <w:sz w:val="24"/>
                <w:szCs w:val="24"/>
                <w:highlight w:val="none"/>
                <w:u w:val="none"/>
                <w:lang w:val="en-US" w:eastAsia="zh-CN" w:bidi="ar"/>
              </w:rPr>
              <w:t>13812</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highlight w:val="none"/>
                <w:u w:val="none"/>
                <w:lang w:val="en-US" w:eastAsia="zh-CN" w:bidi="ar"/>
              </w:rPr>
            </w:pPr>
            <w:r>
              <w:rPr>
                <w:rFonts w:hint="default" w:ascii="Times New Roman" w:hAnsi="Times New Roman" w:eastAsia="Times New Roman"/>
                <w:sz w:val="24"/>
                <w:szCs w:val="24"/>
                <w:highlight w:val="none"/>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highlight w:val="none"/>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highlight w:val="none"/>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highlight w:val="none"/>
                <w:vertAlign w:val="baseline"/>
                <w:lang w:val="en-US" w:eastAsia="zh-CN"/>
              </w:rPr>
            </w:pPr>
            <w:r>
              <w:rPr>
                <w:rFonts w:hint="eastAsia" w:cs="Times New Roman" w:eastAsiaTheme="minorEastAsia"/>
                <w:b/>
                <w:bCs/>
                <w:color w:val="auto"/>
                <w:sz w:val="24"/>
                <w:szCs w:val="24"/>
                <w:highlight w:val="none"/>
                <w:vertAlign w:val="baseline"/>
                <w:lang w:val="en-US" w:eastAsia="zh-CN"/>
              </w:rPr>
              <w:t>302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highlight w:val="none"/>
                <w:u w:val="none"/>
                <w:lang w:val="en-US" w:eastAsia="zh-CN" w:bidi="ar"/>
              </w:rPr>
            </w:pPr>
            <w:r>
              <w:rPr>
                <w:rFonts w:hint="default" w:ascii="宋体" w:hAnsi="宋体" w:eastAsia="宋体" w:cs="宋体"/>
                <w:i w:val="0"/>
                <w:color w:val="000000"/>
                <w:kern w:val="0"/>
                <w:sz w:val="24"/>
                <w:szCs w:val="24"/>
                <w:highlight w:val="none"/>
                <w:u w:val="none"/>
                <w:lang w:val="en-US" w:eastAsia="zh-CN" w:bidi="ar"/>
              </w:rPr>
              <w:t>2075</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highlight w:val="none"/>
                <w:u w:val="none"/>
                <w:lang w:val="en-US" w:eastAsia="zh-CN" w:bidi="ar"/>
              </w:rPr>
            </w:pPr>
            <w:r>
              <w:rPr>
                <w:rFonts w:hint="default" w:ascii="Times New Roman" w:hAnsi="Times New Roman" w:eastAsia="Times New Roman"/>
                <w:sz w:val="24"/>
                <w:szCs w:val="24"/>
                <w:highlight w:val="none"/>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481" w:firstLineChars="200"/>
              <w:jc w:val="center"/>
              <w:textAlignment w:val="top"/>
              <w:outlineLvl w:val="9"/>
              <w:rPr>
                <w:rFonts w:hint="default" w:cs="Times New Roman" w:eastAsiaTheme="minorEastAsia"/>
                <w:b/>
                <w:bCs/>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highlight w:val="none"/>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highlight w:val="none"/>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highlight w:val="none"/>
                <w:vertAlign w:val="baseline"/>
                <w:lang w:val="en-US" w:eastAsia="zh-CN"/>
              </w:rPr>
            </w:pPr>
            <w:r>
              <w:rPr>
                <w:rFonts w:hint="eastAsia" w:cs="Times New Roman" w:eastAsiaTheme="minorEastAsia"/>
                <w:b/>
                <w:bCs/>
                <w:color w:val="auto"/>
                <w:sz w:val="24"/>
                <w:szCs w:val="24"/>
                <w:highlight w:val="none"/>
                <w:vertAlign w:val="baseline"/>
                <w:lang w:val="en-US" w:eastAsia="zh-CN"/>
              </w:rPr>
              <w:t>303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highlight w:val="none"/>
                <w:u w:val="none"/>
                <w:lang w:val="en-US" w:eastAsia="zh-CN" w:bidi="ar"/>
              </w:rPr>
            </w:pPr>
            <w:r>
              <w:rPr>
                <w:rFonts w:hint="default" w:ascii="宋体" w:hAnsi="宋体" w:eastAsia="宋体" w:cs="宋体"/>
                <w:i w:val="0"/>
                <w:color w:val="000000"/>
                <w:kern w:val="0"/>
                <w:sz w:val="24"/>
                <w:szCs w:val="24"/>
                <w:highlight w:val="none"/>
                <w:u w:val="none"/>
                <w:lang w:val="en-US" w:eastAsia="zh-CN" w:bidi="ar"/>
              </w:rPr>
              <w:t>13673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highlight w:val="none"/>
                <w:u w:val="none"/>
                <w:lang w:val="en-US" w:eastAsia="zh-CN" w:bidi="ar"/>
              </w:rPr>
            </w:pPr>
            <w:r>
              <w:rPr>
                <w:rFonts w:hint="eastAsia" w:ascii="Times New Roman" w:hAnsi="Times New Roman" w:eastAsia="Times New Roman"/>
                <w:sz w:val="24"/>
                <w:szCs w:val="24"/>
                <w:highlight w:val="none"/>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highlight w:val="none"/>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highlight w:val="none"/>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highlight w:val="none"/>
                <w:vertAlign w:val="baseline"/>
                <w:lang w:val="en-US" w:eastAsia="zh-CN"/>
              </w:rPr>
            </w:pPr>
            <w:r>
              <w:rPr>
                <w:rFonts w:hint="eastAsia" w:cs="Times New Roman" w:eastAsiaTheme="minorEastAsia"/>
                <w:b/>
                <w:bCs/>
                <w:color w:val="auto"/>
                <w:sz w:val="24"/>
                <w:szCs w:val="24"/>
                <w:highlight w:val="none"/>
                <w:vertAlign w:val="baseline"/>
                <w:lang w:val="en-US" w:eastAsia="zh-CN"/>
              </w:rPr>
              <w:t>304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highlight w:val="none"/>
                <w:u w:val="none"/>
                <w:lang w:val="en-US" w:eastAsia="zh-CN" w:bidi="ar"/>
              </w:rPr>
            </w:pPr>
            <w:r>
              <w:rPr>
                <w:rFonts w:hint="default" w:ascii="宋体" w:hAnsi="宋体" w:eastAsia="宋体" w:cs="宋体"/>
                <w:i w:val="0"/>
                <w:color w:val="000000"/>
                <w:kern w:val="0"/>
                <w:sz w:val="24"/>
                <w:szCs w:val="24"/>
                <w:highlight w:val="none"/>
                <w:u w:val="none"/>
                <w:lang w:val="en-US" w:eastAsia="zh-CN" w:bidi="ar"/>
              </w:rPr>
              <w:t>38832</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highlight w:val="none"/>
                <w:u w:val="none"/>
                <w:lang w:val="en-US" w:eastAsia="zh-CN" w:bidi="ar"/>
              </w:rPr>
            </w:pPr>
            <w:r>
              <w:rPr>
                <w:rFonts w:hint="default" w:ascii="Times New Roman" w:hAnsi="Times New Roman" w:eastAsia="Times New Roman"/>
                <w:sz w:val="24"/>
                <w:szCs w:val="24"/>
                <w:highlight w:val="none"/>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highlight w:val="none"/>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highlight w:val="none"/>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highlight w:val="none"/>
                <w:vertAlign w:val="baseline"/>
                <w:lang w:val="en-US" w:eastAsia="zh-CN"/>
              </w:rPr>
            </w:pPr>
            <w:r>
              <w:rPr>
                <w:rFonts w:hint="eastAsia" w:cs="Times New Roman" w:eastAsiaTheme="minorEastAsia"/>
                <w:b/>
                <w:bCs/>
                <w:color w:val="auto"/>
                <w:sz w:val="24"/>
                <w:szCs w:val="24"/>
                <w:highlight w:val="none"/>
                <w:vertAlign w:val="baseline"/>
                <w:lang w:val="en-US" w:eastAsia="zh-CN"/>
              </w:rPr>
              <w:t>305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highlight w:val="none"/>
                <w:u w:val="none"/>
                <w:lang w:val="en-US" w:eastAsia="zh-CN" w:bidi="ar"/>
              </w:rPr>
            </w:pPr>
            <w:r>
              <w:rPr>
                <w:rFonts w:hint="default" w:ascii="宋体" w:hAnsi="宋体" w:eastAsia="宋体" w:cs="宋体"/>
                <w:i w:val="0"/>
                <w:color w:val="000000"/>
                <w:kern w:val="0"/>
                <w:sz w:val="24"/>
                <w:szCs w:val="24"/>
                <w:highlight w:val="none"/>
                <w:u w:val="none"/>
                <w:lang w:val="en-US" w:eastAsia="zh-CN" w:bidi="ar"/>
              </w:rPr>
              <w:t>2896</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highlight w:val="none"/>
                <w:u w:val="none"/>
                <w:lang w:val="en-US" w:eastAsia="zh-CN" w:bidi="ar"/>
              </w:rPr>
            </w:pPr>
            <w:r>
              <w:rPr>
                <w:rFonts w:hint="eastAsia" w:ascii="宋体" w:hAnsi="宋体" w:eastAsia="宋体" w:cs="宋体"/>
                <w:i w:val="0"/>
                <w:color w:val="000000"/>
                <w:kern w:val="0"/>
                <w:sz w:val="24"/>
                <w:szCs w:val="24"/>
                <w:highlight w:val="none"/>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highlight w:val="none"/>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highlight w:val="none"/>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highlight w:val="none"/>
                <w:vertAlign w:val="baseline"/>
                <w:lang w:val="en-US" w:eastAsia="zh-CN"/>
              </w:rPr>
            </w:pPr>
            <w:r>
              <w:rPr>
                <w:rFonts w:hint="eastAsia" w:cs="Times New Roman" w:eastAsiaTheme="minorEastAsia"/>
                <w:b/>
                <w:bCs/>
                <w:color w:val="auto"/>
                <w:sz w:val="24"/>
                <w:szCs w:val="24"/>
                <w:highlight w:val="none"/>
                <w:vertAlign w:val="baseline"/>
                <w:lang w:val="en-US" w:eastAsia="zh-CN"/>
              </w:rPr>
              <w:t>306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highlight w:val="none"/>
                <w:u w:val="none"/>
                <w:lang w:val="en-US" w:eastAsia="zh-CN" w:bidi="ar"/>
              </w:rPr>
            </w:pPr>
            <w:r>
              <w:rPr>
                <w:rFonts w:hint="default" w:ascii="宋体" w:hAnsi="宋体" w:eastAsia="宋体" w:cs="宋体"/>
                <w:i w:val="0"/>
                <w:color w:val="000000"/>
                <w:kern w:val="0"/>
                <w:sz w:val="24"/>
                <w:szCs w:val="24"/>
                <w:highlight w:val="none"/>
                <w:u w:val="none"/>
                <w:lang w:val="en-US" w:eastAsia="zh-CN" w:bidi="ar"/>
              </w:rPr>
              <w:t>75409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highlight w:val="none"/>
                <w:u w:val="none"/>
                <w:lang w:val="en-US" w:eastAsia="zh-CN" w:bidi="ar"/>
              </w:rPr>
            </w:pPr>
            <w:r>
              <w:rPr>
                <w:rFonts w:hint="default" w:ascii="Times New Roman" w:hAnsi="Times New Roman" w:eastAsia="Times New Roman"/>
                <w:sz w:val="24"/>
                <w:szCs w:val="24"/>
                <w:highlight w:val="none"/>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highlight w:val="none"/>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highlight w:val="none"/>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highlight w:val="none"/>
                <w:vertAlign w:val="baseline"/>
                <w:lang w:val="en-US" w:eastAsia="zh-CN"/>
              </w:rPr>
            </w:pPr>
            <w:r>
              <w:rPr>
                <w:rFonts w:hint="eastAsia" w:cs="Times New Roman" w:eastAsiaTheme="minorEastAsia"/>
                <w:b/>
                <w:bCs/>
                <w:color w:val="auto"/>
                <w:sz w:val="24"/>
                <w:szCs w:val="24"/>
                <w:highlight w:val="none"/>
                <w:vertAlign w:val="baseline"/>
                <w:lang w:val="en-US" w:eastAsia="zh-CN"/>
              </w:rPr>
              <w:t>307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highlight w:val="none"/>
                <w:u w:val="none"/>
                <w:lang w:val="en-US" w:eastAsia="zh-CN" w:bidi="ar"/>
              </w:rPr>
            </w:pPr>
            <w:r>
              <w:rPr>
                <w:rFonts w:hint="default" w:ascii="宋体" w:hAnsi="宋体" w:eastAsia="宋体" w:cs="宋体"/>
                <w:i w:val="0"/>
                <w:color w:val="000000"/>
                <w:kern w:val="0"/>
                <w:sz w:val="24"/>
                <w:szCs w:val="24"/>
                <w:highlight w:val="none"/>
                <w:u w:val="none"/>
                <w:lang w:val="en-US" w:eastAsia="zh-CN" w:bidi="ar"/>
              </w:rPr>
              <w:t>1672</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highlight w:val="none"/>
                <w:u w:val="none"/>
                <w:lang w:val="en-US" w:eastAsia="zh-CN" w:bidi="ar"/>
              </w:rPr>
            </w:pPr>
            <w:r>
              <w:rPr>
                <w:rFonts w:hint="default" w:ascii="Times New Roman" w:hAnsi="Times New Roman" w:eastAsia="Times New Roman"/>
                <w:sz w:val="24"/>
                <w:szCs w:val="24"/>
                <w:highlight w:val="none"/>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highlight w:val="none"/>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highlight w:val="none"/>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highlight w:val="none"/>
                <w:vertAlign w:val="baseline"/>
                <w:lang w:val="en-US" w:eastAsia="zh-CN"/>
              </w:rPr>
            </w:pPr>
            <w:r>
              <w:rPr>
                <w:rFonts w:hint="eastAsia" w:cs="Times New Roman" w:eastAsiaTheme="minorEastAsia"/>
                <w:b/>
                <w:bCs/>
                <w:color w:val="auto"/>
                <w:sz w:val="24"/>
                <w:szCs w:val="24"/>
                <w:highlight w:val="none"/>
                <w:vertAlign w:val="baseline"/>
                <w:lang w:val="en-US" w:eastAsia="zh-CN"/>
              </w:rPr>
              <w:t>308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highlight w:val="none"/>
                <w:u w:val="none"/>
                <w:lang w:val="en-US" w:eastAsia="zh-CN" w:bidi="ar"/>
              </w:rPr>
            </w:pPr>
            <w:r>
              <w:rPr>
                <w:rFonts w:hint="default" w:ascii="宋体" w:hAnsi="宋体" w:eastAsia="宋体" w:cs="宋体"/>
                <w:i w:val="0"/>
                <w:color w:val="000000"/>
                <w:kern w:val="0"/>
                <w:sz w:val="24"/>
                <w:szCs w:val="24"/>
                <w:highlight w:val="none"/>
                <w:u w:val="none"/>
                <w:lang w:val="en-US" w:eastAsia="zh-CN" w:bidi="ar"/>
              </w:rPr>
              <w:t>16613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highlight w:val="none"/>
                <w:u w:val="none"/>
                <w:lang w:val="en-US" w:eastAsia="zh-CN" w:bidi="ar"/>
              </w:rPr>
            </w:pPr>
            <w:r>
              <w:rPr>
                <w:rFonts w:hint="eastAsia" w:ascii="Times New Roman" w:hAnsi="Times New Roman" w:eastAsia="Times New Roman"/>
                <w:sz w:val="24"/>
                <w:szCs w:val="24"/>
                <w:highlight w:val="none"/>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54</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241550</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309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7728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91.97</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北至府东街，东至浍滨南路，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南至贡院东街，西至晋都南路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310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5595</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311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58902</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312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4475</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313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2108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314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13464</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315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2399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316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4722</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317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8568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318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121583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319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11008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320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998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55</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67221</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321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cs="Times New Roman" w:eastAsiaTheme="minorEastAsia"/>
                <w:b/>
                <w:bCs/>
                <w:color w:val="auto"/>
                <w:sz w:val="24"/>
                <w:szCs w:val="24"/>
                <w:vertAlign w:val="baseline"/>
                <w:lang w:val="en-US" w:eastAsia="zh-CN"/>
              </w:rPr>
            </w:pPr>
            <w:r>
              <w:rPr>
                <w:rFonts w:hint="default" w:ascii="宋体" w:hAnsi="宋体" w:eastAsia="宋体" w:cs="宋体"/>
                <w:i w:val="0"/>
                <w:color w:val="000000"/>
                <w:kern w:val="0"/>
                <w:sz w:val="24"/>
                <w:szCs w:val="24"/>
                <w:u w:val="none"/>
                <w:lang w:val="en-US" w:eastAsia="zh-CN" w:bidi="ar"/>
              </w:rPr>
              <w:t>9864</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cs="Times New Roman" w:eastAsiaTheme="minorEastAsia"/>
                <w:b/>
                <w:bCs/>
                <w:color w:val="auto"/>
                <w:sz w:val="24"/>
                <w:szCs w:val="24"/>
                <w:vertAlign w:val="baseline"/>
                <w:lang w:val="en-US" w:eastAsia="zh-CN"/>
              </w:rPr>
            </w:pPr>
            <w:r>
              <w:rPr>
                <w:rFonts w:hint="eastAsia"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cs="Times New Roman" w:eastAsiaTheme="minorEastAsia"/>
                <w:b/>
                <w:bCs/>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53.03</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2类区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北至府东街，东至规划四路，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南至贡院东街，西至绛山路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322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cs="Times New Roman" w:eastAsiaTheme="minorEastAsia"/>
                <w:b/>
                <w:bCs/>
                <w:color w:val="auto"/>
                <w:sz w:val="24"/>
                <w:szCs w:val="24"/>
                <w:vertAlign w:val="baseline"/>
                <w:lang w:val="en-US" w:eastAsia="zh-CN"/>
              </w:rPr>
            </w:pPr>
            <w:r>
              <w:rPr>
                <w:rFonts w:hint="default" w:ascii="宋体" w:hAnsi="宋体" w:eastAsia="宋体" w:cs="宋体"/>
                <w:i w:val="0"/>
                <w:color w:val="000000"/>
                <w:kern w:val="0"/>
                <w:sz w:val="24"/>
                <w:szCs w:val="24"/>
                <w:u w:val="none"/>
                <w:lang w:val="en-US" w:eastAsia="zh-CN" w:bidi="ar"/>
              </w:rPr>
              <w:t>23046</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cs="Times New Roman" w:eastAsiaTheme="minorEastAsia"/>
                <w:b/>
                <w:bCs/>
                <w:color w:val="auto"/>
                <w:sz w:val="24"/>
                <w:szCs w:val="24"/>
                <w:vertAlign w:val="baseline"/>
                <w:lang w:val="en-US" w:eastAsia="zh-CN"/>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cs="Times New Roman" w:eastAsiaTheme="minorEastAsia"/>
                <w:b/>
                <w:bCs/>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325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16399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326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7605</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327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1782</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328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8525</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56</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185749</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323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14062</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72.08</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北至府东街，东至吉祥南路，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南至贡院东街，西至规划四路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324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51855</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329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107679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330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12153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57</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189991</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331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77947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58.97</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2类区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北至府东街，东至如意南路，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南至贡院东街，西至吉祥南路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332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54408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333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57636</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58</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23653108</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334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16544</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80.0</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北至府东街，东至规划边界，</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南至贡院东街，西至如意南路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335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60980</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336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38328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337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90151</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338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5531</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339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6278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340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19071</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424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16225</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59</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82833</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81" w:firstLineChars="2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342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3193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96.15</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北至贡院西街，东至晋都南路，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南至规划边界，西至古城遗址边界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81" w:firstLineChars="2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343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cs="Times New Roman" w:eastAsiaTheme="minorEastAsia"/>
                <w:b/>
                <w:bCs/>
                <w:color w:val="auto"/>
                <w:sz w:val="24"/>
                <w:szCs w:val="24"/>
                <w:vertAlign w:val="baseline"/>
                <w:lang w:val="en-US" w:eastAsia="zh-CN"/>
              </w:rPr>
            </w:pPr>
            <w:r>
              <w:rPr>
                <w:rFonts w:hint="default" w:ascii="宋体" w:hAnsi="宋体" w:eastAsia="宋体" w:cs="宋体"/>
                <w:i w:val="0"/>
                <w:color w:val="000000"/>
                <w:kern w:val="0"/>
                <w:sz w:val="24"/>
                <w:szCs w:val="24"/>
                <w:u w:val="none"/>
                <w:lang w:val="en-US" w:eastAsia="zh-CN" w:bidi="ar"/>
              </w:rPr>
              <w:t>79</w:t>
            </w:r>
            <w:r>
              <w:rPr>
                <w:rFonts w:hint="eastAsia" w:ascii="宋体" w:hAnsi="宋体" w:eastAsia="宋体" w:cs="宋体"/>
                <w:i w:val="0"/>
                <w:color w:val="000000"/>
                <w:kern w:val="0"/>
                <w:sz w:val="24"/>
                <w:szCs w:val="24"/>
                <w:u w:val="none"/>
                <w:lang w:val="en-US" w:eastAsia="zh-CN" w:bidi="ar"/>
              </w:rPr>
              <w:t>640</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cs="Times New Roman" w:eastAsiaTheme="minorEastAsia"/>
                <w:b/>
                <w:bCs/>
                <w:color w:val="auto"/>
                <w:sz w:val="24"/>
                <w:szCs w:val="24"/>
                <w:vertAlign w:val="baseline"/>
                <w:lang w:val="en-US" w:eastAsia="zh-CN"/>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60</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147823</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344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35588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72.28</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北至贡院东街，东至浍滨南路，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南至沸泉街，西至晋都南路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345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5392</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346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106843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61</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187356</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350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10791</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94.48</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北至贡院东街，东至绛山路，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南至沸泉街，西至浍滨南路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351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18313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352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16593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353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1111</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354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9223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355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25523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356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105802</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62</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165007</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357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11963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76.77</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北至贡院东街，东至吉祥南路，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南至沸泉街，西至绛山路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358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18057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359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53107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360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14063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361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2577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362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32317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363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7624</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364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9939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365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3633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366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11727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63</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208152</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383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37523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25.94</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2类区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北至贡院东街，东至如意南路，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南至规划六街，西至吉祥南路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384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64420</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385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16480</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81" w:firstLineChars="2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386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26237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81" w:firstLineChars="2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387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38245</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81" w:firstLineChars="2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388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25247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64</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145125</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389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105425</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78.2</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北至贡院东街，东至规划边界，</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南至沸泉街，西至如意南路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390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7137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391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11888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392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9448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393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4835</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394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5273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81" w:firstLineChars="2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395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1119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425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18497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65</w:t>
            </w:r>
          </w:p>
        </w:tc>
        <w:tc>
          <w:tcPr>
            <w:tcW w:w="127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r>
              <w:rPr>
                <w:rFonts w:hint="eastAsia" w:ascii="宋体" w:hAnsi="宋体" w:eastAsia="宋体" w:cs="宋体"/>
                <w:b/>
                <w:bCs/>
                <w:i w:val="0"/>
                <w:color w:val="000000"/>
                <w:kern w:val="0"/>
                <w:sz w:val="24"/>
                <w:szCs w:val="24"/>
                <w:u w:val="none"/>
                <w:lang w:val="en-US" w:eastAsia="zh-CN" w:bidi="ar"/>
              </w:rPr>
              <w:t>175849</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396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146180</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86.44</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北至沸泉街，东至规划边界，</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南至规划七街，西至如意南路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397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15872</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398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2428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399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5821</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400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5548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66</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310888</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401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104954</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1.77</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2类区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北至规划六街，东至规划边界，</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南至南环路，西至吉祥南路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402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67919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81" w:firstLineChars="2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403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5514</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81" w:firstLineChars="2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407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65376</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Times New Roman" w:hAnsi="Times New Roman" w:eastAsia="Times New Roman"/>
                <w:sz w:val="24"/>
                <w:szCs w:val="24"/>
                <w:lang w:val="en-US" w:eastAsia="zh-CN"/>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81" w:firstLineChars="2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408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4165</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Times New Roman" w:hAnsi="Times New Roman" w:eastAsia="Times New Roman"/>
                <w:sz w:val="24"/>
                <w:szCs w:val="24"/>
                <w:lang w:val="en-US" w:eastAsia="zh-CN"/>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423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sz w:val="24"/>
                <w:szCs w:val="24"/>
                <w:u w:val="none"/>
                <w:lang w:val="en-US" w:eastAsia="zh-CN"/>
              </w:rPr>
              <w:t>62960</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67</w:t>
            </w:r>
          </w:p>
        </w:tc>
        <w:tc>
          <w:tcPr>
            <w:tcW w:w="127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r>
              <w:rPr>
                <w:rFonts w:hint="eastAsia" w:ascii="宋体" w:hAnsi="宋体" w:eastAsia="宋体" w:cs="宋体"/>
                <w:b/>
                <w:bCs/>
                <w:i w:val="0"/>
                <w:color w:val="000000"/>
                <w:kern w:val="0"/>
                <w:sz w:val="24"/>
                <w:szCs w:val="24"/>
                <w:u w:val="none"/>
                <w:lang w:val="en-US" w:eastAsia="zh-CN" w:bidi="ar"/>
              </w:rPr>
              <w:t>148482</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370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17634</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86.75</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北至沸泉街，东至东环路，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南至规划六街，西至绛山路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371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86283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372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24896</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373</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19669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Times New Roman" w:hAnsi="Times New Roman" w:eastAsia="Times New Roman"/>
                <w:sz w:val="24"/>
                <w:szCs w:val="24"/>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r>
              <w:rPr>
                <w:rFonts w:hint="eastAsia" w:ascii="宋体" w:hAnsi="宋体" w:eastAsia="宋体" w:cs="宋体"/>
                <w:b/>
                <w:bCs/>
                <w:i w:val="0"/>
                <w:color w:val="000000"/>
                <w:kern w:val="0"/>
                <w:sz w:val="24"/>
                <w:szCs w:val="24"/>
                <w:u w:val="none"/>
                <w:lang w:val="en-US" w:eastAsia="zh-CN" w:bidi="ar"/>
              </w:rPr>
              <w:t>68</w:t>
            </w:r>
          </w:p>
        </w:tc>
        <w:tc>
          <w:tcPr>
            <w:tcW w:w="127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r>
              <w:rPr>
                <w:rFonts w:hint="eastAsia" w:ascii="宋体" w:hAnsi="宋体" w:eastAsia="宋体" w:cs="宋体"/>
                <w:b/>
                <w:bCs/>
                <w:i w:val="0"/>
                <w:color w:val="000000"/>
                <w:kern w:val="0"/>
                <w:sz w:val="24"/>
                <w:szCs w:val="24"/>
                <w:u w:val="none"/>
                <w:lang w:val="en-US" w:eastAsia="zh-CN" w:bidi="ar"/>
              </w:rPr>
              <w:t>170730</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380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10847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6.35</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2类区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北至规划六街，东至吉祥南路，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南至南环路，西至绛山路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381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8896</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382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150987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69</w:t>
            </w:r>
          </w:p>
        </w:tc>
        <w:tc>
          <w:tcPr>
            <w:tcW w:w="127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r>
              <w:rPr>
                <w:rFonts w:hint="eastAsia" w:ascii="宋体" w:hAnsi="宋体" w:eastAsia="宋体" w:cs="宋体"/>
                <w:b/>
                <w:bCs/>
                <w:i w:val="0"/>
                <w:color w:val="000000"/>
                <w:kern w:val="0"/>
                <w:sz w:val="24"/>
                <w:szCs w:val="24"/>
                <w:u w:val="none"/>
                <w:lang w:val="en-US" w:eastAsia="zh-CN" w:bidi="ar"/>
              </w:rPr>
              <w:t>153391</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367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30301</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81.32</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北至沸泉街，东至绛山路，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南至规划六街，西至浍滨南路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368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28661</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369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94429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b/>
                <w:bCs/>
                <w:i w:val="0"/>
                <w:color w:val="000000"/>
                <w:kern w:val="0"/>
                <w:sz w:val="24"/>
                <w:szCs w:val="24"/>
                <w:u w:val="none"/>
                <w:lang w:val="en-US" w:eastAsia="zh-CN" w:bidi="ar"/>
              </w:rPr>
            </w:pPr>
            <w:r>
              <w:rPr>
                <w:rFonts w:hint="eastAsia" w:ascii="宋体" w:hAnsi="宋体" w:eastAsia="宋体" w:cs="宋体"/>
                <w:b/>
                <w:bCs/>
                <w:i w:val="0"/>
                <w:color w:val="000000"/>
                <w:kern w:val="0"/>
                <w:sz w:val="24"/>
                <w:szCs w:val="24"/>
                <w:u w:val="none"/>
                <w:lang w:val="en-US" w:eastAsia="zh-CN" w:bidi="ar"/>
              </w:rPr>
              <w:t>70</w:t>
            </w:r>
          </w:p>
        </w:tc>
        <w:tc>
          <w:tcPr>
            <w:tcW w:w="127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r>
              <w:rPr>
                <w:rFonts w:hint="eastAsia" w:ascii="宋体" w:hAnsi="宋体" w:eastAsia="宋体" w:cs="宋体"/>
                <w:b/>
                <w:bCs/>
                <w:i w:val="0"/>
                <w:color w:val="000000"/>
                <w:kern w:val="0"/>
                <w:sz w:val="24"/>
                <w:szCs w:val="24"/>
                <w:u w:val="none"/>
                <w:lang w:val="en-US" w:eastAsia="zh-CN" w:bidi="ar"/>
              </w:rPr>
              <w:t>264216</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377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21771</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70.19</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北至规划六街，东至绛山路，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南至南环路，西至浍滨南路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378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152103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379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11580</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419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sz w:val="24"/>
                <w:szCs w:val="24"/>
                <w:u w:val="none"/>
                <w:lang w:val="en-US" w:eastAsia="zh-CN"/>
              </w:rPr>
              <w:t>78762</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Times New Roman" w:hAnsi="Times New Roman" w:eastAsia="Times New Roman"/>
                <w:sz w:val="24"/>
                <w:szCs w:val="24"/>
                <w:lang w:val="en-US" w:eastAsia="zh-CN"/>
              </w:rPr>
            </w:pPr>
            <w:r>
              <w:rPr>
                <w:rFonts w:hint="eastAsia" w:ascii="宋体" w:hAnsi="宋体" w:eastAsia="宋体" w:cs="宋体"/>
                <w:i w:val="0"/>
                <w:color w:val="000000"/>
                <w:sz w:val="24"/>
                <w:szCs w:val="24"/>
                <w:u w:val="none"/>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highlight w:val="none"/>
                <w:vertAlign w:val="baseline"/>
                <w:lang w:val="en-US" w:eastAsia="zh-CN"/>
              </w:rPr>
            </w:pPr>
            <w:r>
              <w:rPr>
                <w:rFonts w:hint="eastAsia" w:cs="Times New Roman" w:eastAsiaTheme="minorEastAsia"/>
                <w:b/>
                <w:bCs/>
                <w:color w:val="auto"/>
                <w:sz w:val="24"/>
                <w:szCs w:val="24"/>
                <w:highlight w:val="none"/>
                <w:vertAlign w:val="baseline"/>
                <w:lang w:val="en-US" w:eastAsia="zh-CN"/>
              </w:rPr>
              <w:t>71</w:t>
            </w:r>
          </w:p>
        </w:tc>
        <w:tc>
          <w:tcPr>
            <w:tcW w:w="127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highlight w:val="none"/>
                <w:u w:val="none"/>
                <w:lang w:val="en-US" w:eastAsia="zh-CN" w:bidi="ar"/>
              </w:rPr>
            </w:pPr>
            <w:r>
              <w:rPr>
                <w:rFonts w:hint="eastAsia" w:ascii="宋体" w:hAnsi="宋体" w:eastAsia="宋体" w:cs="宋体"/>
                <w:b/>
                <w:bCs/>
                <w:i w:val="0"/>
                <w:color w:val="000000"/>
                <w:kern w:val="0"/>
                <w:sz w:val="24"/>
                <w:szCs w:val="24"/>
                <w:highlight w:val="none"/>
                <w:u w:val="none"/>
                <w:lang w:val="en-US" w:eastAsia="zh-CN" w:bidi="ar"/>
              </w:rPr>
              <w:t>106071</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347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10705</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88.54</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北至沸泉街，东至浍滨南路，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南至规划六街，西至晋都南路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81" w:firstLineChars="2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348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12152</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81" w:firstLineChars="2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349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83214</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highlight w:val="none"/>
                <w:vertAlign w:val="baseline"/>
                <w:lang w:val="en-US" w:eastAsia="zh-CN"/>
              </w:rPr>
            </w:pPr>
            <w:r>
              <w:rPr>
                <w:rFonts w:hint="eastAsia" w:cs="Times New Roman" w:eastAsiaTheme="minorEastAsia"/>
                <w:b/>
                <w:bCs/>
                <w:color w:val="auto"/>
                <w:sz w:val="24"/>
                <w:szCs w:val="24"/>
                <w:highlight w:val="none"/>
                <w:vertAlign w:val="baseline"/>
                <w:lang w:val="en-US" w:eastAsia="zh-CN"/>
              </w:rPr>
              <w:t>72</w:t>
            </w:r>
          </w:p>
        </w:tc>
        <w:tc>
          <w:tcPr>
            <w:tcW w:w="127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highlight w:val="none"/>
                <w:u w:val="none"/>
                <w:lang w:val="en-US" w:eastAsia="zh-CN" w:bidi="ar"/>
              </w:rPr>
            </w:pPr>
            <w:r>
              <w:rPr>
                <w:rFonts w:hint="eastAsia" w:ascii="宋体" w:hAnsi="宋体" w:eastAsia="宋体" w:cs="宋体"/>
                <w:b/>
                <w:bCs/>
                <w:i w:val="0"/>
                <w:color w:val="000000"/>
                <w:kern w:val="0"/>
                <w:sz w:val="24"/>
                <w:szCs w:val="24"/>
                <w:highlight w:val="none"/>
                <w:u w:val="none"/>
                <w:lang w:val="en-US" w:eastAsia="zh-CN" w:bidi="ar"/>
              </w:rPr>
              <w:t>185280</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highlight w:val="none"/>
                <w:vertAlign w:val="baseline"/>
                <w:lang w:val="en-US" w:eastAsia="zh-CN"/>
              </w:rPr>
            </w:pPr>
            <w:r>
              <w:rPr>
                <w:rFonts w:hint="eastAsia" w:cs="Times New Roman" w:eastAsiaTheme="minorEastAsia"/>
                <w:b/>
                <w:bCs/>
                <w:color w:val="auto"/>
                <w:sz w:val="24"/>
                <w:szCs w:val="24"/>
                <w:highlight w:val="none"/>
                <w:vertAlign w:val="baseline"/>
                <w:lang w:val="en-US" w:eastAsia="zh-CN"/>
              </w:rPr>
              <w:t>374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highlight w:val="none"/>
                <w:u w:val="none"/>
                <w:lang w:val="en-US" w:eastAsia="zh-CN" w:bidi="ar"/>
              </w:rPr>
            </w:pPr>
            <w:r>
              <w:rPr>
                <w:rFonts w:hint="default" w:ascii="宋体" w:hAnsi="宋体" w:eastAsia="宋体" w:cs="宋体"/>
                <w:i w:val="0"/>
                <w:color w:val="000000"/>
                <w:kern w:val="0"/>
                <w:sz w:val="24"/>
                <w:szCs w:val="24"/>
                <w:highlight w:val="none"/>
                <w:u w:val="none"/>
                <w:lang w:val="en-US" w:eastAsia="zh-CN" w:bidi="ar"/>
              </w:rPr>
              <w:t>109329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highlight w:val="none"/>
                <w:u w:val="none"/>
                <w:lang w:val="en-US" w:eastAsia="zh-CN" w:bidi="ar"/>
              </w:rPr>
            </w:pPr>
            <w:r>
              <w:rPr>
                <w:rFonts w:hint="eastAsia" w:ascii="Times New Roman" w:hAnsi="Times New Roman" w:eastAsia="Times New Roman"/>
                <w:sz w:val="24"/>
                <w:szCs w:val="24"/>
                <w:highlight w:val="none"/>
                <w:lang w:val="en-US" w:eastAsia="zh-CN"/>
              </w:rPr>
              <w:t>Ⅰ类</w:t>
            </w:r>
          </w:p>
        </w:tc>
        <w:tc>
          <w:tcPr>
            <w:tcW w:w="141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highlight w:val="none"/>
                <w:vertAlign w:val="baseline"/>
                <w:lang w:val="en-US" w:eastAsia="zh-CN"/>
              </w:rPr>
            </w:pPr>
            <w:r>
              <w:rPr>
                <w:rFonts w:hint="eastAsia" w:cs="Times New Roman" w:eastAsiaTheme="minorEastAsia"/>
                <w:b w:val="0"/>
                <w:bCs w:val="0"/>
                <w:color w:val="auto"/>
                <w:sz w:val="24"/>
                <w:szCs w:val="24"/>
                <w:highlight w:val="none"/>
                <w:vertAlign w:val="baseline"/>
                <w:lang w:val="en-US" w:eastAsia="zh-CN"/>
              </w:rPr>
              <w:t>59.0</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highlight w:val="none"/>
                <w:vertAlign w:val="baseline"/>
                <w:lang w:val="en-US" w:eastAsia="zh-CN"/>
              </w:rPr>
            </w:pPr>
            <w:r>
              <w:rPr>
                <w:rFonts w:hint="eastAsia" w:cs="Times New Roman" w:eastAsiaTheme="minorEastAsia"/>
                <w:b w:val="0"/>
                <w:bCs w:val="0"/>
                <w:color w:val="auto"/>
                <w:sz w:val="24"/>
                <w:szCs w:val="24"/>
                <w:highlight w:val="none"/>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highlight w:val="none"/>
                <w:vertAlign w:val="baseline"/>
                <w:lang w:val="en-US" w:eastAsia="zh-CN"/>
              </w:rPr>
            </w:pPr>
            <w:r>
              <w:rPr>
                <w:rFonts w:hint="eastAsia" w:cs="Times New Roman" w:eastAsiaTheme="minorEastAsia"/>
                <w:b w:val="0"/>
                <w:bCs w:val="0"/>
                <w:color w:val="auto"/>
                <w:sz w:val="24"/>
                <w:szCs w:val="24"/>
                <w:highlight w:val="none"/>
                <w:vertAlign w:val="baseline"/>
                <w:lang w:val="en-US" w:eastAsia="zh-CN"/>
              </w:rPr>
              <w:t>2类区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北至规划六街，东至浍滨南路，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南至南环路，西至晋都南路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375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9600</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81" w:firstLineChars="20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376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7943</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Times New Roman" w:hAnsi="Times New Roman" w:eastAsia="Times New Roman"/>
                <w:sz w:val="24"/>
                <w:szCs w:val="24"/>
                <w:lang w:val="en-US" w:eastAsia="zh-CN"/>
              </w:rPr>
            </w:pPr>
            <w:r>
              <w:rPr>
                <w:rFonts w:hint="eastAsia" w:ascii="Times New Roman" w:hAnsi="Times New Roman" w:eastAsia="Times New Roman"/>
                <w:sz w:val="24"/>
                <w:szCs w:val="24"/>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418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sz w:val="24"/>
                <w:szCs w:val="24"/>
                <w:u w:val="none"/>
                <w:lang w:val="en-US" w:eastAsia="zh-CN"/>
              </w:rPr>
              <w:t>58408</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sz w:val="24"/>
                <w:szCs w:val="24"/>
                <w:u w:val="none"/>
                <w:lang w:val="en-US" w:eastAsia="zh-CN"/>
              </w:rPr>
              <w:t>其他</w:t>
            </w:r>
          </w:p>
        </w:tc>
        <w:tc>
          <w:tcPr>
            <w:tcW w:w="141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73</w:t>
            </w:r>
          </w:p>
        </w:tc>
        <w:tc>
          <w:tcPr>
            <w:tcW w:w="127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b/>
                <w:bCs/>
                <w:i w:val="0"/>
                <w:color w:val="000000"/>
                <w:kern w:val="0"/>
                <w:sz w:val="24"/>
                <w:szCs w:val="24"/>
                <w:u w:val="none"/>
                <w:lang w:val="en-US" w:eastAsia="zh-CN" w:bidi="ar"/>
              </w:rPr>
            </w:pPr>
            <w:r>
              <w:rPr>
                <w:rFonts w:hint="eastAsia" w:ascii="宋体" w:hAnsi="宋体" w:eastAsia="宋体" w:cs="宋体"/>
                <w:b/>
                <w:bCs/>
                <w:i w:val="0"/>
                <w:color w:val="000000"/>
                <w:kern w:val="0"/>
                <w:sz w:val="24"/>
                <w:szCs w:val="24"/>
                <w:u w:val="none"/>
                <w:lang w:val="en-US" w:eastAsia="zh-CN" w:bidi="ar"/>
              </w:rPr>
              <w:t>187803</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420</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57475</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Times New Roman" w:hAnsi="Times New Roman" w:eastAsia="Times New Roman"/>
                <w:sz w:val="24"/>
                <w:szCs w:val="24"/>
                <w:highlight w:val="none"/>
                <w:lang w:val="en-US" w:eastAsia="zh-CN"/>
              </w:rPr>
              <w:t>Ⅰ类</w:t>
            </w:r>
          </w:p>
        </w:tc>
        <w:tc>
          <w:tcPr>
            <w:tcW w:w="1410"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cs="Times New Roman" w:eastAsiaTheme="minorEastAsia"/>
                <w:b w:val="0"/>
                <w:bCs w:val="0"/>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72.90</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1类区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北至沸泉街，东至晋都南路，</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南至规划边界，西至古城遗址边界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421</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79427</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Times New Roman" w:hAnsi="Times New Roman" w:eastAsia="Times New Roman"/>
                <w:sz w:val="24"/>
                <w:szCs w:val="24"/>
                <w:highlight w:val="none"/>
                <w:lang w:val="en-US" w:eastAsia="zh-CN"/>
              </w:rPr>
              <w:t>Ⅰ类</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u w:val="none"/>
                <w:lang w:val="en-US" w:eastAsia="zh-CN" w:bidi="ar"/>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422</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50901</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74</w:t>
            </w:r>
          </w:p>
        </w:tc>
        <w:tc>
          <w:tcPr>
            <w:tcW w:w="127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237181</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404</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58625</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2"/>
                <w:sz w:val="24"/>
                <w:szCs w:val="24"/>
                <w:u w:val="none"/>
                <w:lang w:val="en-US" w:eastAsia="zh-CN" w:bidi="ar-SA"/>
              </w:rPr>
            </w:pPr>
            <w:r>
              <w:rPr>
                <w:rFonts w:hint="eastAsia" w:ascii="Times New Roman" w:hAnsi="Times New Roman" w:eastAsia="Times New Roman"/>
                <w:sz w:val="24"/>
                <w:szCs w:val="24"/>
                <w:highlight w:val="none"/>
                <w:lang w:val="en-US" w:eastAsia="zh-CN"/>
              </w:rPr>
              <w:t>Ⅰ类</w:t>
            </w:r>
          </w:p>
        </w:tc>
        <w:tc>
          <w:tcPr>
            <w:tcW w:w="1410"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24.72</w:t>
            </w:r>
          </w:p>
        </w:tc>
        <w:tc>
          <w:tcPr>
            <w:tcW w:w="1455"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cs="Times New Roman" w:eastAsiaTheme="minorEastAsia"/>
                <w:b w:val="0"/>
                <w:bCs w:val="0"/>
                <w:color w:val="auto"/>
                <w:sz w:val="24"/>
                <w:szCs w:val="24"/>
                <w:highlight w:val="none"/>
                <w:vertAlign w:val="baseline"/>
                <w:lang w:val="en-US" w:eastAsia="zh-CN"/>
              </w:rPr>
              <w:t>0</w:t>
            </w:r>
          </w:p>
        </w:tc>
        <w:tc>
          <w:tcPr>
            <w:tcW w:w="1260"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color w:val="auto"/>
                <w:kern w:val="2"/>
                <w:sz w:val="24"/>
                <w:szCs w:val="24"/>
                <w:highlight w:val="none"/>
                <w:vertAlign w:val="baseline"/>
                <w:lang w:val="en-US" w:eastAsia="zh-CN" w:bidi="ar-SA"/>
              </w:rPr>
            </w:pPr>
            <w:r>
              <w:rPr>
                <w:rFonts w:hint="eastAsia" w:cs="Times New Roman" w:eastAsiaTheme="minorEastAsia"/>
                <w:b w:val="0"/>
                <w:bCs w:val="0"/>
                <w:color w:val="auto"/>
                <w:sz w:val="24"/>
                <w:szCs w:val="24"/>
                <w:highlight w:val="none"/>
                <w:vertAlign w:val="baseline"/>
                <w:lang w:val="en-US" w:eastAsia="zh-CN"/>
              </w:rPr>
              <w:t>2类区</w:t>
            </w:r>
          </w:p>
        </w:tc>
        <w:tc>
          <w:tcPr>
            <w:tcW w:w="3757"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北至南环路，南至规划边界，</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西至晋都南路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27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429</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178556</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其他</w:t>
            </w:r>
          </w:p>
        </w:tc>
        <w:tc>
          <w:tcPr>
            <w:tcW w:w="1410"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p>
        </w:tc>
        <w:tc>
          <w:tcPr>
            <w:tcW w:w="1455"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eastAsiaTheme="minorEastAsia"/>
                <w:b w:val="0"/>
                <w:bCs w:val="0"/>
                <w:color w:val="auto"/>
                <w:sz w:val="24"/>
                <w:szCs w:val="24"/>
                <w:vertAlign w:val="baseline"/>
                <w:lang w:val="en-US" w:eastAsia="zh-CN"/>
              </w:rPr>
            </w:pPr>
          </w:p>
        </w:tc>
        <w:tc>
          <w:tcPr>
            <w:tcW w:w="1260"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eastAsiaTheme="minorEastAsia"/>
                <w:b w:val="0"/>
                <w:bCs w:val="0"/>
                <w:color w:val="auto"/>
                <w:sz w:val="24"/>
                <w:szCs w:val="24"/>
                <w:vertAlign w:val="baseline"/>
                <w:lang w:val="en-US" w:eastAsia="zh-CN"/>
              </w:rPr>
            </w:pPr>
          </w:p>
        </w:tc>
        <w:tc>
          <w:tcPr>
            <w:tcW w:w="3757"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75</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237374</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81" w:firstLineChars="200"/>
              <w:jc w:val="both"/>
              <w:textAlignment w:val="auto"/>
              <w:rPr>
                <w:rFonts w:hint="eastAsia" w:ascii="Times New Roman" w:hAnsi="Times New Roman" w:cs="Times New Roman" w:eastAsiaTheme="minorEastAsia"/>
                <w:b/>
                <w:bCs/>
                <w:color w:val="auto"/>
                <w:kern w:val="2"/>
                <w:sz w:val="24"/>
                <w:szCs w:val="24"/>
                <w:vertAlign w:val="baseline"/>
                <w:lang w:val="en-US" w:eastAsia="zh-CN" w:bidi="ar-SA"/>
              </w:rPr>
            </w:pPr>
            <w:r>
              <w:rPr>
                <w:rFonts w:hint="eastAsia" w:cs="Times New Roman" w:eastAsiaTheme="minorEastAsia"/>
                <w:b/>
                <w:bCs/>
                <w:color w:val="auto"/>
                <w:sz w:val="24"/>
                <w:szCs w:val="24"/>
                <w:vertAlign w:val="baseline"/>
                <w:lang w:val="en-US" w:eastAsia="zh-CN"/>
              </w:rPr>
              <w:t>405</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237374</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Times New Roman" w:hAnsi="Times New Roman" w:eastAsia="Times New Roman"/>
                <w:sz w:val="24"/>
                <w:szCs w:val="24"/>
                <w:lang w:val="en-US" w:eastAsia="zh-CN"/>
              </w:rPr>
              <w:t>Ⅰ类</w:t>
            </w:r>
          </w:p>
        </w:tc>
        <w:tc>
          <w:tcPr>
            <w:tcW w:w="141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100</w:t>
            </w:r>
          </w:p>
        </w:tc>
        <w:tc>
          <w:tcPr>
            <w:tcW w:w="14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cs="Times New Roman" w:eastAsiaTheme="minorEastAsia"/>
                <w:b/>
                <w:bCs/>
                <w:color w:val="auto"/>
                <w:kern w:val="2"/>
                <w:sz w:val="24"/>
                <w:szCs w:val="24"/>
                <w:vertAlign w:val="baseline"/>
                <w:lang w:val="en-US" w:eastAsia="zh-CN" w:bidi="ar-SA"/>
              </w:rPr>
            </w:pPr>
            <w:r>
              <w:rPr>
                <w:rFonts w:hint="eastAsia" w:cs="Times New Roman" w:eastAsiaTheme="minorEastAsia"/>
                <w:b w:val="0"/>
                <w:bCs w:val="0"/>
                <w:color w:val="auto"/>
                <w:sz w:val="24"/>
                <w:szCs w:val="24"/>
                <w:vertAlign w:val="baseline"/>
                <w:lang w:val="en-US" w:eastAsia="zh-CN"/>
              </w:rPr>
              <w:t>0</w:t>
            </w:r>
          </w:p>
        </w:tc>
        <w:tc>
          <w:tcPr>
            <w:tcW w:w="126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Times New Roman" w:cs="Times New Roman"/>
                <w:kern w:val="2"/>
                <w:sz w:val="24"/>
                <w:szCs w:val="24"/>
                <w:lang w:val="en-US" w:eastAsia="zh-CN" w:bidi="ar-SA"/>
              </w:rPr>
            </w:pPr>
            <w:r>
              <w:rPr>
                <w:rFonts w:hint="eastAsia" w:cs="Times New Roman" w:eastAsiaTheme="minorEastAsia"/>
                <w:b w:val="0"/>
                <w:bCs w:val="0"/>
                <w:color w:val="auto"/>
                <w:sz w:val="24"/>
                <w:szCs w:val="24"/>
                <w:vertAlign w:val="baseline"/>
                <w:lang w:val="en-US" w:eastAsia="zh-CN"/>
              </w:rPr>
              <w:t>1类区</w:t>
            </w:r>
          </w:p>
        </w:tc>
        <w:tc>
          <w:tcPr>
            <w:tcW w:w="375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ascii="宋体" w:hAnsi="宋体" w:eastAsia="宋体" w:cs="宋体"/>
                <w:i w:val="0"/>
                <w:color w:val="000000"/>
                <w:kern w:val="0"/>
                <w:sz w:val="24"/>
                <w:szCs w:val="24"/>
                <w:u w:val="none"/>
                <w:lang w:val="en-US" w:eastAsia="zh-CN" w:bidi="ar"/>
              </w:rPr>
              <w:t>北至南环路，南至规划边界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76</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150500</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406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default" w:ascii="宋体" w:hAnsi="宋体" w:eastAsia="宋体" w:cs="宋体"/>
                <w:i w:val="0"/>
                <w:color w:val="000000"/>
                <w:kern w:val="0"/>
                <w:sz w:val="24"/>
                <w:szCs w:val="24"/>
                <w:u w:val="none"/>
                <w:lang w:val="en-US" w:eastAsia="zh-CN" w:bidi="ar"/>
              </w:rPr>
              <w:t>150500</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w:t>
            </w:r>
          </w:p>
        </w:tc>
        <w:tc>
          <w:tcPr>
            <w:tcW w:w="14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Times New Roman"/>
                <w:sz w:val="24"/>
                <w:szCs w:val="24"/>
              </w:rPr>
            </w:pPr>
            <w:r>
              <w:rPr>
                <w:rFonts w:hint="eastAsia" w:cs="Times New Roman" w:eastAsiaTheme="minorEastAsia"/>
                <w:b w:val="0"/>
                <w:bCs w:val="0"/>
                <w:color w:val="auto"/>
                <w:sz w:val="24"/>
                <w:szCs w:val="24"/>
                <w:vertAlign w:val="baseline"/>
                <w:lang w:val="en-US" w:eastAsia="zh-CN"/>
              </w:rPr>
              <w:t>2类区</w:t>
            </w:r>
          </w:p>
        </w:tc>
        <w:tc>
          <w:tcPr>
            <w:tcW w:w="375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北至南环路，东至规划边界，</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bCs/>
                <w:color w:val="auto"/>
                <w:kern w:val="2"/>
                <w:sz w:val="24"/>
                <w:szCs w:val="24"/>
                <w:vertAlign w:val="baseline"/>
                <w:lang w:val="en-US" w:eastAsia="zh-CN" w:bidi="ar-SA"/>
              </w:rPr>
            </w:pPr>
            <w:r>
              <w:rPr>
                <w:rFonts w:hint="eastAsia" w:ascii="宋体" w:hAnsi="宋体" w:eastAsia="宋体" w:cs="宋体"/>
                <w:i w:val="0"/>
                <w:color w:val="000000"/>
                <w:kern w:val="0"/>
                <w:sz w:val="24"/>
                <w:szCs w:val="24"/>
                <w:u w:val="none"/>
                <w:lang w:val="en-US" w:eastAsia="zh-CN" w:bidi="ar"/>
              </w:rPr>
              <w:t>南至规划边界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77</w:t>
            </w:r>
          </w:p>
        </w:tc>
        <w:tc>
          <w:tcPr>
            <w:tcW w:w="127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highlight w:val="none"/>
                <w:u w:val="none"/>
                <w:lang w:val="en-US" w:eastAsia="zh-CN" w:bidi="ar"/>
              </w:rPr>
            </w:pPr>
            <w:r>
              <w:rPr>
                <w:rFonts w:hint="eastAsia" w:ascii="宋体" w:hAnsi="宋体" w:eastAsia="宋体" w:cs="宋体"/>
                <w:b/>
                <w:bCs/>
                <w:i w:val="0"/>
                <w:color w:val="000000"/>
                <w:kern w:val="0"/>
                <w:sz w:val="24"/>
                <w:szCs w:val="24"/>
                <w:highlight w:val="none"/>
                <w:u w:val="none"/>
                <w:lang w:val="en-US" w:eastAsia="zh-CN" w:bidi="ar"/>
              </w:rPr>
              <w:t>4892</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428</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4892</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w:t>
            </w:r>
          </w:p>
        </w:tc>
        <w:tc>
          <w:tcPr>
            <w:tcW w:w="14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2类区</w:t>
            </w:r>
          </w:p>
        </w:tc>
        <w:tc>
          <w:tcPr>
            <w:tcW w:w="375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81" w:firstLineChars="200"/>
              <w:jc w:val="center"/>
              <w:textAlignment w:val="auto"/>
              <w:rPr>
                <w:rFonts w:hint="default" w:ascii="Times New Roman" w:hAnsi="Times New Roman" w:cs="Times New Roman" w:eastAsiaTheme="minorEastAsia"/>
                <w:b/>
                <w:bCs/>
                <w:color w:val="auto"/>
                <w:kern w:val="2"/>
                <w:sz w:val="24"/>
                <w:szCs w:val="24"/>
                <w:vertAlign w:val="baseline"/>
                <w:lang w:val="en-US" w:eastAsia="zh-CN" w:bidi="ar-SA"/>
              </w:rPr>
            </w:pPr>
            <w:r>
              <w:rPr>
                <w:rFonts w:hint="eastAsia" w:cs="Times New Roman" w:eastAsiaTheme="minorEastAsia"/>
                <w:b/>
                <w:bCs/>
                <w:color w:val="auto"/>
                <w:kern w:val="2"/>
                <w:sz w:val="24"/>
                <w:szCs w:val="24"/>
                <w:vertAlign w:val="baseline"/>
                <w:lang w:val="en-US" w:eastAsia="zh-CN" w:bidi="ar-SA"/>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78</w:t>
            </w:r>
          </w:p>
        </w:tc>
        <w:tc>
          <w:tcPr>
            <w:tcW w:w="127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highlight w:val="none"/>
                <w:u w:val="none"/>
                <w:lang w:val="en-US" w:eastAsia="zh-CN" w:bidi="ar"/>
              </w:rPr>
            </w:pPr>
            <w:r>
              <w:rPr>
                <w:rFonts w:hint="eastAsia" w:ascii="宋体" w:hAnsi="宋体" w:eastAsia="宋体" w:cs="宋体"/>
                <w:b/>
                <w:bCs/>
                <w:i w:val="0"/>
                <w:color w:val="000000"/>
                <w:kern w:val="0"/>
                <w:sz w:val="24"/>
                <w:szCs w:val="24"/>
                <w:highlight w:val="none"/>
                <w:u w:val="none"/>
                <w:lang w:val="en-US" w:eastAsia="zh-CN" w:bidi="ar"/>
              </w:rPr>
              <w:t>14780</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426</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14780</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w:t>
            </w:r>
          </w:p>
        </w:tc>
        <w:tc>
          <w:tcPr>
            <w:tcW w:w="14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2类区</w:t>
            </w:r>
          </w:p>
        </w:tc>
        <w:tc>
          <w:tcPr>
            <w:tcW w:w="375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5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79</w:t>
            </w:r>
          </w:p>
        </w:tc>
        <w:tc>
          <w:tcPr>
            <w:tcW w:w="127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b/>
                <w:bCs/>
                <w:i w:val="0"/>
                <w:color w:val="000000"/>
                <w:kern w:val="0"/>
                <w:sz w:val="24"/>
                <w:szCs w:val="24"/>
                <w:highlight w:val="none"/>
                <w:u w:val="none"/>
                <w:lang w:val="en-US" w:eastAsia="zh-CN" w:bidi="ar"/>
              </w:rPr>
            </w:pPr>
            <w:r>
              <w:rPr>
                <w:rFonts w:hint="eastAsia" w:ascii="宋体" w:hAnsi="宋体" w:eastAsia="宋体" w:cs="宋体"/>
                <w:b/>
                <w:bCs/>
                <w:i w:val="0"/>
                <w:color w:val="000000"/>
                <w:kern w:val="0"/>
                <w:sz w:val="24"/>
                <w:szCs w:val="24"/>
                <w:highlight w:val="none"/>
                <w:u w:val="none"/>
                <w:lang w:val="en-US" w:eastAsia="zh-CN" w:bidi="ar"/>
              </w:rPr>
              <w:t>31329</w:t>
            </w:r>
          </w:p>
        </w:tc>
        <w:tc>
          <w:tcPr>
            <w:tcW w:w="13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427</w:t>
            </w:r>
          </w:p>
        </w:tc>
        <w:tc>
          <w:tcPr>
            <w:tcW w:w="13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31329</w:t>
            </w:r>
          </w:p>
        </w:tc>
        <w:tc>
          <w:tcPr>
            <w:tcW w:w="14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其他</w:t>
            </w:r>
          </w:p>
        </w:tc>
        <w:tc>
          <w:tcPr>
            <w:tcW w:w="141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w:t>
            </w:r>
          </w:p>
        </w:tc>
        <w:tc>
          <w:tcPr>
            <w:tcW w:w="145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0</w:t>
            </w:r>
          </w:p>
        </w:tc>
        <w:tc>
          <w:tcPr>
            <w:tcW w:w="126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eastAsiaTheme="minorEastAsia"/>
                <w:b w:val="0"/>
                <w:bCs w:val="0"/>
                <w:color w:val="auto"/>
                <w:sz w:val="24"/>
                <w:szCs w:val="24"/>
                <w:vertAlign w:val="baseline"/>
                <w:lang w:val="en-US" w:eastAsia="zh-CN"/>
              </w:rPr>
            </w:pPr>
            <w:r>
              <w:rPr>
                <w:rFonts w:hint="eastAsia" w:cs="Times New Roman" w:eastAsiaTheme="minorEastAsia"/>
                <w:b w:val="0"/>
                <w:bCs w:val="0"/>
                <w:color w:val="auto"/>
                <w:sz w:val="24"/>
                <w:szCs w:val="24"/>
                <w:vertAlign w:val="baseline"/>
                <w:lang w:val="en-US" w:eastAsia="zh-CN"/>
              </w:rPr>
              <w:t>2类区</w:t>
            </w:r>
          </w:p>
        </w:tc>
        <w:tc>
          <w:tcPr>
            <w:tcW w:w="375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eastAsiaTheme="minorEastAsia"/>
                <w:b/>
                <w:bCs/>
                <w:color w:val="auto"/>
                <w:sz w:val="24"/>
                <w:szCs w:val="24"/>
                <w:vertAlign w:val="baseline"/>
                <w:lang w:val="en-US" w:eastAsia="zh-CN"/>
              </w:rPr>
            </w:pPr>
            <w:r>
              <w:rPr>
                <w:rFonts w:hint="eastAsia" w:cs="Times New Roman" w:eastAsiaTheme="minorEastAsia"/>
                <w:b/>
                <w:bCs/>
                <w:color w:val="auto"/>
                <w:sz w:val="24"/>
                <w:szCs w:val="24"/>
                <w:vertAlign w:val="baseline"/>
                <w:lang w:val="en-US" w:eastAsia="zh-CN"/>
              </w:rPr>
              <w:t>/</w:t>
            </w:r>
          </w:p>
        </w:tc>
      </w:tr>
    </w:tbl>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lang w:val="en-US" w:eastAsia="zh-CN"/>
        </w:rPr>
        <w:sectPr>
          <w:pgSz w:w="16838" w:h="11906" w:orient="landscape"/>
          <w:pgMar w:top="1797" w:right="1440" w:bottom="1797" w:left="1440" w:header="851" w:footer="992" w:gutter="0"/>
          <w:pgBorders>
            <w:top w:val="none" w:sz="0" w:space="0"/>
            <w:left w:val="none" w:sz="0" w:space="0"/>
            <w:bottom w:val="none" w:sz="0" w:space="0"/>
            <w:right w:val="none" w:sz="0" w:space="0"/>
          </w:pgBorders>
          <w:pgNumType w:fmt="decimal"/>
          <w:cols w:space="425" w:num="1"/>
          <w:docGrid w:type="lines" w:linePitch="381" w:charSpace="0"/>
        </w:sectPr>
      </w:pP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color w:val="auto"/>
          <w:sz w:val="28"/>
          <w:szCs w:val="28"/>
          <w:lang w:val="en-US" w:eastAsia="zh-CN"/>
        </w:rPr>
      </w:pPr>
      <w:r>
        <w:rPr>
          <w:rFonts w:hint="eastAsia" w:ascii="Times New Roman" w:hAnsi="Times New Roman" w:cs="Times New Roman" w:eastAsiaTheme="minorEastAsia"/>
          <w:color w:val="auto"/>
          <w:sz w:val="28"/>
          <w:szCs w:val="28"/>
          <w:lang w:val="en-US" w:eastAsia="zh-CN"/>
        </w:rPr>
        <w:drawing>
          <wp:anchor distT="0" distB="0" distL="114300" distR="114300" simplePos="0" relativeHeight="251995136" behindDoc="1" locked="0" layoutInCell="1" allowOverlap="1">
            <wp:simplePos x="0" y="0"/>
            <wp:positionH relativeFrom="column">
              <wp:posOffset>-416560</wp:posOffset>
            </wp:positionH>
            <wp:positionV relativeFrom="paragraph">
              <wp:posOffset>-147320</wp:posOffset>
            </wp:positionV>
            <wp:extent cx="6283325" cy="8884920"/>
            <wp:effectExtent l="0" t="0" r="3175" b="11430"/>
            <wp:wrapNone/>
            <wp:docPr id="18" name="图片 18" descr="附图7曲沃县城市区域声环境功能区初步划分图"/>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18" descr="附图7曲沃县城市区域声环境功能区初步划分图"/>
                    <pic:cNvPicPr>
                      <a:picLocks noChangeAspect="true"/>
                    </pic:cNvPicPr>
                  </pic:nvPicPr>
                  <pic:blipFill>
                    <a:blip r:embed="rId53"/>
                    <a:stretch>
                      <a:fillRect/>
                    </a:stretch>
                  </pic:blipFill>
                  <pic:spPr>
                    <a:xfrm>
                      <a:off x="0" y="0"/>
                      <a:ext cx="6283325" cy="8884920"/>
                    </a:xfrm>
                    <a:prstGeom prst="rect">
                      <a:avLst/>
                    </a:prstGeom>
                  </pic:spPr>
                </pic:pic>
              </a:graphicData>
            </a:graphic>
          </wp:anchor>
        </w:drawing>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color w:val="auto"/>
          <w:sz w:val="28"/>
          <w:szCs w:val="28"/>
          <w:lang w:val="en-US" w:eastAsia="zh-CN"/>
        </w:rPr>
      </w:pP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color w:val="auto"/>
          <w:sz w:val="28"/>
          <w:szCs w:val="28"/>
          <w:lang w:val="en-US" w:eastAsia="zh-CN"/>
        </w:rPr>
      </w:pP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color w:val="auto"/>
          <w:sz w:val="28"/>
          <w:szCs w:val="28"/>
          <w:lang w:val="en-US" w:eastAsia="zh-CN"/>
        </w:rPr>
      </w:pP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color w:val="auto"/>
          <w:sz w:val="28"/>
          <w:szCs w:val="28"/>
          <w:lang w:val="en-US" w:eastAsia="zh-CN"/>
        </w:rPr>
      </w:pPr>
    </w:p>
    <w:p>
      <w:pPr>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outlineLvl w:val="9"/>
        <w:rPr>
          <w:rFonts w:hint="eastAsia" w:ascii="Times New Roman" w:hAnsi="Times New Roman" w:cs="Times New Roman" w:eastAsiaTheme="minorEastAsia"/>
          <w:color w:val="auto"/>
          <w:sz w:val="28"/>
          <w:szCs w:val="28"/>
          <w:lang w:val="en-US" w:eastAsia="zh-CN"/>
        </w:rPr>
      </w:pPr>
    </w:p>
    <w:p>
      <w:pPr>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outlineLvl w:val="9"/>
        <w:rPr>
          <w:rFonts w:hint="eastAsia" w:ascii="Times New Roman" w:hAnsi="Times New Roman" w:cs="Times New Roman" w:eastAsiaTheme="minorEastAsia"/>
          <w:color w:val="auto"/>
          <w:sz w:val="28"/>
          <w:szCs w:val="28"/>
          <w:lang w:val="en-US" w:eastAsia="zh-CN"/>
        </w:rPr>
      </w:pPr>
    </w:p>
    <w:p>
      <w:pPr>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outlineLvl w:val="9"/>
        <w:rPr>
          <w:rFonts w:hint="eastAsia" w:ascii="Times New Roman" w:hAnsi="Times New Roman" w:cs="Times New Roman" w:eastAsiaTheme="minorEastAsia"/>
          <w:color w:val="auto"/>
          <w:sz w:val="28"/>
          <w:szCs w:val="28"/>
          <w:lang w:val="en-US" w:eastAsia="zh-CN"/>
        </w:rPr>
      </w:pPr>
    </w:p>
    <w:p>
      <w:pPr>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outlineLvl w:val="9"/>
        <w:rPr>
          <w:rFonts w:hint="eastAsia" w:ascii="Times New Roman" w:hAnsi="Times New Roman" w:cs="Times New Roman" w:eastAsiaTheme="minorEastAsia"/>
          <w:color w:val="auto"/>
          <w:sz w:val="28"/>
          <w:szCs w:val="28"/>
          <w:lang w:val="en-US" w:eastAsia="zh-CN"/>
        </w:rPr>
      </w:pPr>
    </w:p>
    <w:p>
      <w:pPr>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outlineLvl w:val="9"/>
        <w:rPr>
          <w:rFonts w:hint="eastAsia" w:ascii="Times New Roman" w:hAnsi="Times New Roman" w:cs="Times New Roman" w:eastAsiaTheme="minorEastAsia"/>
          <w:color w:val="auto"/>
          <w:sz w:val="28"/>
          <w:szCs w:val="28"/>
          <w:lang w:val="en-US" w:eastAsia="zh-CN"/>
        </w:rPr>
      </w:pPr>
    </w:p>
    <w:p>
      <w:pPr>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outlineLvl w:val="9"/>
        <w:rPr>
          <w:rFonts w:hint="eastAsia" w:ascii="Times New Roman" w:hAnsi="Times New Roman" w:cs="Times New Roman" w:eastAsiaTheme="minorEastAsia"/>
          <w:color w:val="auto"/>
          <w:sz w:val="28"/>
          <w:szCs w:val="28"/>
          <w:lang w:val="en-US" w:eastAsia="zh-CN"/>
        </w:rPr>
      </w:pPr>
    </w:p>
    <w:p>
      <w:pPr>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outlineLvl w:val="9"/>
        <w:rPr>
          <w:rFonts w:hint="eastAsia" w:ascii="Times New Roman" w:hAnsi="Times New Roman" w:cs="Times New Roman" w:eastAsiaTheme="minorEastAsia"/>
          <w:color w:val="auto"/>
          <w:sz w:val="28"/>
          <w:szCs w:val="28"/>
          <w:lang w:val="en-US" w:eastAsia="zh-CN"/>
        </w:rPr>
      </w:pPr>
    </w:p>
    <w:p>
      <w:pPr>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outlineLvl w:val="9"/>
        <w:rPr>
          <w:rFonts w:hint="eastAsia" w:ascii="Times New Roman" w:hAnsi="Times New Roman" w:cs="Times New Roman" w:eastAsiaTheme="minorEastAsia"/>
          <w:color w:val="auto"/>
          <w:sz w:val="28"/>
          <w:szCs w:val="28"/>
          <w:lang w:val="en-US" w:eastAsia="zh-CN"/>
        </w:rPr>
      </w:pP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color w:val="auto"/>
          <w:sz w:val="28"/>
          <w:szCs w:val="28"/>
          <w:lang w:val="en-US" w:eastAsia="zh-CN"/>
        </w:rPr>
      </w:pP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color w:val="auto"/>
          <w:sz w:val="28"/>
          <w:szCs w:val="28"/>
          <w:lang w:val="en-US" w:eastAsia="zh-CN"/>
        </w:rPr>
      </w:pP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color w:val="auto"/>
          <w:sz w:val="28"/>
          <w:szCs w:val="28"/>
          <w:lang w:val="en-US" w:eastAsia="zh-CN"/>
        </w:rPr>
      </w:pP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color w:val="auto"/>
          <w:sz w:val="28"/>
          <w:szCs w:val="28"/>
          <w:lang w:val="en-US" w:eastAsia="zh-CN"/>
        </w:rPr>
      </w:pP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color w:val="auto"/>
          <w:sz w:val="28"/>
          <w:szCs w:val="28"/>
          <w:lang w:val="en-US" w:eastAsia="zh-CN"/>
        </w:rPr>
      </w:pP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color w:val="auto"/>
          <w:sz w:val="28"/>
          <w:szCs w:val="28"/>
          <w:lang w:val="en-US" w:eastAsia="zh-CN"/>
        </w:rPr>
      </w:pP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color w:val="auto"/>
          <w:sz w:val="28"/>
          <w:szCs w:val="28"/>
          <w:lang w:val="en-US" w:eastAsia="zh-CN"/>
        </w:rPr>
      </w:pP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color w:val="auto"/>
          <w:sz w:val="28"/>
          <w:szCs w:val="28"/>
          <w:lang w:val="en-US" w:eastAsia="zh-CN"/>
        </w:rPr>
      </w:pP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eastAsiaTheme="minorEastAsia"/>
          <w:color w:val="auto"/>
          <w:sz w:val="28"/>
          <w:szCs w:val="28"/>
          <w:lang w:val="en-US" w:eastAsia="zh-CN"/>
        </w:rPr>
      </w:pPr>
      <w:r>
        <w:rPr>
          <w:rFonts w:hint="eastAsia" w:cs="Times New Roman" w:eastAsiaTheme="minorEastAsia"/>
          <w:color w:val="auto"/>
          <w:sz w:val="28"/>
          <w:szCs w:val="28"/>
          <w:lang w:val="en-US" w:eastAsia="zh-CN"/>
        </w:rPr>
        <w:t>图5-2   曲沃县城市区域声环境功能区初步划分图</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sz w:val="28"/>
          <w:szCs w:val="28"/>
          <w:lang w:val="en-US" w:eastAsia="zh-CN"/>
        </w:rPr>
      </w:pPr>
      <w:r>
        <w:rPr>
          <w:rFonts w:hint="eastAsia" w:ascii="Times New Roman" w:hAnsi="Times New Roman" w:cs="Times New Roman" w:eastAsiaTheme="minorEastAsia"/>
          <w:color w:val="auto"/>
          <w:sz w:val="28"/>
          <w:szCs w:val="28"/>
          <w:lang w:val="en-US" w:eastAsia="zh-CN"/>
        </w:rPr>
        <w:t>5.5.</w:t>
      </w:r>
      <w:r>
        <w:rPr>
          <w:rFonts w:hint="eastAsia" w:cs="Times New Roman" w:eastAsiaTheme="minorEastAsia"/>
          <w:color w:val="auto"/>
          <w:sz w:val="28"/>
          <w:szCs w:val="28"/>
          <w:lang w:val="en-US" w:eastAsia="zh-CN"/>
        </w:rPr>
        <w:t>2</w:t>
      </w:r>
      <w:r>
        <w:rPr>
          <w:rFonts w:hint="eastAsia" w:ascii="Times New Roman" w:hAnsi="Times New Roman" w:cs="Times New Roman" w:eastAsiaTheme="minorEastAsia"/>
          <w:color w:val="auto"/>
          <w:sz w:val="28"/>
          <w:szCs w:val="28"/>
          <w:lang w:val="en-US" w:eastAsia="zh-CN"/>
        </w:rPr>
        <w:t>单元合并</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sz w:val="24"/>
          <w:szCs w:val="24"/>
        </w:rPr>
      </w:pPr>
      <w:r>
        <w:rPr>
          <w:rFonts w:hint="eastAsia" w:ascii="宋体" w:hAnsi="宋体" w:eastAsia="宋体" w:cs="宋体"/>
          <w:sz w:val="24"/>
          <w:szCs w:val="24"/>
        </w:rPr>
        <w:t>根据现状用地功能对初步确定的功能类别相同且相邻的单元连成片，充分利用街、区行政边界，道路、河流、沟壑、绿地等自然地形作为区域边界。</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color w:val="0B5FD1"/>
          <w:sz w:val="24"/>
          <w:szCs w:val="24"/>
        </w:rPr>
      </w:pPr>
      <w:r>
        <w:rPr>
          <w:rFonts w:hint="eastAsia" w:ascii="宋体" w:hAnsi="宋体" w:eastAsia="宋体" w:cs="宋体"/>
          <w:color w:val="0B5FD1"/>
          <w:sz w:val="24"/>
          <w:szCs w:val="24"/>
        </w:rPr>
        <w:t>（1）1类区连成片</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color w:val="0B5FD1"/>
          <w:sz w:val="24"/>
          <w:szCs w:val="24"/>
          <w:highlight w:val="yellow"/>
          <w:lang w:val="en-US" w:eastAsia="zh-CN"/>
        </w:rPr>
      </w:pPr>
      <w:r>
        <w:rPr>
          <w:rFonts w:hint="eastAsia" w:ascii="宋体" w:hAnsi="宋体" w:eastAsia="宋体" w:cs="宋体"/>
          <w:color w:val="0B5FD1"/>
          <w:sz w:val="24"/>
          <w:szCs w:val="24"/>
          <w:highlight w:val="none"/>
        </w:rPr>
        <w:t>单元格</w:t>
      </w:r>
      <w:r>
        <w:rPr>
          <w:rFonts w:hint="eastAsia" w:ascii="宋体" w:hAnsi="宋体" w:eastAsia="宋体" w:cs="宋体"/>
          <w:color w:val="0B5FD1"/>
          <w:sz w:val="24"/>
          <w:szCs w:val="24"/>
          <w:highlight w:val="none"/>
          <w:lang w:val="en-US" w:eastAsia="zh-CN"/>
        </w:rPr>
        <w:t>1-4、10-11、13-14、26、23-24、34-37、40、47-51，5-7、9、17-22、29-33、42-43、45-46、53-54、56、58、59-62、64-65、67、69-71、73、75，连成一片，</w:t>
      </w:r>
      <w:r>
        <w:rPr>
          <w:rFonts w:hint="eastAsia" w:ascii="宋体" w:hAnsi="宋体" w:eastAsia="宋体" w:cs="宋体"/>
          <w:color w:val="0B5FD1"/>
          <w:sz w:val="24"/>
          <w:szCs w:val="24"/>
          <w:highlight w:val="none"/>
        </w:rPr>
        <w:t>面积为</w:t>
      </w:r>
      <w:r>
        <w:rPr>
          <w:rFonts w:hint="eastAsia" w:ascii="宋体" w:hAnsi="宋体" w:eastAsia="宋体" w:cs="宋体"/>
          <w:color w:val="0B5FD1"/>
          <w:sz w:val="24"/>
          <w:szCs w:val="24"/>
          <w:highlight w:val="none"/>
          <w:lang w:val="en-US" w:eastAsia="zh-CN"/>
        </w:rPr>
        <w:t>9.92</w:t>
      </w:r>
      <w:r>
        <w:rPr>
          <w:rFonts w:hint="eastAsia" w:ascii="宋体" w:hAnsi="宋体" w:eastAsia="宋体" w:cs="宋体"/>
          <w:color w:val="0B5FD1"/>
          <w:sz w:val="24"/>
          <w:szCs w:val="24"/>
          <w:highlight w:val="none"/>
        </w:rPr>
        <w:t>km</w:t>
      </w:r>
      <w:r>
        <w:rPr>
          <w:rFonts w:hint="eastAsia" w:ascii="宋体" w:hAnsi="宋体" w:eastAsia="宋体" w:cs="宋体"/>
          <w:color w:val="0B5FD1"/>
          <w:sz w:val="24"/>
          <w:szCs w:val="24"/>
          <w:highlight w:val="none"/>
          <w:vertAlign w:val="superscript"/>
        </w:rPr>
        <w:t>2</w:t>
      </w:r>
      <w:r>
        <w:rPr>
          <w:rFonts w:hint="eastAsia" w:ascii="宋体" w:hAnsi="宋体" w:eastAsia="宋体" w:cs="宋体"/>
          <w:color w:val="0B5FD1"/>
          <w:sz w:val="24"/>
          <w:szCs w:val="24"/>
          <w:highlight w:val="none"/>
        </w:rPr>
        <w:t>；</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1类单元合并情况详见表5-</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表5-5  1类区单元合并情况</w:t>
      </w:r>
    </w:p>
    <w:tbl>
      <w:tblPr>
        <w:tblStyle w:val="24"/>
        <w:tblW w:w="8528"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204"/>
        <w:gridCol w:w="2370"/>
        <w:gridCol w:w="1591"/>
        <w:gridCol w:w="3363"/>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04" w:type="dxa"/>
            <w:vAlign w:val="center"/>
          </w:tcPr>
          <w:p>
            <w:pPr>
              <w:pStyle w:val="45"/>
              <w:keepNext w:val="0"/>
              <w:keepLines w:val="0"/>
              <w:suppressLineNumbers w:val="0"/>
              <w:spacing w:before="0" w:beforeAutospacing="0" w:after="0" w:afterAutospacing="0"/>
              <w:ind w:left="0" w:right="0"/>
              <w:rPr>
                <w:rFonts w:hint="eastAsia" w:ascii="宋体" w:hAnsi="宋体" w:eastAsia="宋体" w:cs="宋体"/>
                <w:sz w:val="24"/>
                <w:szCs w:val="24"/>
              </w:rPr>
            </w:pPr>
            <w:r>
              <w:rPr>
                <w:rFonts w:hint="eastAsia" w:ascii="宋体" w:hAnsi="宋体" w:eastAsia="宋体" w:cs="宋体"/>
                <w:sz w:val="24"/>
                <w:szCs w:val="24"/>
              </w:rPr>
              <w:t>片区编号</w:t>
            </w:r>
          </w:p>
        </w:tc>
        <w:tc>
          <w:tcPr>
            <w:tcW w:w="2370" w:type="dxa"/>
            <w:vAlign w:val="center"/>
          </w:tcPr>
          <w:p>
            <w:pPr>
              <w:pStyle w:val="45"/>
              <w:keepNext w:val="0"/>
              <w:keepLines w:val="0"/>
              <w:suppressLineNumbers w:val="0"/>
              <w:spacing w:before="0" w:beforeAutospacing="0" w:after="0" w:afterAutospacing="0"/>
              <w:ind w:left="0" w:right="0"/>
              <w:rPr>
                <w:rFonts w:hint="eastAsia" w:ascii="宋体" w:hAnsi="宋体" w:eastAsia="宋体" w:cs="宋体"/>
                <w:sz w:val="24"/>
                <w:szCs w:val="24"/>
              </w:rPr>
            </w:pPr>
            <w:r>
              <w:rPr>
                <w:rFonts w:hint="eastAsia" w:ascii="宋体" w:hAnsi="宋体" w:eastAsia="宋体" w:cs="宋体"/>
                <w:sz w:val="24"/>
                <w:szCs w:val="24"/>
              </w:rPr>
              <w:t>包含单元号</w:t>
            </w:r>
          </w:p>
        </w:tc>
        <w:tc>
          <w:tcPr>
            <w:tcW w:w="1591" w:type="dxa"/>
            <w:vAlign w:val="center"/>
          </w:tcPr>
          <w:p>
            <w:pPr>
              <w:pStyle w:val="45"/>
              <w:keepNext w:val="0"/>
              <w:keepLines w:val="0"/>
              <w:suppressLineNumbers w:val="0"/>
              <w:spacing w:before="0" w:beforeAutospacing="0" w:after="0" w:afterAutospacing="0"/>
              <w:ind w:left="0" w:right="0"/>
              <w:rPr>
                <w:rFonts w:hint="eastAsia" w:ascii="宋体" w:hAnsi="宋体" w:eastAsia="宋体" w:cs="宋体"/>
                <w:sz w:val="24"/>
                <w:szCs w:val="24"/>
              </w:rPr>
            </w:pPr>
            <w:r>
              <w:rPr>
                <w:rFonts w:hint="eastAsia" w:ascii="宋体" w:hAnsi="宋体" w:eastAsia="宋体" w:cs="宋体"/>
                <w:sz w:val="24"/>
                <w:szCs w:val="24"/>
              </w:rPr>
              <w:t>总面积（km</w:t>
            </w:r>
            <w:r>
              <w:rPr>
                <w:rFonts w:hint="eastAsia" w:ascii="宋体" w:hAnsi="宋体" w:eastAsia="宋体" w:cs="宋体"/>
                <w:sz w:val="24"/>
                <w:szCs w:val="24"/>
                <w:vertAlign w:val="superscript"/>
              </w:rPr>
              <w:t>2</w:t>
            </w:r>
            <w:r>
              <w:rPr>
                <w:rFonts w:hint="eastAsia" w:ascii="宋体" w:hAnsi="宋体" w:eastAsia="宋体" w:cs="宋体"/>
                <w:sz w:val="24"/>
                <w:szCs w:val="24"/>
              </w:rPr>
              <w:t>）</w:t>
            </w:r>
          </w:p>
        </w:tc>
        <w:tc>
          <w:tcPr>
            <w:tcW w:w="3363" w:type="dxa"/>
            <w:vAlign w:val="center"/>
          </w:tcPr>
          <w:p>
            <w:pPr>
              <w:pStyle w:val="45"/>
              <w:keepNext w:val="0"/>
              <w:keepLines w:val="0"/>
              <w:suppressLineNumbers w:val="0"/>
              <w:spacing w:before="0" w:beforeAutospacing="0" w:after="0" w:afterAutospacing="0"/>
              <w:ind w:left="0" w:right="0"/>
              <w:rPr>
                <w:rFonts w:hint="eastAsia" w:ascii="宋体" w:hAnsi="宋体" w:eastAsia="宋体" w:cs="宋体"/>
                <w:sz w:val="24"/>
                <w:szCs w:val="24"/>
              </w:rPr>
            </w:pPr>
            <w:r>
              <w:rPr>
                <w:rFonts w:hint="eastAsia" w:ascii="宋体" w:hAnsi="宋体" w:eastAsia="宋体" w:cs="宋体"/>
                <w:sz w:val="24"/>
                <w:szCs w:val="24"/>
              </w:rPr>
              <w:t>地理边界</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54" w:hRule="atLeast"/>
        </w:trPr>
        <w:tc>
          <w:tcPr>
            <w:tcW w:w="1204" w:type="dxa"/>
            <w:vAlign w:val="center"/>
          </w:tcPr>
          <w:p>
            <w:pPr>
              <w:pStyle w:val="45"/>
              <w:keepNext w:val="0"/>
              <w:keepLines w:val="0"/>
              <w:suppressLineNumbers w:val="0"/>
              <w:spacing w:before="0" w:beforeAutospacing="0" w:after="0" w:afterAutospacing="0"/>
              <w:ind w:left="0" w:right="0"/>
              <w:rPr>
                <w:rFonts w:hint="eastAsia" w:ascii="宋体" w:hAnsi="宋体" w:eastAsia="宋体" w:cs="宋体"/>
                <w:sz w:val="24"/>
                <w:szCs w:val="24"/>
              </w:rPr>
            </w:pPr>
            <w:r>
              <w:rPr>
                <w:rFonts w:hint="eastAsia" w:ascii="宋体" w:hAnsi="宋体" w:eastAsia="宋体" w:cs="宋体"/>
                <w:sz w:val="24"/>
                <w:szCs w:val="24"/>
              </w:rPr>
              <w:t>1-1</w:t>
            </w:r>
          </w:p>
        </w:tc>
        <w:tc>
          <w:tcPr>
            <w:tcW w:w="2370" w:type="dxa"/>
            <w:vAlign w:val="center"/>
          </w:tcPr>
          <w:p>
            <w:pPr>
              <w:pStyle w:val="45"/>
              <w:keepNext w:val="0"/>
              <w:keepLines w:val="0"/>
              <w:suppressLineNumbers w:val="0"/>
              <w:spacing w:before="0" w:beforeAutospacing="0" w:after="0" w:afterAutospacing="0"/>
              <w:ind w:left="0" w:right="0"/>
              <w:rPr>
                <w:rFonts w:hint="eastAsia" w:ascii="宋体" w:hAnsi="宋体" w:eastAsia="宋体" w:cs="宋体"/>
                <w:sz w:val="24"/>
                <w:szCs w:val="24"/>
                <w:lang w:eastAsia="zh-CN"/>
              </w:rPr>
            </w:pPr>
            <w:r>
              <w:rPr>
                <w:rFonts w:hint="eastAsia" w:ascii="宋体" w:hAnsi="宋体" w:eastAsia="宋体" w:cs="宋体"/>
                <w:sz w:val="24"/>
                <w:szCs w:val="24"/>
                <w:highlight w:val="none"/>
                <w:lang w:val="en-US" w:eastAsia="zh-CN"/>
              </w:rPr>
              <w:t>1-4、10-11、13-14、26、23-24、34-37、40、47-51</w:t>
            </w:r>
            <w:r>
              <w:rPr>
                <w:rFonts w:hint="eastAsia" w:ascii="宋体" w:hAnsi="宋体" w:cs="宋体"/>
                <w:sz w:val="24"/>
                <w:szCs w:val="24"/>
                <w:highlight w:val="none"/>
                <w:lang w:val="en-US" w:eastAsia="zh-CN"/>
              </w:rPr>
              <w:t>、</w:t>
            </w:r>
            <w:r>
              <w:rPr>
                <w:rFonts w:hint="eastAsia" w:ascii="宋体" w:hAnsi="宋体" w:eastAsia="宋体" w:cs="宋体"/>
                <w:sz w:val="24"/>
                <w:szCs w:val="24"/>
                <w:highlight w:val="none"/>
                <w:lang w:val="en-US" w:eastAsia="zh-CN"/>
              </w:rPr>
              <w:t>5-7、9、17-22、29-33、42-43、45-46、53-54、56、58、59-62、64-65、67、69-71、73、75</w:t>
            </w:r>
          </w:p>
        </w:tc>
        <w:tc>
          <w:tcPr>
            <w:tcW w:w="1591" w:type="dxa"/>
            <w:vAlign w:val="center"/>
          </w:tcPr>
          <w:p>
            <w:pPr>
              <w:pStyle w:val="45"/>
              <w:keepNext w:val="0"/>
              <w:keepLines w:val="0"/>
              <w:suppressLineNumbers w:val="0"/>
              <w:spacing w:before="0" w:beforeAutospacing="0" w:after="0" w:afterAutospacing="0"/>
              <w:ind w:left="0" w:right="0"/>
              <w:rPr>
                <w:rFonts w:hint="default" w:ascii="宋体" w:hAnsi="宋体" w:eastAsia="宋体" w:cs="宋体"/>
                <w:sz w:val="24"/>
                <w:szCs w:val="24"/>
                <w:lang w:val="en-US" w:eastAsia="zh-CN"/>
              </w:rPr>
            </w:pPr>
            <w:r>
              <w:rPr>
                <w:rFonts w:hint="eastAsia" w:ascii="宋体" w:hAnsi="宋体" w:cs="宋体"/>
                <w:sz w:val="24"/>
                <w:szCs w:val="24"/>
                <w:lang w:val="en-US" w:eastAsia="zh-CN"/>
              </w:rPr>
              <w:t>9.92</w:t>
            </w:r>
          </w:p>
        </w:tc>
        <w:tc>
          <w:tcPr>
            <w:tcW w:w="3363" w:type="dxa"/>
            <w:vAlign w:val="center"/>
          </w:tcPr>
          <w:p>
            <w:pPr>
              <w:pStyle w:val="45"/>
              <w:keepNext w:val="0"/>
              <w:keepLines w:val="0"/>
              <w:suppressLineNumbers w:val="0"/>
              <w:spacing w:before="0" w:beforeAutospacing="0" w:after="0" w:afterAutospacing="0"/>
              <w:ind w:left="0" w:right="0"/>
              <w:rPr>
                <w:rFonts w:hint="default" w:ascii="宋体" w:hAnsi="宋体" w:eastAsia="宋体" w:cs="宋体"/>
                <w:sz w:val="24"/>
                <w:szCs w:val="24"/>
                <w:highlight w:val="red"/>
                <w:lang w:val="en-US"/>
              </w:rPr>
            </w:pPr>
            <w:r>
              <w:rPr>
                <w:rFonts w:hint="default"/>
                <w:sz w:val="21"/>
                <w:szCs w:val="21"/>
                <w:highlight w:val="none"/>
              </w:rPr>
              <w:t>北至</w:t>
            </w:r>
            <w:r>
              <w:rPr>
                <w:rFonts w:hint="eastAsia"/>
                <w:sz w:val="21"/>
                <w:szCs w:val="21"/>
                <w:highlight w:val="none"/>
                <w:lang w:val="en-US" w:eastAsia="zh-CN"/>
              </w:rPr>
              <w:t>规划一街</w:t>
            </w:r>
            <w:r>
              <w:rPr>
                <w:rFonts w:hint="eastAsia"/>
                <w:sz w:val="21"/>
                <w:szCs w:val="21"/>
                <w:highlight w:val="none"/>
              </w:rPr>
              <w:t>，</w:t>
            </w:r>
            <w:r>
              <w:rPr>
                <w:rFonts w:hint="default"/>
                <w:sz w:val="21"/>
                <w:szCs w:val="21"/>
                <w:highlight w:val="none"/>
              </w:rPr>
              <w:t>东至</w:t>
            </w:r>
            <w:r>
              <w:rPr>
                <w:rFonts w:hint="eastAsia"/>
                <w:sz w:val="21"/>
                <w:szCs w:val="21"/>
                <w:highlight w:val="none"/>
                <w:lang w:val="en-US" w:eastAsia="zh-CN"/>
              </w:rPr>
              <w:t>曲绛线</w:t>
            </w:r>
            <w:r>
              <w:rPr>
                <w:rFonts w:hint="eastAsia"/>
                <w:sz w:val="21"/>
                <w:szCs w:val="21"/>
                <w:highlight w:val="none"/>
              </w:rPr>
              <w:t>、</w:t>
            </w:r>
            <w:r>
              <w:rPr>
                <w:rFonts w:hint="default"/>
                <w:sz w:val="21"/>
                <w:szCs w:val="21"/>
                <w:highlight w:val="none"/>
              </w:rPr>
              <w:t>南</w:t>
            </w:r>
            <w:r>
              <w:rPr>
                <w:rFonts w:hint="eastAsia"/>
                <w:sz w:val="21"/>
                <w:szCs w:val="21"/>
                <w:highlight w:val="none"/>
                <w:lang w:val="en-US" w:eastAsia="zh-CN"/>
              </w:rPr>
              <w:t>至规划边界</w:t>
            </w:r>
            <w:r>
              <w:rPr>
                <w:rFonts w:hint="eastAsia"/>
                <w:sz w:val="21"/>
                <w:szCs w:val="21"/>
                <w:highlight w:val="none"/>
              </w:rPr>
              <w:t>，</w:t>
            </w:r>
            <w:r>
              <w:rPr>
                <w:rFonts w:hint="default"/>
                <w:sz w:val="21"/>
                <w:szCs w:val="21"/>
                <w:highlight w:val="none"/>
              </w:rPr>
              <w:t>西至</w:t>
            </w:r>
            <w:r>
              <w:rPr>
                <w:rFonts w:hint="eastAsia"/>
                <w:sz w:val="21"/>
                <w:szCs w:val="21"/>
                <w:highlight w:val="none"/>
                <w:lang w:val="en-US" w:eastAsia="zh-CN"/>
              </w:rPr>
              <w:t>规划边界，西南至古城遗址</w:t>
            </w:r>
          </w:p>
        </w:tc>
      </w:tr>
    </w:tbl>
    <w:p>
      <w:pPr>
        <w:ind w:firstLine="560"/>
        <w:rPr>
          <w:rFonts w:hint="eastAsia" w:ascii="宋体" w:hAnsi="宋体" w:eastAsia="宋体" w:cs="宋体"/>
          <w:sz w:val="24"/>
          <w:szCs w:val="24"/>
        </w:rPr>
      </w:pPr>
      <w:r>
        <w:rPr>
          <w:rFonts w:hint="eastAsia" w:ascii="宋体" w:hAnsi="宋体" w:eastAsia="宋体" w:cs="宋体"/>
          <w:sz w:val="24"/>
          <w:szCs w:val="24"/>
        </w:rPr>
        <w:t>（2）2类区连成片</w:t>
      </w:r>
    </w:p>
    <w:p>
      <w:pPr>
        <w:ind w:firstLine="560"/>
        <w:rPr>
          <w:rFonts w:hint="eastAsia" w:ascii="宋体" w:hAnsi="宋体" w:eastAsia="宋体" w:cs="宋体"/>
          <w:sz w:val="24"/>
          <w:szCs w:val="24"/>
        </w:rPr>
      </w:pPr>
      <w:r>
        <w:rPr>
          <w:rFonts w:hint="eastAsia" w:ascii="宋体" w:hAnsi="宋体" w:eastAsia="宋体" w:cs="宋体"/>
          <w:sz w:val="24"/>
          <w:szCs w:val="24"/>
        </w:rPr>
        <w:t>单元格</w:t>
      </w:r>
      <w:r>
        <w:rPr>
          <w:rFonts w:hint="eastAsia" w:ascii="宋体" w:hAnsi="宋体" w:eastAsia="宋体" w:cs="宋体"/>
          <w:sz w:val="24"/>
          <w:szCs w:val="24"/>
          <w:lang w:val="en-US" w:eastAsia="zh-CN"/>
        </w:rPr>
        <w:t>12、25连</w:t>
      </w:r>
      <w:r>
        <w:rPr>
          <w:rFonts w:hint="eastAsia" w:ascii="宋体" w:hAnsi="宋体" w:eastAsia="宋体" w:cs="宋体"/>
          <w:sz w:val="24"/>
          <w:szCs w:val="24"/>
        </w:rPr>
        <w:t>成一片，面积</w:t>
      </w:r>
      <w:r>
        <w:rPr>
          <w:rFonts w:hint="eastAsia" w:ascii="宋体" w:hAnsi="宋体" w:eastAsia="宋体" w:cs="宋体"/>
          <w:sz w:val="24"/>
          <w:szCs w:val="24"/>
          <w:lang w:val="en-US" w:eastAsia="zh-CN"/>
        </w:rPr>
        <w:t>0.28</w:t>
      </w:r>
      <w:r>
        <w:rPr>
          <w:rFonts w:hint="eastAsia" w:ascii="宋体" w:hAnsi="宋体" w:eastAsia="宋体" w:cs="宋体"/>
          <w:sz w:val="24"/>
          <w:szCs w:val="24"/>
        </w:rPr>
        <w:t>km</w:t>
      </w:r>
      <w:r>
        <w:rPr>
          <w:rFonts w:hint="eastAsia" w:ascii="宋体" w:hAnsi="宋体" w:eastAsia="宋体" w:cs="宋体"/>
          <w:sz w:val="24"/>
          <w:szCs w:val="24"/>
          <w:vertAlign w:val="superscript"/>
        </w:rPr>
        <w:t>2</w:t>
      </w:r>
      <w:r>
        <w:rPr>
          <w:rFonts w:hint="eastAsia" w:ascii="宋体" w:hAnsi="宋体" w:eastAsia="宋体" w:cs="宋体"/>
          <w:sz w:val="24"/>
          <w:szCs w:val="24"/>
        </w:rPr>
        <w:t>；</w:t>
      </w:r>
    </w:p>
    <w:p>
      <w:pPr>
        <w:ind w:firstLine="560"/>
        <w:rPr>
          <w:rFonts w:hint="eastAsia" w:ascii="宋体" w:hAnsi="宋体" w:eastAsia="宋体" w:cs="宋体"/>
          <w:sz w:val="24"/>
          <w:szCs w:val="24"/>
        </w:rPr>
      </w:pPr>
      <w:r>
        <w:rPr>
          <w:rFonts w:hint="eastAsia" w:ascii="宋体" w:hAnsi="宋体" w:eastAsia="宋体" w:cs="宋体"/>
          <w:sz w:val="24"/>
          <w:szCs w:val="24"/>
        </w:rPr>
        <w:t>单元格</w:t>
      </w:r>
      <w:r>
        <w:rPr>
          <w:rFonts w:hint="eastAsia" w:ascii="宋体" w:hAnsi="宋体" w:eastAsia="宋体" w:cs="宋体"/>
          <w:sz w:val="24"/>
          <w:szCs w:val="24"/>
          <w:lang w:val="en-US" w:eastAsia="zh-CN"/>
        </w:rPr>
        <w:t>39独立</w:t>
      </w:r>
      <w:r>
        <w:rPr>
          <w:rFonts w:hint="eastAsia" w:ascii="宋体" w:hAnsi="宋体" w:eastAsia="宋体" w:cs="宋体"/>
          <w:sz w:val="24"/>
          <w:szCs w:val="24"/>
        </w:rPr>
        <w:t>成一片，面积0.</w:t>
      </w:r>
      <w:r>
        <w:rPr>
          <w:rFonts w:hint="eastAsia" w:ascii="宋体" w:hAnsi="宋体" w:eastAsia="宋体" w:cs="宋体"/>
          <w:sz w:val="24"/>
          <w:szCs w:val="24"/>
          <w:lang w:val="en-US" w:eastAsia="zh-CN"/>
        </w:rPr>
        <w:t>13</w:t>
      </w:r>
      <w:r>
        <w:rPr>
          <w:rFonts w:hint="eastAsia" w:ascii="宋体" w:hAnsi="宋体" w:eastAsia="宋体" w:cs="宋体"/>
          <w:sz w:val="24"/>
          <w:szCs w:val="24"/>
        </w:rPr>
        <w:t>km</w:t>
      </w:r>
      <w:r>
        <w:rPr>
          <w:rFonts w:hint="eastAsia" w:ascii="宋体" w:hAnsi="宋体" w:eastAsia="宋体" w:cs="宋体"/>
          <w:sz w:val="24"/>
          <w:szCs w:val="24"/>
          <w:vertAlign w:val="superscript"/>
        </w:rPr>
        <w:t>2</w:t>
      </w:r>
      <w:r>
        <w:rPr>
          <w:rFonts w:hint="eastAsia" w:ascii="宋体" w:hAnsi="宋体" w:eastAsia="宋体" w:cs="宋体"/>
          <w:sz w:val="24"/>
          <w:szCs w:val="24"/>
        </w:rPr>
        <w:t>；</w:t>
      </w:r>
    </w:p>
    <w:p>
      <w:pPr>
        <w:ind w:firstLine="560"/>
        <w:rPr>
          <w:rFonts w:hint="eastAsia" w:ascii="宋体" w:hAnsi="宋体" w:eastAsia="宋体" w:cs="宋体"/>
          <w:sz w:val="24"/>
          <w:szCs w:val="24"/>
          <w:highlight w:val="none"/>
        </w:rPr>
      </w:pPr>
      <w:r>
        <w:rPr>
          <w:rFonts w:hint="eastAsia" w:ascii="宋体" w:hAnsi="宋体" w:eastAsia="宋体" w:cs="宋体"/>
          <w:sz w:val="24"/>
          <w:szCs w:val="24"/>
        </w:rPr>
        <w:t>单元格</w:t>
      </w:r>
      <w:r>
        <w:rPr>
          <w:rFonts w:hint="eastAsia" w:ascii="宋体" w:hAnsi="宋体" w:eastAsia="宋体" w:cs="宋体"/>
          <w:sz w:val="24"/>
          <w:szCs w:val="24"/>
          <w:lang w:val="en-US" w:eastAsia="zh-CN"/>
        </w:rPr>
        <w:t>15-16、27-28、38、41，44、52、55、57、63、66、68、72、74、76连</w:t>
      </w:r>
      <w:r>
        <w:rPr>
          <w:rFonts w:hint="eastAsia" w:ascii="宋体" w:hAnsi="宋体" w:eastAsia="宋体" w:cs="宋体"/>
          <w:sz w:val="24"/>
          <w:szCs w:val="24"/>
        </w:rPr>
        <w:t>成一片，</w:t>
      </w:r>
      <w:r>
        <w:rPr>
          <w:rFonts w:hint="eastAsia" w:ascii="宋体" w:hAnsi="宋体" w:eastAsia="宋体" w:cs="宋体"/>
          <w:sz w:val="24"/>
          <w:szCs w:val="24"/>
          <w:highlight w:val="none"/>
        </w:rPr>
        <w:t>面积</w:t>
      </w:r>
      <w:r>
        <w:rPr>
          <w:rFonts w:hint="eastAsia" w:ascii="宋体" w:hAnsi="宋体" w:eastAsia="宋体" w:cs="宋体"/>
          <w:sz w:val="24"/>
          <w:szCs w:val="24"/>
          <w:highlight w:val="none"/>
          <w:lang w:val="en-US" w:eastAsia="zh-CN"/>
        </w:rPr>
        <w:t>4.51</w:t>
      </w:r>
      <w:r>
        <w:rPr>
          <w:rFonts w:hint="eastAsia" w:ascii="宋体" w:hAnsi="宋体" w:eastAsia="宋体" w:cs="宋体"/>
          <w:sz w:val="24"/>
          <w:szCs w:val="24"/>
          <w:highlight w:val="none"/>
        </w:rPr>
        <w:t>km</w:t>
      </w:r>
      <w:r>
        <w:rPr>
          <w:rFonts w:hint="eastAsia" w:ascii="宋体" w:hAnsi="宋体" w:eastAsia="宋体" w:cs="宋体"/>
          <w:sz w:val="24"/>
          <w:szCs w:val="24"/>
          <w:highlight w:val="none"/>
          <w:vertAlign w:val="superscript"/>
        </w:rPr>
        <w:t>2</w:t>
      </w:r>
      <w:r>
        <w:rPr>
          <w:rFonts w:hint="eastAsia" w:ascii="宋体" w:hAnsi="宋体" w:eastAsia="宋体" w:cs="宋体"/>
          <w:sz w:val="24"/>
          <w:szCs w:val="24"/>
          <w:highlight w:val="none"/>
        </w:rPr>
        <w:t>；</w:t>
      </w:r>
    </w:p>
    <w:p>
      <w:pPr>
        <w:ind w:firstLine="560"/>
        <w:rPr>
          <w:rFonts w:hint="eastAsia" w:ascii="宋体" w:hAnsi="宋体" w:eastAsia="宋体" w:cs="宋体"/>
          <w:sz w:val="24"/>
          <w:szCs w:val="24"/>
        </w:rPr>
      </w:pPr>
      <w:r>
        <w:rPr>
          <w:rFonts w:hint="eastAsia" w:ascii="宋体" w:hAnsi="宋体" w:eastAsia="宋体" w:cs="宋体"/>
          <w:sz w:val="24"/>
          <w:szCs w:val="24"/>
        </w:rPr>
        <w:t>单元格</w:t>
      </w:r>
      <w:r>
        <w:rPr>
          <w:rFonts w:hint="eastAsia" w:ascii="宋体" w:hAnsi="宋体" w:eastAsia="宋体" w:cs="宋体"/>
          <w:sz w:val="24"/>
          <w:szCs w:val="24"/>
          <w:lang w:val="en-US" w:eastAsia="zh-CN"/>
        </w:rPr>
        <w:t>77独立</w:t>
      </w:r>
      <w:r>
        <w:rPr>
          <w:rFonts w:hint="eastAsia" w:ascii="宋体" w:hAnsi="宋体" w:eastAsia="宋体" w:cs="宋体"/>
          <w:sz w:val="24"/>
          <w:szCs w:val="24"/>
        </w:rPr>
        <w:t>成一片，面积0.</w:t>
      </w:r>
      <w:r>
        <w:rPr>
          <w:rFonts w:hint="eastAsia" w:ascii="宋体" w:hAnsi="宋体" w:eastAsia="宋体" w:cs="宋体"/>
          <w:sz w:val="24"/>
          <w:szCs w:val="24"/>
          <w:lang w:val="en-US" w:eastAsia="zh-CN"/>
        </w:rPr>
        <w:t>01</w:t>
      </w:r>
      <w:r>
        <w:rPr>
          <w:rFonts w:hint="eastAsia" w:ascii="宋体" w:hAnsi="宋体" w:eastAsia="宋体" w:cs="宋体"/>
          <w:sz w:val="24"/>
          <w:szCs w:val="24"/>
        </w:rPr>
        <w:t>km</w:t>
      </w:r>
      <w:r>
        <w:rPr>
          <w:rFonts w:hint="eastAsia" w:ascii="宋体" w:hAnsi="宋体" w:eastAsia="宋体" w:cs="宋体"/>
          <w:sz w:val="24"/>
          <w:szCs w:val="24"/>
          <w:vertAlign w:val="superscript"/>
        </w:rPr>
        <w:t>2</w:t>
      </w:r>
      <w:r>
        <w:rPr>
          <w:rFonts w:hint="eastAsia" w:ascii="宋体" w:hAnsi="宋体" w:eastAsia="宋体" w:cs="宋体"/>
          <w:sz w:val="24"/>
          <w:szCs w:val="24"/>
        </w:rPr>
        <w:t>；</w:t>
      </w:r>
    </w:p>
    <w:p>
      <w:pPr>
        <w:ind w:firstLine="560"/>
        <w:rPr>
          <w:rFonts w:hint="eastAsia" w:ascii="宋体" w:hAnsi="宋体" w:eastAsia="宋体" w:cs="宋体"/>
          <w:sz w:val="24"/>
          <w:szCs w:val="24"/>
        </w:rPr>
      </w:pPr>
      <w:r>
        <w:rPr>
          <w:rFonts w:hint="eastAsia" w:ascii="宋体" w:hAnsi="宋体" w:eastAsia="宋体" w:cs="宋体"/>
          <w:sz w:val="24"/>
          <w:szCs w:val="24"/>
        </w:rPr>
        <w:t>单元格</w:t>
      </w:r>
      <w:r>
        <w:rPr>
          <w:rFonts w:hint="eastAsia" w:ascii="宋体" w:hAnsi="宋体" w:eastAsia="宋体" w:cs="宋体"/>
          <w:sz w:val="24"/>
          <w:szCs w:val="24"/>
          <w:lang w:val="en-US" w:eastAsia="zh-CN"/>
        </w:rPr>
        <w:t>78独立</w:t>
      </w:r>
      <w:r>
        <w:rPr>
          <w:rFonts w:hint="eastAsia" w:ascii="宋体" w:hAnsi="宋体" w:eastAsia="宋体" w:cs="宋体"/>
          <w:sz w:val="24"/>
          <w:szCs w:val="24"/>
        </w:rPr>
        <w:t>成一片，面积0.</w:t>
      </w:r>
      <w:r>
        <w:rPr>
          <w:rFonts w:hint="eastAsia" w:ascii="宋体" w:hAnsi="宋体" w:eastAsia="宋体" w:cs="宋体"/>
          <w:sz w:val="24"/>
          <w:szCs w:val="24"/>
          <w:lang w:val="en-US" w:eastAsia="zh-CN"/>
        </w:rPr>
        <w:t>03</w:t>
      </w:r>
      <w:r>
        <w:rPr>
          <w:rFonts w:hint="eastAsia" w:ascii="宋体" w:hAnsi="宋体" w:eastAsia="宋体" w:cs="宋体"/>
          <w:sz w:val="24"/>
          <w:szCs w:val="24"/>
        </w:rPr>
        <w:t>km</w:t>
      </w:r>
      <w:r>
        <w:rPr>
          <w:rFonts w:hint="eastAsia" w:ascii="宋体" w:hAnsi="宋体" w:eastAsia="宋体" w:cs="宋体"/>
          <w:sz w:val="24"/>
          <w:szCs w:val="24"/>
          <w:vertAlign w:val="superscript"/>
        </w:rPr>
        <w:t>2</w:t>
      </w:r>
      <w:r>
        <w:rPr>
          <w:rFonts w:hint="eastAsia" w:ascii="宋体" w:hAnsi="宋体" w:eastAsia="宋体" w:cs="宋体"/>
          <w:sz w:val="24"/>
          <w:szCs w:val="24"/>
        </w:rPr>
        <w:t>；</w:t>
      </w:r>
    </w:p>
    <w:p>
      <w:pPr>
        <w:ind w:firstLine="560"/>
        <w:rPr>
          <w:rFonts w:hint="eastAsia" w:ascii="宋体" w:hAnsi="宋体" w:eastAsia="宋体" w:cs="宋体"/>
          <w:sz w:val="24"/>
          <w:szCs w:val="24"/>
        </w:rPr>
      </w:pPr>
      <w:r>
        <w:rPr>
          <w:rFonts w:hint="eastAsia" w:ascii="宋体" w:hAnsi="宋体" w:eastAsia="宋体" w:cs="宋体"/>
          <w:sz w:val="24"/>
          <w:szCs w:val="24"/>
        </w:rPr>
        <w:t>单元格</w:t>
      </w:r>
      <w:r>
        <w:rPr>
          <w:rFonts w:hint="eastAsia" w:ascii="宋体" w:hAnsi="宋体" w:eastAsia="宋体" w:cs="宋体"/>
          <w:sz w:val="24"/>
          <w:szCs w:val="24"/>
          <w:lang w:val="en-US" w:eastAsia="zh-CN"/>
        </w:rPr>
        <w:t>79独立</w:t>
      </w:r>
      <w:r>
        <w:rPr>
          <w:rFonts w:hint="eastAsia" w:ascii="宋体" w:hAnsi="宋体" w:eastAsia="宋体" w:cs="宋体"/>
          <w:sz w:val="24"/>
          <w:szCs w:val="24"/>
        </w:rPr>
        <w:t>成一片，面积0.</w:t>
      </w:r>
      <w:r>
        <w:rPr>
          <w:rFonts w:hint="eastAsia" w:ascii="宋体" w:hAnsi="宋体" w:eastAsia="宋体" w:cs="宋体"/>
          <w:sz w:val="24"/>
          <w:szCs w:val="24"/>
          <w:lang w:val="en-US" w:eastAsia="zh-CN"/>
        </w:rPr>
        <w:t>005</w:t>
      </w:r>
      <w:r>
        <w:rPr>
          <w:rFonts w:hint="eastAsia" w:ascii="宋体" w:hAnsi="宋体" w:eastAsia="宋体" w:cs="宋体"/>
          <w:sz w:val="24"/>
          <w:szCs w:val="24"/>
        </w:rPr>
        <w:t>km</w:t>
      </w:r>
      <w:r>
        <w:rPr>
          <w:rFonts w:hint="eastAsia" w:ascii="宋体" w:hAnsi="宋体" w:eastAsia="宋体" w:cs="宋体"/>
          <w:sz w:val="24"/>
          <w:szCs w:val="24"/>
          <w:vertAlign w:val="superscript"/>
        </w:rPr>
        <w:t>2</w:t>
      </w:r>
      <w:r>
        <w:rPr>
          <w:rFonts w:hint="eastAsia" w:ascii="宋体" w:hAnsi="宋体" w:eastAsia="宋体" w:cs="宋体"/>
          <w:sz w:val="24"/>
          <w:szCs w:val="24"/>
        </w:rPr>
        <w:t>；</w:t>
      </w:r>
    </w:p>
    <w:p>
      <w:pPr>
        <w:ind w:firstLine="560"/>
        <w:rPr>
          <w:rFonts w:hint="eastAsia" w:ascii="宋体" w:hAnsi="宋体" w:eastAsia="宋体" w:cs="宋体"/>
          <w:sz w:val="24"/>
          <w:szCs w:val="24"/>
        </w:rPr>
      </w:pPr>
      <w:r>
        <w:rPr>
          <w:rFonts w:hint="eastAsia" w:ascii="宋体" w:hAnsi="宋体" w:eastAsia="宋体" w:cs="宋体"/>
          <w:sz w:val="24"/>
          <w:szCs w:val="24"/>
        </w:rPr>
        <w:t>2类单元合并情况见表5-</w:t>
      </w:r>
      <w:r>
        <w:rPr>
          <w:rFonts w:hint="eastAsia" w:ascii="宋体" w:hAnsi="宋体" w:eastAsia="宋体" w:cs="宋体"/>
          <w:sz w:val="24"/>
          <w:szCs w:val="24"/>
          <w:lang w:val="en-US" w:eastAsia="zh-CN"/>
        </w:rPr>
        <w:t>6</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表5-6  2类区单元合并情况</w:t>
      </w:r>
    </w:p>
    <w:tbl>
      <w:tblPr>
        <w:tblStyle w:val="24"/>
        <w:tblW w:w="8528"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773"/>
        <w:gridCol w:w="1811"/>
        <w:gridCol w:w="1665"/>
        <w:gridCol w:w="4279"/>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73" w:type="dxa"/>
            <w:vAlign w:val="center"/>
          </w:tcPr>
          <w:p>
            <w:pPr>
              <w:pStyle w:val="45"/>
              <w:keepNext w:val="0"/>
              <w:keepLines w:val="0"/>
              <w:suppressLineNumbers w:val="0"/>
              <w:spacing w:before="0" w:beforeAutospacing="0" w:after="0" w:afterAutospacing="0"/>
              <w:ind w:left="0" w:righ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片区编号</w:t>
            </w:r>
          </w:p>
        </w:tc>
        <w:tc>
          <w:tcPr>
            <w:tcW w:w="1811" w:type="dxa"/>
            <w:vAlign w:val="center"/>
          </w:tcPr>
          <w:p>
            <w:pPr>
              <w:pStyle w:val="45"/>
              <w:keepNext w:val="0"/>
              <w:keepLines w:val="0"/>
              <w:suppressLineNumbers w:val="0"/>
              <w:spacing w:before="0" w:beforeAutospacing="0" w:after="0" w:afterAutospacing="0"/>
              <w:ind w:left="0" w:righ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包含单元号</w:t>
            </w:r>
          </w:p>
        </w:tc>
        <w:tc>
          <w:tcPr>
            <w:tcW w:w="1665" w:type="dxa"/>
            <w:vAlign w:val="center"/>
          </w:tcPr>
          <w:p>
            <w:pPr>
              <w:pStyle w:val="45"/>
              <w:keepNext w:val="0"/>
              <w:keepLines w:val="0"/>
              <w:suppressLineNumbers w:val="0"/>
              <w:spacing w:before="0" w:beforeAutospacing="0" w:after="0" w:afterAutospacing="0"/>
              <w:ind w:left="0" w:righ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总面积（km</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lang w:val="en-US" w:eastAsia="zh-CN"/>
              </w:rPr>
              <w:t>）</w:t>
            </w:r>
          </w:p>
        </w:tc>
        <w:tc>
          <w:tcPr>
            <w:tcW w:w="4279" w:type="dxa"/>
            <w:vAlign w:val="center"/>
          </w:tcPr>
          <w:p>
            <w:pPr>
              <w:pStyle w:val="45"/>
              <w:keepNext w:val="0"/>
              <w:keepLines w:val="0"/>
              <w:suppressLineNumbers w:val="0"/>
              <w:spacing w:before="0" w:beforeAutospacing="0" w:after="0" w:afterAutospacing="0"/>
              <w:ind w:left="0" w:righ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地理边界</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73" w:type="dxa"/>
            <w:vAlign w:val="center"/>
          </w:tcPr>
          <w:p>
            <w:pPr>
              <w:pStyle w:val="45"/>
              <w:keepNext w:val="0"/>
              <w:keepLines w:val="0"/>
              <w:suppressLineNumbers w:val="0"/>
              <w:spacing w:before="0" w:beforeAutospacing="0" w:after="0" w:afterAutospacing="0"/>
              <w:ind w:left="0" w:righ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w:t>
            </w:r>
          </w:p>
        </w:tc>
        <w:tc>
          <w:tcPr>
            <w:tcW w:w="1811" w:type="dxa"/>
            <w:vAlign w:val="center"/>
          </w:tcPr>
          <w:p>
            <w:pPr>
              <w:pStyle w:val="45"/>
              <w:keepNext w:val="0"/>
              <w:keepLines w:val="0"/>
              <w:suppressLineNumbers w:val="0"/>
              <w:spacing w:before="0" w:beforeAutospacing="0" w:after="0" w:afterAutospacing="0"/>
              <w:ind w:left="0" w:righ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12、25</w:t>
            </w:r>
          </w:p>
        </w:tc>
        <w:tc>
          <w:tcPr>
            <w:tcW w:w="1665" w:type="dxa"/>
            <w:vAlign w:val="center"/>
          </w:tcPr>
          <w:p>
            <w:pPr>
              <w:pStyle w:val="45"/>
              <w:keepNext w:val="0"/>
              <w:keepLines w:val="0"/>
              <w:suppressLineNumbers w:val="0"/>
              <w:spacing w:before="0" w:beforeAutospacing="0" w:after="0" w:afterAutospacing="0"/>
              <w:ind w:left="0" w:right="0"/>
              <w:rPr>
                <w:rFonts w:hint="default" w:ascii="宋体" w:hAnsi="宋体" w:eastAsia="宋体" w:cs="宋体"/>
                <w:sz w:val="24"/>
                <w:szCs w:val="24"/>
                <w:lang w:val="en-US" w:eastAsia="zh-CN"/>
              </w:rPr>
            </w:pPr>
            <w:r>
              <w:rPr>
                <w:rFonts w:hint="eastAsia" w:ascii="宋体" w:hAnsi="宋体" w:cs="宋体"/>
                <w:sz w:val="24"/>
                <w:szCs w:val="24"/>
                <w:lang w:val="en-US" w:eastAsia="zh-CN"/>
              </w:rPr>
              <w:t>0.28</w:t>
            </w:r>
          </w:p>
        </w:tc>
        <w:tc>
          <w:tcPr>
            <w:tcW w:w="4279" w:type="dxa"/>
            <w:vAlign w:val="center"/>
          </w:tcPr>
          <w:p>
            <w:pPr>
              <w:pStyle w:val="45"/>
              <w:keepNext w:val="0"/>
              <w:keepLines w:val="0"/>
              <w:suppressLineNumbers w:val="0"/>
              <w:spacing w:before="0" w:beforeAutospacing="0" w:after="0" w:afterAutospacing="0"/>
              <w:ind w:left="0" w:leftChars="0" w:right="0" w:rightChars="0" w:firstLine="0" w:firstLineChars="0"/>
              <w:rPr>
                <w:rFonts w:hint="default" w:ascii="宋体" w:hAnsi="宋体" w:eastAsia="宋体" w:cs="宋体"/>
                <w:sz w:val="24"/>
                <w:szCs w:val="24"/>
                <w:lang w:val="en-US" w:eastAsia="zh-CN"/>
              </w:rPr>
            </w:pPr>
            <w:r>
              <w:rPr>
                <w:rFonts w:hint="default"/>
                <w:sz w:val="21"/>
                <w:szCs w:val="21"/>
              </w:rPr>
              <w:t>北至</w:t>
            </w:r>
            <w:r>
              <w:rPr>
                <w:rFonts w:hint="eastAsia"/>
                <w:sz w:val="21"/>
                <w:szCs w:val="21"/>
                <w:lang w:val="en-US" w:eastAsia="zh-CN"/>
              </w:rPr>
              <w:t>新华路与晋都北路交叉口</w:t>
            </w:r>
            <w:r>
              <w:rPr>
                <w:rFonts w:hint="eastAsia"/>
                <w:sz w:val="21"/>
                <w:szCs w:val="21"/>
              </w:rPr>
              <w:t>，</w:t>
            </w:r>
            <w:r>
              <w:rPr>
                <w:rFonts w:hint="default"/>
                <w:sz w:val="21"/>
                <w:szCs w:val="21"/>
              </w:rPr>
              <w:t>东至</w:t>
            </w:r>
            <w:r>
              <w:rPr>
                <w:rFonts w:hint="eastAsia"/>
                <w:sz w:val="21"/>
                <w:szCs w:val="21"/>
                <w:lang w:val="en-US" w:eastAsia="zh-CN"/>
              </w:rPr>
              <w:t>浍滨路</w:t>
            </w:r>
            <w:r>
              <w:rPr>
                <w:rFonts w:hint="eastAsia"/>
                <w:sz w:val="21"/>
                <w:szCs w:val="21"/>
              </w:rPr>
              <w:t>、</w:t>
            </w:r>
            <w:r>
              <w:rPr>
                <w:rFonts w:hint="default"/>
                <w:sz w:val="21"/>
                <w:szCs w:val="21"/>
              </w:rPr>
              <w:t>南至</w:t>
            </w:r>
            <w:r>
              <w:rPr>
                <w:rFonts w:hint="eastAsia"/>
                <w:sz w:val="21"/>
                <w:szCs w:val="21"/>
                <w:lang w:val="en-US" w:eastAsia="zh-CN"/>
              </w:rPr>
              <w:t>贡院西街</w:t>
            </w:r>
            <w:r>
              <w:rPr>
                <w:rFonts w:hint="eastAsia"/>
                <w:sz w:val="21"/>
                <w:szCs w:val="21"/>
              </w:rPr>
              <w:t>，</w:t>
            </w:r>
            <w:r>
              <w:rPr>
                <w:rFonts w:hint="default"/>
                <w:sz w:val="21"/>
                <w:szCs w:val="21"/>
              </w:rPr>
              <w:t>西至</w:t>
            </w:r>
            <w:r>
              <w:rPr>
                <w:rFonts w:hint="eastAsia"/>
                <w:sz w:val="21"/>
                <w:szCs w:val="21"/>
                <w:lang w:val="en-US" w:eastAsia="zh-CN"/>
              </w:rPr>
              <w:t>太和路，西南至新华路与府西街交叉口</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73" w:type="dxa"/>
            <w:vAlign w:val="center"/>
          </w:tcPr>
          <w:p>
            <w:pPr>
              <w:pStyle w:val="45"/>
              <w:keepNext w:val="0"/>
              <w:keepLines w:val="0"/>
              <w:suppressLineNumbers w:val="0"/>
              <w:spacing w:before="0" w:beforeAutospacing="0" w:after="0" w:afterAutospacing="0"/>
              <w:ind w:left="0" w:leftChars="0" w:right="0" w:rightChars="0" w:firstLine="0" w:firstLineChars="0"/>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2-Ⅱ</w:t>
            </w:r>
          </w:p>
        </w:tc>
        <w:tc>
          <w:tcPr>
            <w:tcW w:w="1811" w:type="dxa"/>
            <w:vAlign w:val="center"/>
          </w:tcPr>
          <w:p>
            <w:pPr>
              <w:pStyle w:val="45"/>
              <w:keepNext w:val="0"/>
              <w:keepLines w:val="0"/>
              <w:suppressLineNumbers w:val="0"/>
              <w:spacing w:before="0" w:beforeAutospacing="0" w:after="0" w:afterAutospacing="0"/>
              <w:ind w:left="0" w:righ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39</w:t>
            </w:r>
          </w:p>
        </w:tc>
        <w:tc>
          <w:tcPr>
            <w:tcW w:w="1665" w:type="dxa"/>
            <w:vAlign w:val="center"/>
          </w:tcPr>
          <w:p>
            <w:pPr>
              <w:pStyle w:val="45"/>
              <w:keepNext w:val="0"/>
              <w:keepLines w:val="0"/>
              <w:suppressLineNumbers w:val="0"/>
              <w:spacing w:before="0" w:beforeAutospacing="0" w:after="0" w:afterAutospacing="0"/>
              <w:ind w:left="0" w:right="0"/>
              <w:rPr>
                <w:rFonts w:hint="default" w:ascii="宋体" w:hAnsi="宋体" w:cs="宋体"/>
                <w:sz w:val="24"/>
                <w:szCs w:val="24"/>
                <w:lang w:val="en-US" w:eastAsia="zh-CN"/>
              </w:rPr>
            </w:pPr>
            <w:r>
              <w:rPr>
                <w:rFonts w:hint="eastAsia" w:ascii="宋体" w:hAnsi="宋体" w:cs="宋体"/>
                <w:sz w:val="24"/>
                <w:szCs w:val="24"/>
                <w:lang w:val="en-US" w:eastAsia="zh-CN"/>
              </w:rPr>
              <w:t>0.13</w:t>
            </w:r>
          </w:p>
        </w:tc>
        <w:tc>
          <w:tcPr>
            <w:tcW w:w="4279" w:type="dxa"/>
            <w:vAlign w:val="center"/>
          </w:tcPr>
          <w:p>
            <w:pPr>
              <w:pStyle w:val="45"/>
              <w:keepNext w:val="0"/>
              <w:keepLines w:val="0"/>
              <w:suppressLineNumbers w:val="0"/>
              <w:spacing w:before="0" w:beforeAutospacing="0" w:after="0" w:afterAutospacing="0"/>
              <w:ind w:left="0" w:leftChars="0" w:right="0" w:rightChars="0" w:firstLine="0" w:firstLineChars="0"/>
              <w:rPr>
                <w:rFonts w:hint="default"/>
                <w:sz w:val="21"/>
                <w:szCs w:val="21"/>
              </w:rPr>
            </w:pPr>
            <w:r>
              <w:rPr>
                <w:rFonts w:hint="default"/>
                <w:sz w:val="21"/>
                <w:szCs w:val="21"/>
              </w:rPr>
              <w:t>北至</w:t>
            </w:r>
            <w:r>
              <w:rPr>
                <w:rFonts w:hint="eastAsia"/>
                <w:sz w:val="21"/>
                <w:szCs w:val="21"/>
                <w:lang w:val="en-US" w:eastAsia="zh-CN"/>
              </w:rPr>
              <w:t>规划六街</w:t>
            </w:r>
            <w:r>
              <w:rPr>
                <w:rFonts w:hint="eastAsia"/>
                <w:sz w:val="21"/>
                <w:szCs w:val="21"/>
              </w:rPr>
              <w:t>，</w:t>
            </w:r>
            <w:r>
              <w:rPr>
                <w:rFonts w:hint="default"/>
                <w:sz w:val="21"/>
                <w:szCs w:val="21"/>
              </w:rPr>
              <w:t>东至</w:t>
            </w:r>
            <w:r>
              <w:rPr>
                <w:rFonts w:hint="eastAsia"/>
                <w:sz w:val="21"/>
                <w:szCs w:val="21"/>
                <w:lang w:val="en-US" w:eastAsia="zh-CN"/>
              </w:rPr>
              <w:t>曲绛线</w:t>
            </w:r>
            <w:r>
              <w:rPr>
                <w:rFonts w:hint="eastAsia"/>
                <w:sz w:val="21"/>
                <w:szCs w:val="21"/>
              </w:rPr>
              <w:t>、</w:t>
            </w:r>
            <w:r>
              <w:rPr>
                <w:rFonts w:hint="default"/>
                <w:sz w:val="21"/>
                <w:szCs w:val="21"/>
              </w:rPr>
              <w:t>南至</w:t>
            </w:r>
            <w:r>
              <w:rPr>
                <w:rFonts w:hint="eastAsia"/>
                <w:sz w:val="21"/>
                <w:szCs w:val="21"/>
                <w:lang w:val="en-US" w:eastAsia="zh-CN"/>
              </w:rPr>
              <w:t xml:space="preserve">南环路——规划边界 </w:t>
            </w:r>
            <w:r>
              <w:rPr>
                <w:rFonts w:hint="eastAsia"/>
                <w:sz w:val="21"/>
                <w:szCs w:val="21"/>
              </w:rPr>
              <w:t>，</w:t>
            </w:r>
            <w:r>
              <w:rPr>
                <w:rFonts w:hint="default"/>
                <w:sz w:val="21"/>
                <w:szCs w:val="21"/>
              </w:rPr>
              <w:t>西至</w:t>
            </w:r>
            <w:r>
              <w:rPr>
                <w:rFonts w:hint="eastAsia"/>
                <w:sz w:val="21"/>
                <w:szCs w:val="21"/>
                <w:lang w:val="en-US" w:eastAsia="zh-CN"/>
              </w:rPr>
              <w:t>绛山路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73" w:type="dxa"/>
            <w:vAlign w:val="center"/>
          </w:tcPr>
          <w:p>
            <w:pPr>
              <w:pStyle w:val="45"/>
              <w:keepNext w:val="0"/>
              <w:keepLines w:val="0"/>
              <w:suppressLineNumbers w:val="0"/>
              <w:spacing w:before="0" w:beforeAutospacing="0" w:after="0" w:afterAutospacing="0"/>
              <w:ind w:left="0" w:righ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2-Ⅲ</w:t>
            </w:r>
          </w:p>
        </w:tc>
        <w:tc>
          <w:tcPr>
            <w:tcW w:w="1811" w:type="dxa"/>
            <w:vAlign w:val="center"/>
          </w:tcPr>
          <w:p>
            <w:pPr>
              <w:pStyle w:val="45"/>
              <w:keepNext w:val="0"/>
              <w:keepLines w:val="0"/>
              <w:suppressLineNumbers w:val="0"/>
              <w:spacing w:before="0" w:beforeAutospacing="0" w:after="0" w:afterAutospacing="0"/>
              <w:ind w:left="0" w:righ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15-16、27-28、38、41，44、52、55、57、63、66、68、72、74、76</w:t>
            </w:r>
          </w:p>
        </w:tc>
        <w:tc>
          <w:tcPr>
            <w:tcW w:w="1665" w:type="dxa"/>
            <w:vAlign w:val="center"/>
          </w:tcPr>
          <w:p>
            <w:pPr>
              <w:pStyle w:val="45"/>
              <w:keepNext w:val="0"/>
              <w:keepLines w:val="0"/>
              <w:suppressLineNumbers w:val="0"/>
              <w:spacing w:before="0" w:beforeAutospacing="0" w:after="0" w:afterAutospacing="0"/>
              <w:ind w:left="0" w:right="0"/>
              <w:rPr>
                <w:rFonts w:hint="default" w:ascii="宋体" w:hAnsi="宋体" w:eastAsia="宋体" w:cs="宋体"/>
                <w:sz w:val="24"/>
                <w:szCs w:val="24"/>
                <w:lang w:val="en-US" w:eastAsia="zh-CN"/>
              </w:rPr>
            </w:pPr>
            <w:r>
              <w:rPr>
                <w:rFonts w:hint="eastAsia"/>
                <w:sz w:val="21"/>
                <w:szCs w:val="21"/>
                <w:lang w:val="en-US" w:eastAsia="zh-CN"/>
              </w:rPr>
              <w:t>4.51</w:t>
            </w:r>
          </w:p>
        </w:tc>
        <w:tc>
          <w:tcPr>
            <w:tcW w:w="4279" w:type="dxa"/>
            <w:vAlign w:val="center"/>
          </w:tcPr>
          <w:p>
            <w:pPr>
              <w:pStyle w:val="45"/>
              <w:keepNext w:val="0"/>
              <w:keepLines w:val="0"/>
              <w:suppressLineNumbers w:val="0"/>
              <w:spacing w:before="0" w:beforeAutospacing="0" w:after="0" w:afterAutospacing="0"/>
              <w:ind w:left="0" w:leftChars="0" w:right="0" w:rightChars="0" w:firstLine="0" w:firstLineChars="0"/>
              <w:rPr>
                <w:rFonts w:hint="default" w:ascii="宋体" w:hAnsi="宋体" w:eastAsia="宋体" w:cs="宋体"/>
                <w:sz w:val="24"/>
                <w:szCs w:val="24"/>
                <w:lang w:val="en-US" w:eastAsia="zh-CN"/>
              </w:rPr>
            </w:pPr>
            <w:r>
              <w:rPr>
                <w:rFonts w:hint="default"/>
                <w:sz w:val="21"/>
                <w:szCs w:val="21"/>
                <w:highlight w:val="none"/>
              </w:rPr>
              <w:t>北至</w:t>
            </w:r>
            <w:r>
              <w:rPr>
                <w:rFonts w:hint="eastAsia"/>
                <w:sz w:val="21"/>
                <w:szCs w:val="21"/>
                <w:highlight w:val="none"/>
                <w:lang w:val="en-US" w:eastAsia="zh-CN"/>
              </w:rPr>
              <w:t>南环路</w:t>
            </w:r>
            <w:r>
              <w:rPr>
                <w:rFonts w:hint="eastAsia"/>
                <w:sz w:val="21"/>
                <w:szCs w:val="21"/>
                <w:highlight w:val="none"/>
              </w:rPr>
              <w:t>，</w:t>
            </w:r>
            <w:r>
              <w:rPr>
                <w:rFonts w:hint="default"/>
                <w:sz w:val="21"/>
                <w:szCs w:val="21"/>
                <w:highlight w:val="none"/>
              </w:rPr>
              <w:t>南</w:t>
            </w:r>
            <w:r>
              <w:rPr>
                <w:rFonts w:hint="eastAsia"/>
                <w:sz w:val="21"/>
                <w:szCs w:val="21"/>
                <w:highlight w:val="none"/>
                <w:lang w:val="en-US" w:eastAsia="zh-CN"/>
              </w:rPr>
              <w:t>至规划边界</w:t>
            </w:r>
            <w:r>
              <w:rPr>
                <w:rFonts w:hint="eastAsia"/>
                <w:sz w:val="21"/>
                <w:szCs w:val="21"/>
                <w:highlight w:val="none"/>
              </w:rPr>
              <w:t>，</w:t>
            </w:r>
            <w:r>
              <w:rPr>
                <w:rFonts w:hint="default"/>
                <w:sz w:val="21"/>
                <w:szCs w:val="21"/>
                <w:highlight w:val="none"/>
              </w:rPr>
              <w:t>西至</w:t>
            </w:r>
            <w:r>
              <w:rPr>
                <w:rFonts w:hint="eastAsia"/>
                <w:sz w:val="21"/>
                <w:szCs w:val="21"/>
                <w:highlight w:val="none"/>
                <w:lang w:val="en-US" w:eastAsia="zh-CN"/>
              </w:rPr>
              <w:t>规划边界，西至晋都南路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73" w:type="dxa"/>
            <w:vAlign w:val="center"/>
          </w:tcPr>
          <w:p>
            <w:pPr>
              <w:pStyle w:val="45"/>
              <w:keepNext w:val="0"/>
              <w:keepLines w:val="0"/>
              <w:suppressLineNumbers w:val="0"/>
              <w:spacing w:before="0" w:beforeAutospacing="0" w:after="0" w:afterAutospacing="0"/>
              <w:ind w:left="0" w:right="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2-Ⅳ</w:t>
            </w:r>
          </w:p>
        </w:tc>
        <w:tc>
          <w:tcPr>
            <w:tcW w:w="1811" w:type="dxa"/>
            <w:vAlign w:val="center"/>
          </w:tcPr>
          <w:p>
            <w:pPr>
              <w:pStyle w:val="45"/>
              <w:keepNext w:val="0"/>
              <w:keepLines w:val="0"/>
              <w:suppressLineNumbers w:val="0"/>
              <w:spacing w:before="0" w:beforeAutospacing="0" w:after="0" w:afterAutospacing="0"/>
              <w:ind w:left="0" w:right="0"/>
              <w:rPr>
                <w:rFonts w:hint="default" w:ascii="宋体" w:hAnsi="宋体" w:eastAsia="宋体" w:cs="宋体"/>
                <w:sz w:val="24"/>
                <w:szCs w:val="24"/>
                <w:lang w:val="en-US" w:eastAsia="zh-CN"/>
              </w:rPr>
            </w:pPr>
            <w:r>
              <w:rPr>
                <w:rFonts w:hint="eastAsia" w:ascii="宋体" w:hAnsi="宋体" w:cs="宋体"/>
                <w:sz w:val="24"/>
                <w:szCs w:val="24"/>
                <w:lang w:val="en-US" w:eastAsia="zh-CN"/>
              </w:rPr>
              <w:t>77</w:t>
            </w:r>
          </w:p>
        </w:tc>
        <w:tc>
          <w:tcPr>
            <w:tcW w:w="1665" w:type="dxa"/>
            <w:vAlign w:val="center"/>
          </w:tcPr>
          <w:p>
            <w:pPr>
              <w:pStyle w:val="45"/>
              <w:keepNext w:val="0"/>
              <w:keepLines w:val="0"/>
              <w:suppressLineNumbers w:val="0"/>
              <w:spacing w:before="0" w:beforeAutospacing="0" w:after="0" w:afterAutospacing="0"/>
              <w:ind w:left="0" w:right="0"/>
              <w:rPr>
                <w:rFonts w:hint="default"/>
                <w:sz w:val="21"/>
                <w:szCs w:val="21"/>
                <w:lang w:val="en-US" w:eastAsia="zh-CN"/>
              </w:rPr>
            </w:pPr>
            <w:r>
              <w:rPr>
                <w:rFonts w:hint="eastAsia"/>
                <w:sz w:val="21"/>
                <w:szCs w:val="21"/>
                <w:lang w:val="en-US" w:eastAsia="zh-CN"/>
              </w:rPr>
              <w:t>0.01</w:t>
            </w:r>
          </w:p>
        </w:tc>
        <w:tc>
          <w:tcPr>
            <w:tcW w:w="4279" w:type="dxa"/>
            <w:vAlign w:val="center"/>
          </w:tcPr>
          <w:p>
            <w:pPr>
              <w:pStyle w:val="45"/>
              <w:keepNext w:val="0"/>
              <w:keepLines w:val="0"/>
              <w:suppressLineNumbers w:val="0"/>
              <w:spacing w:before="0" w:beforeAutospacing="0" w:after="0" w:afterAutospacing="0"/>
              <w:ind w:left="0" w:right="0"/>
              <w:rPr>
                <w:rFonts w:hint="eastAsia" w:eastAsia="宋体"/>
                <w:sz w:val="21"/>
                <w:szCs w:val="21"/>
                <w:highlight w:val="none"/>
                <w:lang w:val="en-US" w:eastAsia="zh-CN"/>
              </w:rPr>
            </w:pPr>
            <w:r>
              <w:rPr>
                <w:rFonts w:hint="eastAsia"/>
                <w:sz w:val="21"/>
                <w:szCs w:val="21"/>
                <w:highlight w:val="none"/>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73" w:type="dxa"/>
            <w:vAlign w:val="center"/>
          </w:tcPr>
          <w:p>
            <w:pPr>
              <w:pStyle w:val="45"/>
              <w:keepNext w:val="0"/>
              <w:keepLines w:val="0"/>
              <w:suppressLineNumbers w:val="0"/>
              <w:spacing w:before="0" w:beforeAutospacing="0" w:after="0" w:afterAutospacing="0"/>
              <w:ind w:left="0" w:right="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2-Ⅴ</w:t>
            </w:r>
          </w:p>
        </w:tc>
        <w:tc>
          <w:tcPr>
            <w:tcW w:w="1811" w:type="dxa"/>
            <w:vAlign w:val="center"/>
          </w:tcPr>
          <w:p>
            <w:pPr>
              <w:pStyle w:val="45"/>
              <w:keepNext w:val="0"/>
              <w:keepLines w:val="0"/>
              <w:suppressLineNumbers w:val="0"/>
              <w:spacing w:before="0" w:beforeAutospacing="0" w:after="0" w:afterAutospacing="0"/>
              <w:ind w:left="0" w:right="0"/>
              <w:rPr>
                <w:rFonts w:hint="default" w:ascii="宋体" w:hAnsi="宋体" w:eastAsia="宋体" w:cs="宋体"/>
                <w:sz w:val="24"/>
                <w:szCs w:val="24"/>
                <w:lang w:val="en-US" w:eastAsia="zh-CN"/>
              </w:rPr>
            </w:pPr>
            <w:r>
              <w:rPr>
                <w:rFonts w:hint="eastAsia" w:ascii="宋体" w:hAnsi="宋体" w:cs="宋体"/>
                <w:sz w:val="24"/>
                <w:szCs w:val="24"/>
                <w:lang w:val="en-US" w:eastAsia="zh-CN"/>
              </w:rPr>
              <w:t>78</w:t>
            </w:r>
          </w:p>
        </w:tc>
        <w:tc>
          <w:tcPr>
            <w:tcW w:w="1665" w:type="dxa"/>
            <w:vAlign w:val="center"/>
          </w:tcPr>
          <w:p>
            <w:pPr>
              <w:pStyle w:val="45"/>
              <w:keepNext w:val="0"/>
              <w:keepLines w:val="0"/>
              <w:suppressLineNumbers w:val="0"/>
              <w:spacing w:before="0" w:beforeAutospacing="0" w:after="0" w:afterAutospacing="0"/>
              <w:ind w:left="0" w:right="0"/>
              <w:rPr>
                <w:rFonts w:hint="default"/>
                <w:sz w:val="21"/>
                <w:szCs w:val="21"/>
                <w:lang w:val="en-US" w:eastAsia="zh-CN"/>
              </w:rPr>
            </w:pPr>
            <w:r>
              <w:rPr>
                <w:rFonts w:hint="eastAsia"/>
                <w:sz w:val="21"/>
                <w:szCs w:val="21"/>
                <w:lang w:val="en-US" w:eastAsia="zh-CN"/>
              </w:rPr>
              <w:t>0.03</w:t>
            </w:r>
          </w:p>
        </w:tc>
        <w:tc>
          <w:tcPr>
            <w:tcW w:w="4279" w:type="dxa"/>
            <w:vAlign w:val="center"/>
          </w:tcPr>
          <w:p>
            <w:pPr>
              <w:pStyle w:val="45"/>
              <w:keepNext w:val="0"/>
              <w:keepLines w:val="0"/>
              <w:suppressLineNumbers w:val="0"/>
              <w:spacing w:before="0" w:beforeAutospacing="0" w:after="0" w:afterAutospacing="0"/>
              <w:ind w:left="0" w:right="0"/>
              <w:rPr>
                <w:rFonts w:hint="eastAsia" w:eastAsia="宋体"/>
                <w:sz w:val="21"/>
                <w:szCs w:val="21"/>
                <w:highlight w:val="none"/>
                <w:lang w:val="en-US" w:eastAsia="zh-CN"/>
              </w:rPr>
            </w:pPr>
            <w:r>
              <w:rPr>
                <w:rFonts w:hint="eastAsia"/>
                <w:sz w:val="21"/>
                <w:szCs w:val="21"/>
                <w:highlight w:val="none"/>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73" w:type="dxa"/>
            <w:vAlign w:val="center"/>
          </w:tcPr>
          <w:p>
            <w:pPr>
              <w:pStyle w:val="45"/>
              <w:keepNext w:val="0"/>
              <w:keepLines w:val="0"/>
              <w:suppressLineNumbers w:val="0"/>
              <w:spacing w:before="0" w:beforeAutospacing="0" w:after="0" w:afterAutospacing="0"/>
              <w:ind w:left="0" w:right="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2-Ⅵ</w:t>
            </w:r>
          </w:p>
        </w:tc>
        <w:tc>
          <w:tcPr>
            <w:tcW w:w="1811" w:type="dxa"/>
            <w:vAlign w:val="center"/>
          </w:tcPr>
          <w:p>
            <w:pPr>
              <w:pStyle w:val="45"/>
              <w:keepNext w:val="0"/>
              <w:keepLines w:val="0"/>
              <w:suppressLineNumbers w:val="0"/>
              <w:spacing w:before="0" w:beforeAutospacing="0" w:after="0" w:afterAutospacing="0"/>
              <w:ind w:left="0" w:right="0"/>
              <w:rPr>
                <w:rFonts w:hint="default" w:ascii="宋体" w:hAnsi="宋体" w:eastAsia="宋体" w:cs="宋体"/>
                <w:sz w:val="24"/>
                <w:szCs w:val="24"/>
                <w:lang w:val="en-US" w:eastAsia="zh-CN"/>
              </w:rPr>
            </w:pPr>
            <w:r>
              <w:rPr>
                <w:rFonts w:hint="eastAsia" w:ascii="宋体" w:hAnsi="宋体" w:cs="宋体"/>
                <w:sz w:val="24"/>
                <w:szCs w:val="24"/>
                <w:lang w:val="en-US" w:eastAsia="zh-CN"/>
              </w:rPr>
              <w:t>79</w:t>
            </w:r>
          </w:p>
        </w:tc>
        <w:tc>
          <w:tcPr>
            <w:tcW w:w="1665" w:type="dxa"/>
            <w:vAlign w:val="center"/>
          </w:tcPr>
          <w:p>
            <w:pPr>
              <w:pStyle w:val="45"/>
              <w:keepNext w:val="0"/>
              <w:keepLines w:val="0"/>
              <w:suppressLineNumbers w:val="0"/>
              <w:spacing w:before="0" w:beforeAutospacing="0" w:after="0" w:afterAutospacing="0"/>
              <w:ind w:left="0" w:right="0"/>
              <w:rPr>
                <w:rFonts w:hint="default"/>
                <w:sz w:val="21"/>
                <w:szCs w:val="21"/>
                <w:lang w:val="en-US" w:eastAsia="zh-CN"/>
              </w:rPr>
            </w:pPr>
            <w:r>
              <w:rPr>
                <w:rFonts w:hint="eastAsia"/>
                <w:sz w:val="21"/>
                <w:szCs w:val="21"/>
                <w:lang w:val="en-US" w:eastAsia="zh-CN"/>
              </w:rPr>
              <w:t>0.005</w:t>
            </w:r>
          </w:p>
        </w:tc>
        <w:tc>
          <w:tcPr>
            <w:tcW w:w="4279" w:type="dxa"/>
            <w:vAlign w:val="center"/>
          </w:tcPr>
          <w:p>
            <w:pPr>
              <w:pStyle w:val="45"/>
              <w:keepNext w:val="0"/>
              <w:keepLines w:val="0"/>
              <w:suppressLineNumbers w:val="0"/>
              <w:spacing w:before="0" w:beforeAutospacing="0" w:after="0" w:afterAutospacing="0"/>
              <w:ind w:left="0" w:right="0"/>
              <w:rPr>
                <w:rFonts w:hint="eastAsia" w:eastAsia="宋体"/>
                <w:sz w:val="21"/>
                <w:szCs w:val="21"/>
                <w:highlight w:val="none"/>
                <w:lang w:val="en-US" w:eastAsia="zh-CN"/>
              </w:rPr>
            </w:pPr>
            <w:r>
              <w:rPr>
                <w:rFonts w:hint="eastAsia"/>
                <w:sz w:val="21"/>
                <w:szCs w:val="21"/>
                <w:highlight w:val="none"/>
                <w:lang w:val="en-US" w:eastAsia="zh-CN"/>
              </w:rPr>
              <w:t>/</w:t>
            </w:r>
          </w:p>
        </w:tc>
      </w:tr>
    </w:tbl>
    <w:p>
      <w:pPr>
        <w:ind w:firstLine="56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类区连成片</w:t>
      </w:r>
    </w:p>
    <w:p>
      <w:pPr>
        <w:ind w:firstLine="560"/>
        <w:rPr>
          <w:rFonts w:hint="eastAsia" w:ascii="宋体" w:hAnsi="宋体" w:eastAsia="宋体" w:cs="宋体"/>
          <w:sz w:val="24"/>
          <w:szCs w:val="24"/>
          <w:highlight w:val="none"/>
        </w:rPr>
      </w:pPr>
      <w:r>
        <w:rPr>
          <w:rFonts w:hint="eastAsia" w:ascii="宋体" w:hAnsi="宋体" w:eastAsia="宋体" w:cs="宋体"/>
          <w:sz w:val="24"/>
          <w:szCs w:val="24"/>
        </w:rPr>
        <w:t>单元格</w:t>
      </w:r>
      <w:r>
        <w:rPr>
          <w:rFonts w:hint="eastAsia" w:ascii="宋体" w:hAnsi="宋体" w:eastAsia="宋体" w:cs="宋体"/>
          <w:sz w:val="24"/>
          <w:szCs w:val="24"/>
          <w:lang w:val="en-US" w:eastAsia="zh-CN"/>
        </w:rPr>
        <w:t>8独立</w:t>
      </w:r>
      <w:r>
        <w:rPr>
          <w:rFonts w:hint="eastAsia" w:ascii="宋体" w:hAnsi="宋体" w:eastAsia="宋体" w:cs="宋体"/>
          <w:sz w:val="24"/>
          <w:szCs w:val="24"/>
        </w:rPr>
        <w:t>成一片，面积</w:t>
      </w:r>
      <w:r>
        <w:rPr>
          <w:rFonts w:hint="eastAsia" w:ascii="宋体" w:hAnsi="宋体" w:eastAsia="宋体" w:cs="宋体"/>
          <w:sz w:val="24"/>
          <w:szCs w:val="24"/>
          <w:highlight w:val="none"/>
        </w:rPr>
        <w:t>0</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km</w:t>
      </w:r>
      <w:r>
        <w:rPr>
          <w:rFonts w:hint="eastAsia" w:ascii="宋体" w:hAnsi="宋体" w:eastAsia="宋体" w:cs="宋体"/>
          <w:sz w:val="24"/>
          <w:szCs w:val="24"/>
          <w:highlight w:val="none"/>
          <w:vertAlign w:val="superscript"/>
        </w:rPr>
        <w:t>2</w:t>
      </w:r>
      <w:r>
        <w:rPr>
          <w:rFonts w:hint="eastAsia" w:ascii="宋体" w:hAnsi="宋体" w:eastAsia="宋体" w:cs="宋体"/>
          <w:sz w:val="24"/>
          <w:szCs w:val="24"/>
          <w:highlight w:val="none"/>
        </w:rPr>
        <w:t>；</w:t>
      </w:r>
    </w:p>
    <w:p>
      <w:pPr>
        <w:ind w:firstLine="56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类单元合并情况见表5-</w:t>
      </w:r>
      <w:r>
        <w:rPr>
          <w:rFonts w:hint="eastAsia" w:ascii="宋体" w:hAnsi="宋体" w:eastAsia="宋体" w:cs="宋体"/>
          <w:sz w:val="24"/>
          <w:szCs w:val="24"/>
          <w:lang w:val="en-US" w:eastAsia="zh-CN"/>
        </w:rPr>
        <w:t>7</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表5-7  3类区单元合并情况</w:t>
      </w:r>
    </w:p>
    <w:tbl>
      <w:tblPr>
        <w:tblStyle w:val="24"/>
        <w:tblW w:w="8528"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339"/>
        <w:gridCol w:w="1590"/>
        <w:gridCol w:w="1665"/>
        <w:gridCol w:w="3934"/>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339" w:type="dxa"/>
            <w:vAlign w:val="center"/>
          </w:tcPr>
          <w:p>
            <w:pPr>
              <w:pStyle w:val="45"/>
              <w:keepNext w:val="0"/>
              <w:keepLines w:val="0"/>
              <w:suppressLineNumbers w:val="0"/>
              <w:spacing w:before="0" w:beforeAutospacing="0" w:after="0" w:afterAutospacing="0"/>
              <w:ind w:left="0" w:righ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片区编号</w:t>
            </w:r>
          </w:p>
        </w:tc>
        <w:tc>
          <w:tcPr>
            <w:tcW w:w="1590" w:type="dxa"/>
            <w:vAlign w:val="center"/>
          </w:tcPr>
          <w:p>
            <w:pPr>
              <w:pStyle w:val="45"/>
              <w:keepNext w:val="0"/>
              <w:keepLines w:val="0"/>
              <w:suppressLineNumbers w:val="0"/>
              <w:spacing w:before="0" w:beforeAutospacing="0" w:after="0" w:afterAutospacing="0"/>
              <w:ind w:left="0" w:righ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包含单元号</w:t>
            </w:r>
          </w:p>
        </w:tc>
        <w:tc>
          <w:tcPr>
            <w:tcW w:w="1665" w:type="dxa"/>
            <w:vAlign w:val="center"/>
          </w:tcPr>
          <w:p>
            <w:pPr>
              <w:pStyle w:val="45"/>
              <w:keepNext w:val="0"/>
              <w:keepLines w:val="0"/>
              <w:suppressLineNumbers w:val="0"/>
              <w:spacing w:before="0" w:beforeAutospacing="0" w:after="0" w:afterAutospacing="0"/>
              <w:ind w:left="0" w:righ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总面积（km</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lang w:val="en-US" w:eastAsia="zh-CN"/>
              </w:rPr>
              <w:t>）</w:t>
            </w:r>
          </w:p>
        </w:tc>
        <w:tc>
          <w:tcPr>
            <w:tcW w:w="3934" w:type="dxa"/>
            <w:vAlign w:val="center"/>
          </w:tcPr>
          <w:p>
            <w:pPr>
              <w:pStyle w:val="45"/>
              <w:keepNext w:val="0"/>
              <w:keepLines w:val="0"/>
              <w:suppressLineNumbers w:val="0"/>
              <w:spacing w:before="0" w:beforeAutospacing="0" w:after="0" w:afterAutospacing="0"/>
              <w:ind w:left="0" w:righ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地理边界</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339" w:type="dxa"/>
            <w:vAlign w:val="center"/>
          </w:tcPr>
          <w:p>
            <w:pPr>
              <w:pStyle w:val="45"/>
              <w:keepNext w:val="0"/>
              <w:keepLines w:val="0"/>
              <w:suppressLineNumbers w:val="0"/>
              <w:spacing w:before="0" w:beforeAutospacing="0" w:after="0" w:afterAutospacing="0"/>
              <w:ind w:left="0" w:right="0"/>
              <w:rPr>
                <w:rFonts w:hint="eastAsia" w:ascii="宋体" w:hAnsi="宋体" w:eastAsia="宋体" w:cs="宋体"/>
                <w:sz w:val="24"/>
                <w:szCs w:val="24"/>
                <w:lang w:val="en-US" w:eastAsia="zh-CN"/>
              </w:rPr>
            </w:pPr>
            <w:r>
              <w:rPr>
                <w:rFonts w:hint="eastAsia" w:ascii="宋体" w:hAnsi="宋体" w:cs="宋体"/>
                <w:sz w:val="24"/>
                <w:szCs w:val="24"/>
                <w:lang w:val="en-US" w:eastAsia="zh-CN"/>
              </w:rPr>
              <w:t>3</w:t>
            </w:r>
            <w:r>
              <w:rPr>
                <w:rFonts w:hint="eastAsia" w:ascii="宋体" w:hAnsi="宋体" w:eastAsia="宋体" w:cs="宋体"/>
                <w:sz w:val="24"/>
                <w:szCs w:val="24"/>
                <w:lang w:val="en-US" w:eastAsia="zh-CN"/>
              </w:rPr>
              <w:t>-1</w:t>
            </w:r>
          </w:p>
        </w:tc>
        <w:tc>
          <w:tcPr>
            <w:tcW w:w="1590" w:type="dxa"/>
            <w:vAlign w:val="center"/>
          </w:tcPr>
          <w:p>
            <w:pPr>
              <w:pStyle w:val="45"/>
              <w:keepNext w:val="0"/>
              <w:keepLines w:val="0"/>
              <w:suppressLineNumbers w:val="0"/>
              <w:spacing w:before="0" w:beforeAutospacing="0" w:after="0" w:afterAutospacing="0"/>
              <w:ind w:left="0" w:right="0"/>
              <w:rPr>
                <w:rFonts w:hint="eastAsia" w:ascii="宋体" w:hAnsi="宋体" w:eastAsia="宋体" w:cs="宋体"/>
                <w:sz w:val="24"/>
                <w:szCs w:val="24"/>
                <w:lang w:val="en-US" w:eastAsia="zh-CN"/>
              </w:rPr>
            </w:pPr>
            <w:r>
              <w:rPr>
                <w:rFonts w:hint="eastAsia" w:ascii="宋体" w:hAnsi="宋体" w:cs="宋体"/>
                <w:sz w:val="24"/>
                <w:szCs w:val="24"/>
                <w:lang w:val="en-US" w:eastAsia="zh-CN"/>
              </w:rPr>
              <w:t>8</w:t>
            </w:r>
          </w:p>
        </w:tc>
        <w:tc>
          <w:tcPr>
            <w:tcW w:w="1665" w:type="dxa"/>
            <w:vAlign w:val="center"/>
          </w:tcPr>
          <w:p>
            <w:pPr>
              <w:pStyle w:val="45"/>
              <w:keepNext w:val="0"/>
              <w:keepLines w:val="0"/>
              <w:suppressLineNumbers w:val="0"/>
              <w:spacing w:before="0" w:beforeAutospacing="0" w:after="0" w:afterAutospacing="0"/>
              <w:ind w:left="0" w:right="0"/>
              <w:rPr>
                <w:rFonts w:hint="default" w:ascii="宋体" w:hAnsi="宋体" w:eastAsia="宋体" w:cs="宋体"/>
                <w:sz w:val="24"/>
                <w:szCs w:val="24"/>
                <w:lang w:val="en-US" w:eastAsia="zh-CN"/>
              </w:rPr>
            </w:pPr>
            <w:r>
              <w:rPr>
                <w:rFonts w:hint="eastAsia" w:ascii="宋体" w:hAnsi="宋体" w:cs="宋体"/>
                <w:sz w:val="24"/>
                <w:szCs w:val="24"/>
                <w:lang w:val="en-US" w:eastAsia="zh-CN"/>
              </w:rPr>
              <w:t>0.3</w:t>
            </w:r>
          </w:p>
        </w:tc>
        <w:tc>
          <w:tcPr>
            <w:tcW w:w="3934" w:type="dxa"/>
            <w:vAlign w:val="center"/>
          </w:tcPr>
          <w:p>
            <w:pPr>
              <w:pStyle w:val="45"/>
              <w:keepNext w:val="0"/>
              <w:keepLines w:val="0"/>
              <w:suppressLineNumbers w:val="0"/>
              <w:spacing w:before="0" w:beforeAutospacing="0" w:after="0" w:afterAutospacing="0"/>
              <w:ind w:left="0" w:right="0"/>
              <w:rPr>
                <w:rFonts w:hint="eastAsia"/>
                <w:sz w:val="21"/>
                <w:szCs w:val="21"/>
              </w:rPr>
            </w:pPr>
            <w:r>
              <w:rPr>
                <w:rFonts w:hint="default"/>
                <w:sz w:val="21"/>
                <w:szCs w:val="21"/>
              </w:rPr>
              <w:t>北至</w:t>
            </w:r>
            <w:r>
              <w:rPr>
                <w:rFonts w:hint="eastAsia"/>
                <w:sz w:val="21"/>
                <w:szCs w:val="21"/>
                <w:lang w:val="en-US" w:eastAsia="zh-CN"/>
              </w:rPr>
              <w:t>规划一街</w:t>
            </w:r>
            <w:r>
              <w:rPr>
                <w:rFonts w:hint="eastAsia"/>
                <w:sz w:val="21"/>
                <w:szCs w:val="21"/>
              </w:rPr>
              <w:t>，</w:t>
            </w:r>
            <w:r>
              <w:rPr>
                <w:rFonts w:hint="default"/>
                <w:sz w:val="21"/>
                <w:szCs w:val="21"/>
              </w:rPr>
              <w:t>东至</w:t>
            </w:r>
            <w:r>
              <w:rPr>
                <w:rFonts w:hint="eastAsia"/>
                <w:sz w:val="21"/>
                <w:szCs w:val="21"/>
                <w:lang w:val="en-US" w:eastAsia="zh-CN"/>
              </w:rPr>
              <w:t>曲绛线</w:t>
            </w:r>
            <w:r>
              <w:rPr>
                <w:rFonts w:hint="eastAsia"/>
                <w:sz w:val="21"/>
                <w:szCs w:val="21"/>
              </w:rPr>
              <w:t>、</w:t>
            </w:r>
          </w:p>
          <w:p>
            <w:pPr>
              <w:pStyle w:val="45"/>
              <w:keepNext w:val="0"/>
              <w:keepLines w:val="0"/>
              <w:suppressLineNumbers w:val="0"/>
              <w:spacing w:before="0" w:beforeAutospacing="0" w:after="0" w:afterAutospacing="0"/>
              <w:ind w:left="0" w:right="0"/>
              <w:rPr>
                <w:rFonts w:hint="default" w:ascii="宋体" w:hAnsi="宋体" w:eastAsia="宋体" w:cs="宋体"/>
                <w:sz w:val="24"/>
                <w:szCs w:val="24"/>
                <w:lang w:val="en-US" w:eastAsia="zh-CN"/>
              </w:rPr>
            </w:pPr>
            <w:r>
              <w:rPr>
                <w:rFonts w:hint="default"/>
                <w:sz w:val="21"/>
                <w:szCs w:val="21"/>
              </w:rPr>
              <w:t>南至</w:t>
            </w:r>
            <w:r>
              <w:rPr>
                <w:rFonts w:hint="eastAsia"/>
                <w:sz w:val="21"/>
                <w:szCs w:val="21"/>
                <w:lang w:val="en-US" w:eastAsia="zh-CN"/>
              </w:rPr>
              <w:t>城北大街</w:t>
            </w:r>
            <w:r>
              <w:rPr>
                <w:rFonts w:hint="eastAsia"/>
                <w:sz w:val="21"/>
                <w:szCs w:val="21"/>
              </w:rPr>
              <w:t>，</w:t>
            </w:r>
            <w:r>
              <w:rPr>
                <w:rFonts w:hint="default"/>
                <w:sz w:val="21"/>
                <w:szCs w:val="21"/>
              </w:rPr>
              <w:t>西</w:t>
            </w:r>
            <w:r>
              <w:rPr>
                <w:rFonts w:hint="eastAsia"/>
                <w:sz w:val="21"/>
                <w:szCs w:val="21"/>
                <w:lang w:val="en-US" w:eastAsia="zh-CN"/>
              </w:rPr>
              <w:t>北</w:t>
            </w:r>
            <w:r>
              <w:rPr>
                <w:rFonts w:hint="default"/>
                <w:sz w:val="21"/>
                <w:szCs w:val="21"/>
              </w:rPr>
              <w:t>至</w:t>
            </w:r>
            <w:r>
              <w:rPr>
                <w:rFonts w:hint="eastAsia"/>
                <w:sz w:val="21"/>
                <w:szCs w:val="21"/>
                <w:lang w:val="en-US" w:eastAsia="zh-CN"/>
              </w:rPr>
              <w:t>吉祥路</w:t>
            </w:r>
          </w:p>
        </w:tc>
      </w:tr>
    </w:tbl>
    <w:p>
      <w:pPr>
        <w:pStyle w:val="4"/>
        <w:numPr>
          <w:ilvl w:val="2"/>
          <w:numId w:val="0"/>
        </w:numPr>
        <w:ind w:left="198" w:leftChars="0"/>
      </w:pPr>
      <w:r>
        <w:rPr>
          <w:rFonts w:hint="eastAsia"/>
          <w:lang w:val="en-US" w:eastAsia="zh-CN"/>
        </w:rPr>
        <w:t>5.5.3</w:t>
      </w:r>
      <w:r>
        <w:rPr>
          <w:rFonts w:hint="eastAsia"/>
        </w:rPr>
        <w:t>单元调整</w:t>
      </w:r>
    </w:p>
    <w:p>
      <w:pPr>
        <w:pStyle w:val="5"/>
        <w:numPr>
          <w:ilvl w:val="3"/>
          <w:numId w:val="0"/>
        </w:numPr>
        <w:ind w:leftChars="0"/>
        <w:rPr>
          <w:color w:val="auto"/>
        </w:rPr>
      </w:pPr>
      <w:r>
        <w:rPr>
          <w:rFonts w:hint="eastAsia"/>
          <w:lang w:val="en-US" w:eastAsia="zh-CN"/>
        </w:rPr>
        <w:t>5.5.3.</w:t>
      </w:r>
      <w:r>
        <w:rPr>
          <w:rFonts w:hint="eastAsia"/>
          <w:color w:val="auto"/>
          <w:lang w:val="en-US" w:eastAsia="zh-CN"/>
        </w:rPr>
        <w:t xml:space="preserve">1  </w:t>
      </w:r>
      <w:r>
        <w:rPr>
          <w:rFonts w:hint="eastAsia"/>
          <w:color w:val="auto"/>
        </w:rPr>
        <w:t>1类区调整为2类区的单元</w:t>
      </w:r>
    </w:p>
    <w:p>
      <w:pPr>
        <w:ind w:firstLine="560"/>
        <w:rPr>
          <w:rFonts w:hint="eastAsia" w:ascii="宋体" w:hAnsi="宋体" w:eastAsia="宋体" w:cs="宋体"/>
          <w:color w:val="auto"/>
          <w:sz w:val="24"/>
          <w:szCs w:val="24"/>
          <w:highlight w:val="red"/>
          <w:lang w:val="en-US"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）单元格</w:t>
      </w:r>
      <w:r>
        <w:rPr>
          <w:rFonts w:hint="eastAsia" w:ascii="宋体" w:hAnsi="宋体" w:eastAsia="宋体" w:cs="宋体"/>
          <w:color w:val="auto"/>
          <w:sz w:val="24"/>
          <w:szCs w:val="24"/>
          <w:highlight w:val="none"/>
          <w:lang w:val="en-US" w:eastAsia="zh-CN"/>
        </w:rPr>
        <w:t>37规划</w:t>
      </w:r>
      <w:r>
        <w:rPr>
          <w:rFonts w:hint="eastAsia" w:ascii="宋体" w:hAnsi="宋体" w:eastAsia="宋体" w:cs="宋体"/>
          <w:color w:val="auto"/>
          <w:sz w:val="24"/>
          <w:szCs w:val="24"/>
          <w:highlight w:val="none"/>
        </w:rPr>
        <w:t>用地类型主要为</w:t>
      </w:r>
      <w:r>
        <w:rPr>
          <w:rFonts w:hint="eastAsia" w:ascii="宋体" w:hAnsi="宋体" w:eastAsia="宋体" w:cs="宋体"/>
          <w:color w:val="auto"/>
          <w:sz w:val="24"/>
          <w:szCs w:val="24"/>
          <w:highlight w:val="none"/>
          <w:lang w:val="en-US" w:eastAsia="zh-CN"/>
        </w:rPr>
        <w:t>居住用地、商业</w:t>
      </w:r>
      <w:r>
        <w:rPr>
          <w:rFonts w:hint="eastAsia" w:ascii="宋体" w:hAnsi="宋体" w:eastAsia="宋体" w:cs="宋体"/>
          <w:color w:val="auto"/>
          <w:sz w:val="24"/>
          <w:szCs w:val="24"/>
          <w:highlight w:val="none"/>
        </w:rPr>
        <w:t>用地</w:t>
      </w:r>
      <w:r>
        <w:rPr>
          <w:rFonts w:hint="eastAsia" w:ascii="宋体" w:hAnsi="宋体" w:eastAsia="宋体" w:cs="宋体"/>
          <w:color w:val="auto"/>
          <w:sz w:val="24"/>
          <w:szCs w:val="24"/>
          <w:highlight w:val="none"/>
          <w:lang w:val="en-US" w:eastAsia="zh-CN"/>
        </w:rPr>
        <w:t>混杂区</w:t>
      </w:r>
      <w:r>
        <w:rPr>
          <w:rFonts w:hint="eastAsia" w:ascii="宋体" w:hAnsi="宋体" w:eastAsia="宋体" w:cs="宋体"/>
          <w:color w:val="auto"/>
          <w:sz w:val="24"/>
          <w:szCs w:val="24"/>
          <w:highlight w:val="none"/>
        </w:rPr>
        <w:t>，面积为0.0</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km</w:t>
      </w:r>
      <w:r>
        <w:rPr>
          <w:rFonts w:hint="eastAsia" w:ascii="宋体" w:hAnsi="宋体" w:eastAsia="宋体" w:cs="宋体"/>
          <w:color w:val="auto"/>
          <w:sz w:val="24"/>
          <w:szCs w:val="24"/>
          <w:highlight w:val="none"/>
          <w:vertAlign w:val="superscript"/>
        </w:rPr>
        <w:t>2</w:t>
      </w:r>
      <w:r>
        <w:rPr>
          <w:rFonts w:hint="eastAsia" w:ascii="宋体" w:hAnsi="宋体" w:eastAsia="宋体" w:cs="宋体"/>
          <w:color w:val="auto"/>
          <w:sz w:val="24"/>
          <w:szCs w:val="24"/>
          <w:highlight w:val="none"/>
        </w:rPr>
        <w:t>，按规范要求初步划分为1类区</w:t>
      </w:r>
      <w:r>
        <w:rPr>
          <w:rFonts w:hint="eastAsia" w:ascii="宋体" w:hAnsi="宋体" w:eastAsia="宋体" w:cs="宋体"/>
          <w:color w:val="auto"/>
          <w:sz w:val="24"/>
          <w:szCs w:val="24"/>
          <w:highlight w:val="none"/>
          <w:lang w:val="en-US" w:eastAsia="zh-CN"/>
        </w:rPr>
        <w:t>。同时根据现状监测数据，由于受到108国道交通噪声影响，该区域噪声无法满足1类区标准，同时，根据上期区划方案，该单元格划分为2类区，因此本次仍然将其调整为2类区，调整面积</w:t>
      </w:r>
      <w:r>
        <w:rPr>
          <w:rFonts w:hint="eastAsia" w:ascii="宋体" w:hAnsi="宋体" w:eastAsia="宋体" w:cs="宋体"/>
          <w:color w:val="auto"/>
          <w:sz w:val="24"/>
          <w:szCs w:val="24"/>
          <w:highlight w:val="none"/>
        </w:rPr>
        <w:t>0.0</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km</w:t>
      </w:r>
      <w:r>
        <w:rPr>
          <w:rFonts w:hint="eastAsia" w:ascii="宋体" w:hAnsi="宋体" w:eastAsia="宋体" w:cs="宋体"/>
          <w:color w:val="auto"/>
          <w:sz w:val="24"/>
          <w:szCs w:val="24"/>
          <w:highlight w:val="none"/>
          <w:vertAlign w:val="superscript"/>
        </w:rPr>
        <w:t>2</w:t>
      </w:r>
      <w:r>
        <w:rPr>
          <w:rFonts w:hint="eastAsia" w:ascii="宋体" w:hAnsi="宋体" w:eastAsia="宋体" w:cs="宋体"/>
          <w:color w:val="auto"/>
          <w:sz w:val="24"/>
          <w:szCs w:val="24"/>
          <w:highlight w:val="none"/>
          <w:vertAlign w:val="baseline"/>
          <w:lang w:eastAsia="zh-CN"/>
        </w:rPr>
        <w:t>。</w:t>
      </w:r>
    </w:p>
    <w:p>
      <w:pPr>
        <w:ind w:firstLine="560"/>
        <w:rPr>
          <w:rFonts w:hint="eastAsia" w:ascii="宋体" w:hAnsi="宋体" w:eastAsia="宋体" w:cs="宋体"/>
          <w:color w:val="auto"/>
          <w:sz w:val="24"/>
          <w:szCs w:val="24"/>
          <w:highlight w:val="red"/>
          <w:lang w:val="en-US"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）单元格</w:t>
      </w:r>
      <w:r>
        <w:rPr>
          <w:rFonts w:hint="eastAsia" w:ascii="宋体" w:hAnsi="宋体" w:eastAsia="宋体" w:cs="宋体"/>
          <w:color w:val="auto"/>
          <w:sz w:val="24"/>
          <w:szCs w:val="24"/>
          <w:highlight w:val="none"/>
          <w:lang w:val="en-US" w:eastAsia="zh-CN"/>
        </w:rPr>
        <w:t>53规划</w:t>
      </w:r>
      <w:r>
        <w:rPr>
          <w:rFonts w:hint="eastAsia" w:ascii="宋体" w:hAnsi="宋体" w:eastAsia="宋体" w:cs="宋体"/>
          <w:color w:val="auto"/>
          <w:sz w:val="24"/>
          <w:szCs w:val="24"/>
          <w:highlight w:val="none"/>
        </w:rPr>
        <w:t>用地类型主要为</w:t>
      </w:r>
      <w:r>
        <w:rPr>
          <w:rFonts w:hint="eastAsia" w:ascii="宋体" w:hAnsi="宋体" w:eastAsia="宋体" w:cs="宋体"/>
          <w:color w:val="auto"/>
          <w:sz w:val="24"/>
          <w:szCs w:val="24"/>
          <w:highlight w:val="none"/>
          <w:lang w:val="en-US" w:eastAsia="zh-CN"/>
        </w:rPr>
        <w:t>居住用地、商业</w:t>
      </w:r>
      <w:r>
        <w:rPr>
          <w:rFonts w:hint="eastAsia" w:ascii="宋体" w:hAnsi="宋体" w:eastAsia="宋体" w:cs="宋体"/>
          <w:color w:val="auto"/>
          <w:sz w:val="24"/>
          <w:szCs w:val="24"/>
          <w:highlight w:val="none"/>
        </w:rPr>
        <w:t>用地</w:t>
      </w:r>
      <w:r>
        <w:rPr>
          <w:rFonts w:hint="eastAsia" w:ascii="宋体" w:hAnsi="宋体" w:eastAsia="宋体" w:cs="宋体"/>
          <w:color w:val="auto"/>
          <w:sz w:val="24"/>
          <w:szCs w:val="24"/>
          <w:highlight w:val="none"/>
          <w:lang w:val="en-US" w:eastAsia="zh-CN"/>
        </w:rPr>
        <w:t>混杂区</w:t>
      </w:r>
      <w:r>
        <w:rPr>
          <w:rFonts w:hint="eastAsia" w:ascii="宋体" w:hAnsi="宋体" w:eastAsia="宋体" w:cs="宋体"/>
          <w:color w:val="auto"/>
          <w:sz w:val="24"/>
          <w:szCs w:val="24"/>
          <w:highlight w:val="none"/>
        </w:rPr>
        <w:t>，面积为0.</w:t>
      </w: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m</w:t>
      </w:r>
      <w:r>
        <w:rPr>
          <w:rFonts w:hint="eastAsia" w:ascii="宋体" w:hAnsi="宋体" w:eastAsia="宋体" w:cs="宋体"/>
          <w:color w:val="auto"/>
          <w:sz w:val="24"/>
          <w:szCs w:val="24"/>
          <w:highlight w:val="none"/>
          <w:vertAlign w:val="superscript"/>
        </w:rPr>
        <w:t>2</w:t>
      </w:r>
      <w:r>
        <w:rPr>
          <w:rFonts w:hint="eastAsia" w:ascii="宋体" w:hAnsi="宋体" w:eastAsia="宋体" w:cs="宋体"/>
          <w:color w:val="auto"/>
          <w:sz w:val="24"/>
          <w:szCs w:val="24"/>
          <w:highlight w:val="none"/>
        </w:rPr>
        <w:t>，按规范要求初步划分为1类区</w:t>
      </w:r>
      <w:r>
        <w:rPr>
          <w:rFonts w:hint="eastAsia" w:ascii="宋体" w:hAnsi="宋体" w:eastAsia="宋体" w:cs="宋体"/>
          <w:color w:val="auto"/>
          <w:sz w:val="24"/>
          <w:szCs w:val="24"/>
          <w:highlight w:val="none"/>
          <w:lang w:val="en-US" w:eastAsia="zh-CN"/>
        </w:rPr>
        <w:t>。同时根据现状监测数据，由于受到城市主干道交通噪声影响，该区域噪声无法满足1类区标准，同时，根据上期区划方案，该单元格划分为2类区，因此本次仍然将其调整为2类区，调整面积</w:t>
      </w: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km</w:t>
      </w:r>
      <w:r>
        <w:rPr>
          <w:rFonts w:hint="eastAsia" w:ascii="宋体" w:hAnsi="宋体" w:eastAsia="宋体" w:cs="宋体"/>
          <w:color w:val="auto"/>
          <w:sz w:val="24"/>
          <w:szCs w:val="24"/>
          <w:highlight w:val="none"/>
          <w:vertAlign w:val="superscript"/>
        </w:rPr>
        <w:t>2</w:t>
      </w:r>
      <w:r>
        <w:rPr>
          <w:rFonts w:hint="eastAsia" w:ascii="宋体" w:hAnsi="宋体" w:eastAsia="宋体" w:cs="宋体"/>
          <w:color w:val="auto"/>
          <w:sz w:val="24"/>
          <w:szCs w:val="24"/>
          <w:highlight w:val="none"/>
          <w:vertAlign w:val="baseline"/>
          <w:lang w:eastAsia="zh-CN"/>
        </w:rPr>
        <w:t>。</w:t>
      </w:r>
    </w:p>
    <w:p>
      <w:pPr>
        <w:pStyle w:val="5"/>
        <w:numPr>
          <w:ilvl w:val="3"/>
          <w:numId w:val="0"/>
        </w:numPr>
        <w:ind w:leftChars="0"/>
        <w:rPr>
          <w:rFonts w:hint="eastAsia"/>
          <w:color w:val="auto"/>
          <w:lang w:val="en-US" w:eastAsia="zh-CN"/>
        </w:rPr>
      </w:pPr>
      <w:r>
        <w:rPr>
          <w:rFonts w:hint="eastAsia"/>
          <w:color w:val="auto"/>
          <w:lang w:val="en-US" w:eastAsia="zh-CN"/>
        </w:rPr>
        <w:t>5.5.3.2   2类区调整为1类区的单元</w:t>
      </w:r>
    </w:p>
    <w:p>
      <w:pPr>
        <w:ind w:firstLine="56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rPr>
        <w:t>（1）</w:t>
      </w:r>
      <w:r>
        <w:rPr>
          <w:rFonts w:hint="eastAsia" w:ascii="宋体" w:hAnsi="宋体" w:eastAsia="宋体" w:cs="宋体"/>
          <w:sz w:val="24"/>
          <w:szCs w:val="24"/>
          <w:highlight w:val="none"/>
        </w:rPr>
        <w:t>单元格</w:t>
      </w:r>
      <w:r>
        <w:rPr>
          <w:rFonts w:hint="eastAsia" w:ascii="宋体" w:hAnsi="宋体" w:eastAsia="宋体" w:cs="宋体"/>
          <w:sz w:val="24"/>
          <w:szCs w:val="24"/>
          <w:highlight w:val="none"/>
          <w:lang w:val="en-US" w:eastAsia="zh-CN"/>
        </w:rPr>
        <w:t>12、25规划</w:t>
      </w:r>
      <w:r>
        <w:rPr>
          <w:rFonts w:hint="eastAsia" w:ascii="宋体" w:hAnsi="宋体" w:eastAsia="宋体" w:cs="宋体"/>
          <w:sz w:val="24"/>
          <w:szCs w:val="24"/>
          <w:highlight w:val="none"/>
        </w:rPr>
        <w:t>用地类型主要为</w:t>
      </w:r>
      <w:r>
        <w:rPr>
          <w:rFonts w:hint="eastAsia" w:ascii="宋体" w:hAnsi="宋体" w:eastAsia="宋体" w:cs="宋体"/>
          <w:sz w:val="24"/>
          <w:szCs w:val="24"/>
          <w:highlight w:val="none"/>
          <w:lang w:val="en-US" w:eastAsia="zh-CN"/>
        </w:rPr>
        <w:t>居住用地、商业</w:t>
      </w:r>
      <w:r>
        <w:rPr>
          <w:rFonts w:hint="eastAsia" w:ascii="宋体" w:hAnsi="宋体" w:eastAsia="宋体" w:cs="宋体"/>
          <w:sz w:val="24"/>
          <w:szCs w:val="24"/>
          <w:highlight w:val="none"/>
        </w:rPr>
        <w:t>用地</w:t>
      </w:r>
      <w:r>
        <w:rPr>
          <w:rFonts w:hint="eastAsia" w:ascii="宋体" w:hAnsi="宋体" w:eastAsia="宋体" w:cs="宋体"/>
          <w:sz w:val="24"/>
          <w:szCs w:val="24"/>
          <w:highlight w:val="none"/>
          <w:lang w:val="en-US" w:eastAsia="zh-CN"/>
        </w:rPr>
        <w:t>混杂区</w:t>
      </w:r>
      <w:r>
        <w:rPr>
          <w:rFonts w:hint="eastAsia" w:ascii="宋体" w:hAnsi="宋体" w:eastAsia="宋体" w:cs="宋体"/>
          <w:sz w:val="24"/>
          <w:szCs w:val="24"/>
          <w:highlight w:val="none"/>
        </w:rPr>
        <w:t>，面积为0.</w:t>
      </w:r>
      <w:r>
        <w:rPr>
          <w:rFonts w:hint="eastAsia" w:ascii="宋体" w:hAnsi="宋体" w:eastAsia="宋体" w:cs="宋体"/>
          <w:sz w:val="24"/>
          <w:szCs w:val="24"/>
          <w:highlight w:val="none"/>
          <w:lang w:val="en-US" w:eastAsia="zh-CN"/>
        </w:rPr>
        <w:t>28</w:t>
      </w:r>
      <w:r>
        <w:rPr>
          <w:rFonts w:hint="eastAsia" w:ascii="宋体" w:hAnsi="宋体" w:eastAsia="宋体" w:cs="宋体"/>
          <w:sz w:val="24"/>
          <w:szCs w:val="24"/>
          <w:highlight w:val="none"/>
        </w:rPr>
        <w:t>m</w:t>
      </w:r>
      <w:r>
        <w:rPr>
          <w:rFonts w:hint="eastAsia" w:ascii="宋体" w:hAnsi="宋体" w:eastAsia="宋体" w:cs="宋体"/>
          <w:sz w:val="24"/>
          <w:szCs w:val="24"/>
          <w:highlight w:val="none"/>
          <w:vertAlign w:val="superscript"/>
        </w:rPr>
        <w:t>2</w:t>
      </w:r>
      <w:r>
        <w:rPr>
          <w:rFonts w:hint="eastAsia" w:ascii="宋体" w:hAnsi="宋体" w:eastAsia="宋体" w:cs="宋体"/>
          <w:sz w:val="24"/>
          <w:szCs w:val="24"/>
          <w:highlight w:val="none"/>
        </w:rPr>
        <w:t>，按规范要求初步划分为</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类区</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现状用地为空地，未对此地块进行监测，同时，根据上期区划方案，该单元格划分为1类区，因此本次将其调整为1类区，调整面积</w:t>
      </w:r>
      <w:r>
        <w:rPr>
          <w:rFonts w:hint="eastAsia" w:ascii="宋体" w:hAnsi="宋体" w:eastAsia="宋体" w:cs="宋体"/>
          <w:sz w:val="24"/>
          <w:szCs w:val="24"/>
          <w:highlight w:val="none"/>
        </w:rPr>
        <w:t>0.</w:t>
      </w:r>
      <w:r>
        <w:rPr>
          <w:rFonts w:hint="eastAsia" w:ascii="宋体" w:hAnsi="宋体" w:eastAsia="宋体" w:cs="宋体"/>
          <w:sz w:val="24"/>
          <w:szCs w:val="24"/>
          <w:highlight w:val="none"/>
          <w:lang w:val="en-US" w:eastAsia="zh-CN"/>
        </w:rPr>
        <w:t>28</w:t>
      </w:r>
      <w:r>
        <w:rPr>
          <w:rFonts w:hint="eastAsia" w:ascii="宋体" w:hAnsi="宋体" w:eastAsia="宋体" w:cs="宋体"/>
          <w:sz w:val="24"/>
          <w:szCs w:val="24"/>
          <w:highlight w:val="none"/>
        </w:rPr>
        <w:t>km</w:t>
      </w:r>
      <w:r>
        <w:rPr>
          <w:rFonts w:hint="eastAsia" w:ascii="宋体" w:hAnsi="宋体" w:eastAsia="宋体" w:cs="宋体"/>
          <w:sz w:val="24"/>
          <w:szCs w:val="24"/>
          <w:highlight w:val="none"/>
          <w:vertAlign w:val="superscript"/>
        </w:rPr>
        <w:t>2</w:t>
      </w:r>
      <w:r>
        <w:rPr>
          <w:rFonts w:hint="eastAsia" w:ascii="宋体" w:hAnsi="宋体" w:eastAsia="宋体" w:cs="宋体"/>
          <w:sz w:val="24"/>
          <w:szCs w:val="24"/>
          <w:highlight w:val="none"/>
          <w:vertAlign w:val="baseline"/>
          <w:lang w:eastAsia="zh-CN"/>
        </w:rPr>
        <w:t>。</w:t>
      </w:r>
    </w:p>
    <w:p>
      <w:pPr>
        <w:ind w:firstLine="56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eastAsia="宋体" w:cs="宋体"/>
          <w:sz w:val="24"/>
          <w:szCs w:val="24"/>
          <w:highlight w:val="none"/>
        </w:rPr>
        <w:t>单元格</w:t>
      </w:r>
      <w:r>
        <w:rPr>
          <w:rFonts w:hint="eastAsia" w:ascii="宋体" w:hAnsi="宋体" w:eastAsia="宋体" w:cs="宋体"/>
          <w:sz w:val="24"/>
          <w:szCs w:val="24"/>
          <w:highlight w:val="none"/>
          <w:lang w:val="en-US" w:eastAsia="zh-CN"/>
        </w:rPr>
        <w:t>39规划</w:t>
      </w:r>
      <w:r>
        <w:rPr>
          <w:rFonts w:hint="eastAsia" w:ascii="宋体" w:hAnsi="宋体" w:eastAsia="宋体" w:cs="宋体"/>
          <w:sz w:val="24"/>
          <w:szCs w:val="24"/>
          <w:highlight w:val="none"/>
        </w:rPr>
        <w:t>用地类型主要为</w:t>
      </w:r>
      <w:r>
        <w:rPr>
          <w:rFonts w:hint="eastAsia" w:ascii="宋体" w:hAnsi="宋体" w:eastAsia="宋体" w:cs="宋体"/>
          <w:sz w:val="24"/>
          <w:szCs w:val="24"/>
          <w:highlight w:val="none"/>
          <w:lang w:val="en-US" w:eastAsia="zh-CN"/>
        </w:rPr>
        <w:t>居住用地、商业</w:t>
      </w:r>
      <w:r>
        <w:rPr>
          <w:rFonts w:hint="eastAsia" w:ascii="宋体" w:hAnsi="宋体" w:eastAsia="宋体" w:cs="宋体"/>
          <w:sz w:val="24"/>
          <w:szCs w:val="24"/>
          <w:highlight w:val="none"/>
        </w:rPr>
        <w:t>用地</w:t>
      </w:r>
      <w:r>
        <w:rPr>
          <w:rFonts w:hint="eastAsia" w:ascii="宋体" w:hAnsi="宋体" w:eastAsia="宋体" w:cs="宋体"/>
          <w:sz w:val="24"/>
          <w:szCs w:val="24"/>
          <w:highlight w:val="none"/>
          <w:lang w:val="en-US" w:eastAsia="zh-CN"/>
        </w:rPr>
        <w:t>混杂区</w:t>
      </w:r>
      <w:r>
        <w:rPr>
          <w:rFonts w:hint="eastAsia" w:ascii="宋体" w:hAnsi="宋体" w:eastAsia="宋体" w:cs="宋体"/>
          <w:sz w:val="24"/>
          <w:szCs w:val="24"/>
          <w:highlight w:val="none"/>
        </w:rPr>
        <w:t>，面积为0.</w:t>
      </w:r>
      <w:r>
        <w:rPr>
          <w:rFonts w:hint="eastAsia" w:ascii="宋体" w:hAnsi="宋体" w:eastAsia="宋体" w:cs="宋体"/>
          <w:sz w:val="24"/>
          <w:szCs w:val="24"/>
          <w:highlight w:val="none"/>
          <w:lang w:val="en-US" w:eastAsia="zh-CN"/>
        </w:rPr>
        <w:t>17</w:t>
      </w:r>
      <w:r>
        <w:rPr>
          <w:rFonts w:hint="eastAsia" w:ascii="宋体" w:hAnsi="宋体" w:eastAsia="宋体" w:cs="宋体"/>
          <w:sz w:val="24"/>
          <w:szCs w:val="24"/>
          <w:highlight w:val="none"/>
        </w:rPr>
        <w:t>m</w:t>
      </w:r>
      <w:r>
        <w:rPr>
          <w:rFonts w:hint="eastAsia" w:ascii="宋体" w:hAnsi="宋体" w:eastAsia="宋体" w:cs="宋体"/>
          <w:sz w:val="24"/>
          <w:szCs w:val="24"/>
          <w:highlight w:val="none"/>
          <w:vertAlign w:val="superscript"/>
        </w:rPr>
        <w:t>2</w:t>
      </w:r>
      <w:r>
        <w:rPr>
          <w:rFonts w:hint="eastAsia" w:ascii="宋体" w:hAnsi="宋体" w:eastAsia="宋体" w:cs="宋体"/>
          <w:sz w:val="24"/>
          <w:szCs w:val="24"/>
          <w:highlight w:val="none"/>
        </w:rPr>
        <w:t>，按规范要求初步划分为</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类区</w:t>
      </w:r>
      <w:r>
        <w:rPr>
          <w:rFonts w:hint="eastAsia" w:ascii="宋体" w:hAnsi="宋体" w:eastAsia="宋体" w:cs="宋体"/>
          <w:sz w:val="24"/>
          <w:szCs w:val="24"/>
          <w:highlight w:val="none"/>
          <w:lang w:val="en-US" w:eastAsia="zh-CN"/>
        </w:rPr>
        <w:t>。现状用地为空地，未对此地块进行监测，同时，根据上期区划方案，该单元格划分为1类区，因此本次将其调整为1类区，调整面积</w:t>
      </w:r>
      <w:r>
        <w:rPr>
          <w:rFonts w:hint="eastAsia" w:ascii="宋体" w:hAnsi="宋体" w:eastAsia="宋体" w:cs="宋体"/>
          <w:sz w:val="24"/>
          <w:szCs w:val="24"/>
          <w:highlight w:val="none"/>
        </w:rPr>
        <w:t>0.</w:t>
      </w:r>
      <w:r>
        <w:rPr>
          <w:rFonts w:hint="eastAsia" w:ascii="宋体" w:hAnsi="宋体" w:eastAsia="宋体" w:cs="宋体"/>
          <w:sz w:val="24"/>
          <w:szCs w:val="24"/>
          <w:highlight w:val="none"/>
          <w:lang w:val="en-US" w:eastAsia="zh-CN"/>
        </w:rPr>
        <w:t>17</w:t>
      </w:r>
      <w:r>
        <w:rPr>
          <w:rFonts w:hint="eastAsia" w:ascii="宋体" w:hAnsi="宋体" w:eastAsia="宋体" w:cs="宋体"/>
          <w:sz w:val="24"/>
          <w:szCs w:val="24"/>
          <w:highlight w:val="none"/>
        </w:rPr>
        <w:t>km</w:t>
      </w:r>
      <w:r>
        <w:rPr>
          <w:rFonts w:hint="eastAsia" w:ascii="宋体" w:hAnsi="宋体" w:eastAsia="宋体" w:cs="宋体"/>
          <w:sz w:val="24"/>
          <w:szCs w:val="24"/>
          <w:highlight w:val="none"/>
          <w:vertAlign w:val="superscript"/>
        </w:rPr>
        <w:t>2</w:t>
      </w:r>
      <w:r>
        <w:rPr>
          <w:rFonts w:hint="eastAsia" w:ascii="宋体" w:hAnsi="宋体" w:eastAsia="宋体" w:cs="宋体"/>
          <w:sz w:val="24"/>
          <w:szCs w:val="24"/>
          <w:highlight w:val="none"/>
          <w:vertAlign w:val="baseline"/>
          <w:lang w:eastAsia="zh-CN"/>
        </w:rPr>
        <w:t>。</w:t>
      </w:r>
    </w:p>
    <w:p>
      <w:pPr>
        <w:ind w:firstLine="56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eastAsia="宋体" w:cs="宋体"/>
          <w:sz w:val="24"/>
          <w:szCs w:val="24"/>
          <w:highlight w:val="none"/>
        </w:rPr>
        <w:t>单元格</w:t>
      </w:r>
      <w:r>
        <w:rPr>
          <w:rFonts w:hint="eastAsia" w:ascii="宋体" w:hAnsi="宋体" w:eastAsia="宋体" w:cs="宋体"/>
          <w:sz w:val="24"/>
          <w:szCs w:val="24"/>
          <w:highlight w:val="none"/>
          <w:lang w:val="en-US" w:eastAsia="zh-CN"/>
        </w:rPr>
        <w:t>15规划</w:t>
      </w:r>
      <w:r>
        <w:rPr>
          <w:rFonts w:hint="eastAsia" w:ascii="宋体" w:hAnsi="宋体" w:eastAsia="宋体" w:cs="宋体"/>
          <w:sz w:val="24"/>
          <w:szCs w:val="24"/>
          <w:highlight w:val="none"/>
        </w:rPr>
        <w:t>用地类型主要为</w:t>
      </w:r>
      <w:r>
        <w:rPr>
          <w:rFonts w:hint="eastAsia" w:ascii="宋体" w:hAnsi="宋体" w:eastAsia="宋体" w:cs="宋体"/>
          <w:sz w:val="24"/>
          <w:szCs w:val="24"/>
          <w:highlight w:val="none"/>
          <w:lang w:val="en-US" w:eastAsia="zh-CN"/>
        </w:rPr>
        <w:t>居住用地、商业</w:t>
      </w:r>
      <w:r>
        <w:rPr>
          <w:rFonts w:hint="eastAsia" w:ascii="宋体" w:hAnsi="宋体" w:eastAsia="宋体" w:cs="宋体"/>
          <w:sz w:val="24"/>
          <w:szCs w:val="24"/>
          <w:highlight w:val="none"/>
        </w:rPr>
        <w:t>用地</w:t>
      </w:r>
      <w:r>
        <w:rPr>
          <w:rFonts w:hint="eastAsia" w:ascii="宋体" w:hAnsi="宋体" w:eastAsia="宋体" w:cs="宋体"/>
          <w:sz w:val="24"/>
          <w:szCs w:val="24"/>
          <w:highlight w:val="none"/>
          <w:lang w:val="en-US" w:eastAsia="zh-CN"/>
        </w:rPr>
        <w:t>混杂区</w:t>
      </w:r>
      <w:r>
        <w:rPr>
          <w:rFonts w:hint="eastAsia" w:ascii="宋体" w:hAnsi="宋体" w:eastAsia="宋体" w:cs="宋体"/>
          <w:sz w:val="24"/>
          <w:szCs w:val="24"/>
          <w:highlight w:val="none"/>
        </w:rPr>
        <w:t>，面积为0.</w:t>
      </w: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rPr>
        <w:t>m</w:t>
      </w:r>
      <w:r>
        <w:rPr>
          <w:rFonts w:hint="eastAsia" w:ascii="宋体" w:hAnsi="宋体" w:eastAsia="宋体" w:cs="宋体"/>
          <w:sz w:val="24"/>
          <w:szCs w:val="24"/>
          <w:highlight w:val="none"/>
          <w:vertAlign w:val="superscript"/>
        </w:rPr>
        <w:t>2</w:t>
      </w:r>
      <w:r>
        <w:rPr>
          <w:rFonts w:hint="eastAsia" w:ascii="宋体" w:hAnsi="宋体" w:eastAsia="宋体" w:cs="宋体"/>
          <w:sz w:val="24"/>
          <w:szCs w:val="24"/>
          <w:highlight w:val="none"/>
        </w:rPr>
        <w:t>，按规范要求初步划分为</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类区</w:t>
      </w:r>
      <w:r>
        <w:rPr>
          <w:rFonts w:hint="eastAsia" w:ascii="宋体" w:hAnsi="宋体" w:eastAsia="宋体" w:cs="宋体"/>
          <w:sz w:val="24"/>
          <w:szCs w:val="24"/>
          <w:highlight w:val="none"/>
          <w:lang w:val="en-US" w:eastAsia="zh-CN"/>
        </w:rPr>
        <w:t>。同时根据现状监测数据，该区域噪声能够满足1类区标准，同时，根据上期区划方案，该单元格划分为1类区，因此本次将其调整为1类区，调整面积</w:t>
      </w:r>
      <w:r>
        <w:rPr>
          <w:rFonts w:hint="eastAsia" w:ascii="宋体" w:hAnsi="宋体" w:eastAsia="宋体" w:cs="宋体"/>
          <w:sz w:val="24"/>
          <w:szCs w:val="24"/>
          <w:highlight w:val="none"/>
        </w:rPr>
        <w:t>0.</w:t>
      </w: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rPr>
        <w:t>km</w:t>
      </w:r>
      <w:r>
        <w:rPr>
          <w:rFonts w:hint="eastAsia" w:ascii="宋体" w:hAnsi="宋体" w:eastAsia="宋体" w:cs="宋体"/>
          <w:sz w:val="24"/>
          <w:szCs w:val="24"/>
          <w:highlight w:val="none"/>
          <w:vertAlign w:val="superscript"/>
        </w:rPr>
        <w:t>2</w:t>
      </w:r>
      <w:r>
        <w:rPr>
          <w:rFonts w:hint="eastAsia" w:ascii="宋体" w:hAnsi="宋体" w:eastAsia="宋体" w:cs="宋体"/>
          <w:sz w:val="24"/>
          <w:szCs w:val="24"/>
          <w:highlight w:val="none"/>
          <w:vertAlign w:val="baseline"/>
          <w:lang w:eastAsia="zh-CN"/>
        </w:rPr>
        <w:t>。</w:t>
      </w:r>
    </w:p>
    <w:p>
      <w:pPr>
        <w:ind w:firstLine="56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4</w:t>
      </w:r>
      <w:r>
        <w:rPr>
          <w:rFonts w:hint="eastAsia" w:ascii="宋体" w:hAnsi="宋体" w:eastAsia="宋体" w:cs="宋体"/>
          <w:sz w:val="24"/>
          <w:szCs w:val="24"/>
        </w:rPr>
        <w:t>）</w:t>
      </w:r>
      <w:r>
        <w:rPr>
          <w:rFonts w:hint="eastAsia" w:ascii="宋体" w:hAnsi="宋体" w:eastAsia="宋体" w:cs="宋体"/>
          <w:sz w:val="24"/>
          <w:szCs w:val="24"/>
          <w:highlight w:val="none"/>
        </w:rPr>
        <w:t>单元格</w:t>
      </w:r>
      <w:r>
        <w:rPr>
          <w:rFonts w:hint="eastAsia" w:ascii="宋体" w:hAnsi="宋体" w:eastAsia="宋体" w:cs="宋体"/>
          <w:sz w:val="24"/>
          <w:szCs w:val="24"/>
          <w:highlight w:val="none"/>
          <w:lang w:val="en-US" w:eastAsia="zh-CN"/>
        </w:rPr>
        <w:t>28规划</w:t>
      </w:r>
      <w:r>
        <w:rPr>
          <w:rFonts w:hint="eastAsia" w:ascii="宋体" w:hAnsi="宋体" w:eastAsia="宋体" w:cs="宋体"/>
          <w:sz w:val="24"/>
          <w:szCs w:val="24"/>
          <w:highlight w:val="none"/>
        </w:rPr>
        <w:t>用地类型主要为</w:t>
      </w:r>
      <w:r>
        <w:rPr>
          <w:rFonts w:hint="eastAsia" w:ascii="宋体" w:hAnsi="宋体" w:eastAsia="宋体" w:cs="宋体"/>
          <w:sz w:val="24"/>
          <w:szCs w:val="24"/>
          <w:highlight w:val="none"/>
          <w:lang w:val="en-US" w:eastAsia="zh-CN"/>
        </w:rPr>
        <w:t>居住用地、商业</w:t>
      </w:r>
      <w:r>
        <w:rPr>
          <w:rFonts w:hint="eastAsia" w:ascii="宋体" w:hAnsi="宋体" w:eastAsia="宋体" w:cs="宋体"/>
          <w:sz w:val="24"/>
          <w:szCs w:val="24"/>
          <w:highlight w:val="none"/>
        </w:rPr>
        <w:t>用地</w:t>
      </w:r>
      <w:r>
        <w:rPr>
          <w:rFonts w:hint="eastAsia" w:ascii="宋体" w:hAnsi="宋体" w:eastAsia="宋体" w:cs="宋体"/>
          <w:sz w:val="24"/>
          <w:szCs w:val="24"/>
          <w:highlight w:val="none"/>
          <w:lang w:val="en-US" w:eastAsia="zh-CN"/>
        </w:rPr>
        <w:t>混杂区</w:t>
      </w:r>
      <w:r>
        <w:rPr>
          <w:rFonts w:hint="eastAsia" w:ascii="宋体" w:hAnsi="宋体" w:eastAsia="宋体" w:cs="宋体"/>
          <w:sz w:val="24"/>
          <w:szCs w:val="24"/>
          <w:highlight w:val="none"/>
        </w:rPr>
        <w:t>，面积为0.</w:t>
      </w:r>
      <w:r>
        <w:rPr>
          <w:rFonts w:hint="eastAsia" w:ascii="宋体" w:hAnsi="宋体" w:eastAsia="宋体" w:cs="宋体"/>
          <w:sz w:val="24"/>
          <w:szCs w:val="24"/>
          <w:highlight w:val="none"/>
          <w:lang w:val="en-US" w:eastAsia="zh-CN"/>
        </w:rPr>
        <w:t>21</w:t>
      </w:r>
      <w:r>
        <w:rPr>
          <w:rFonts w:hint="eastAsia" w:ascii="宋体" w:hAnsi="宋体" w:eastAsia="宋体" w:cs="宋体"/>
          <w:sz w:val="24"/>
          <w:szCs w:val="24"/>
          <w:highlight w:val="none"/>
        </w:rPr>
        <w:t>m</w:t>
      </w:r>
      <w:r>
        <w:rPr>
          <w:rFonts w:hint="eastAsia" w:ascii="宋体" w:hAnsi="宋体" w:eastAsia="宋体" w:cs="宋体"/>
          <w:sz w:val="24"/>
          <w:szCs w:val="24"/>
          <w:highlight w:val="none"/>
          <w:vertAlign w:val="superscript"/>
        </w:rPr>
        <w:t>2</w:t>
      </w:r>
      <w:r>
        <w:rPr>
          <w:rFonts w:hint="eastAsia" w:ascii="宋体" w:hAnsi="宋体" w:eastAsia="宋体" w:cs="宋体"/>
          <w:sz w:val="24"/>
          <w:szCs w:val="24"/>
          <w:highlight w:val="none"/>
        </w:rPr>
        <w:t>，按规范要求初步划分为</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类区</w:t>
      </w:r>
      <w:r>
        <w:rPr>
          <w:rFonts w:hint="eastAsia" w:ascii="宋体" w:hAnsi="宋体" w:eastAsia="宋体" w:cs="宋体"/>
          <w:sz w:val="24"/>
          <w:szCs w:val="24"/>
          <w:highlight w:val="none"/>
          <w:lang w:val="en-US" w:eastAsia="zh-CN"/>
        </w:rPr>
        <w:t>。同时根据现状监测数据，该区域噪声能够满足1类区标准，同时，根据上期区划方案，该单元格划分为1类区，因此本次将其调整为1类区，调整面积</w:t>
      </w:r>
      <w:r>
        <w:rPr>
          <w:rFonts w:hint="eastAsia" w:ascii="宋体" w:hAnsi="宋体" w:eastAsia="宋体" w:cs="宋体"/>
          <w:sz w:val="24"/>
          <w:szCs w:val="24"/>
          <w:highlight w:val="none"/>
        </w:rPr>
        <w:t>0.</w:t>
      </w:r>
      <w:r>
        <w:rPr>
          <w:rFonts w:hint="eastAsia" w:ascii="宋体" w:hAnsi="宋体" w:eastAsia="宋体" w:cs="宋体"/>
          <w:sz w:val="24"/>
          <w:szCs w:val="24"/>
          <w:highlight w:val="none"/>
          <w:lang w:val="en-US" w:eastAsia="zh-CN"/>
        </w:rPr>
        <w:t>21</w:t>
      </w:r>
      <w:r>
        <w:rPr>
          <w:rFonts w:hint="eastAsia" w:ascii="宋体" w:hAnsi="宋体" w:eastAsia="宋体" w:cs="宋体"/>
          <w:sz w:val="24"/>
          <w:szCs w:val="24"/>
          <w:highlight w:val="none"/>
        </w:rPr>
        <w:t>km</w:t>
      </w:r>
      <w:r>
        <w:rPr>
          <w:rFonts w:hint="eastAsia" w:ascii="宋体" w:hAnsi="宋体" w:eastAsia="宋体" w:cs="宋体"/>
          <w:sz w:val="24"/>
          <w:szCs w:val="24"/>
          <w:highlight w:val="none"/>
          <w:vertAlign w:val="superscript"/>
        </w:rPr>
        <w:t>2</w:t>
      </w:r>
      <w:r>
        <w:rPr>
          <w:rFonts w:hint="eastAsia" w:ascii="宋体" w:hAnsi="宋体" w:eastAsia="宋体" w:cs="宋体"/>
          <w:sz w:val="24"/>
          <w:szCs w:val="24"/>
          <w:highlight w:val="none"/>
          <w:vertAlign w:val="baseline"/>
          <w:lang w:eastAsia="zh-CN"/>
        </w:rPr>
        <w:t>。</w:t>
      </w:r>
    </w:p>
    <w:p>
      <w:pPr>
        <w:ind w:firstLine="560"/>
        <w:rPr>
          <w:rFonts w:hint="eastAsia" w:ascii="宋体" w:hAnsi="宋体" w:eastAsia="宋体" w:cs="宋体"/>
          <w:sz w:val="24"/>
          <w:szCs w:val="24"/>
          <w:highlight w:val="none"/>
          <w:vertAlign w:val="baseline"/>
          <w:lang w:eastAsia="zh-CN"/>
        </w:rPr>
      </w:pPr>
      <w:r>
        <w:rPr>
          <w:rFonts w:hint="eastAsia" w:ascii="宋体" w:hAnsi="宋体" w:eastAsia="宋体" w:cs="宋体"/>
          <w:sz w:val="24"/>
          <w:szCs w:val="24"/>
          <w:highlight w:val="none"/>
          <w:lang w:val="en-US" w:eastAsia="zh-CN"/>
        </w:rPr>
        <w:t>（5）57规划</w:t>
      </w:r>
      <w:r>
        <w:rPr>
          <w:rFonts w:hint="eastAsia" w:ascii="宋体" w:hAnsi="宋体" w:eastAsia="宋体" w:cs="宋体"/>
          <w:sz w:val="24"/>
          <w:szCs w:val="24"/>
          <w:highlight w:val="none"/>
        </w:rPr>
        <w:t>用地类型主要为</w:t>
      </w:r>
      <w:r>
        <w:rPr>
          <w:rFonts w:hint="eastAsia" w:ascii="宋体" w:hAnsi="宋体" w:eastAsia="宋体" w:cs="宋体"/>
          <w:sz w:val="24"/>
          <w:szCs w:val="24"/>
          <w:highlight w:val="none"/>
          <w:lang w:val="en-US" w:eastAsia="zh-CN"/>
        </w:rPr>
        <w:t>绿地，广场用地</w:t>
      </w:r>
      <w:r>
        <w:rPr>
          <w:rFonts w:hint="eastAsia" w:ascii="宋体" w:hAnsi="宋体" w:eastAsia="宋体" w:cs="宋体"/>
          <w:sz w:val="24"/>
          <w:szCs w:val="24"/>
          <w:highlight w:val="none"/>
        </w:rPr>
        <w:t>，面积为0.</w:t>
      </w:r>
      <w:r>
        <w:rPr>
          <w:rFonts w:hint="eastAsia" w:ascii="宋体" w:hAnsi="宋体" w:eastAsia="宋体" w:cs="宋体"/>
          <w:sz w:val="24"/>
          <w:szCs w:val="24"/>
          <w:highlight w:val="none"/>
          <w:lang w:val="en-US" w:eastAsia="zh-CN"/>
        </w:rPr>
        <w:t>19</w:t>
      </w:r>
      <w:r>
        <w:rPr>
          <w:rFonts w:hint="eastAsia" w:ascii="宋体" w:hAnsi="宋体" w:eastAsia="宋体" w:cs="宋体"/>
          <w:sz w:val="24"/>
          <w:szCs w:val="24"/>
          <w:highlight w:val="none"/>
        </w:rPr>
        <w:t>m</w:t>
      </w:r>
      <w:r>
        <w:rPr>
          <w:rFonts w:hint="eastAsia" w:ascii="宋体" w:hAnsi="宋体" w:eastAsia="宋体" w:cs="宋体"/>
          <w:sz w:val="24"/>
          <w:szCs w:val="24"/>
          <w:highlight w:val="none"/>
          <w:vertAlign w:val="superscript"/>
        </w:rPr>
        <w:t>2</w:t>
      </w:r>
      <w:r>
        <w:rPr>
          <w:rFonts w:hint="eastAsia" w:ascii="宋体" w:hAnsi="宋体" w:eastAsia="宋体" w:cs="宋体"/>
          <w:sz w:val="24"/>
          <w:szCs w:val="24"/>
          <w:highlight w:val="none"/>
        </w:rPr>
        <w:t>，按规范要求初步划分为</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类区</w:t>
      </w:r>
      <w:r>
        <w:rPr>
          <w:rFonts w:hint="eastAsia" w:ascii="宋体" w:hAnsi="宋体" w:eastAsia="宋体" w:cs="宋体"/>
          <w:sz w:val="24"/>
          <w:szCs w:val="24"/>
          <w:highlight w:val="none"/>
          <w:lang w:val="en-US" w:eastAsia="zh-CN"/>
        </w:rPr>
        <w:t>。同时根据现状监测数据，该区域噪声能够满足1类区标准，同时，根据上期区划方案，该单元格划分为1类区，因此本次将其调整为1类区，调整面积</w:t>
      </w:r>
      <w:r>
        <w:rPr>
          <w:rFonts w:hint="eastAsia" w:ascii="宋体" w:hAnsi="宋体" w:eastAsia="宋体" w:cs="宋体"/>
          <w:sz w:val="24"/>
          <w:szCs w:val="24"/>
          <w:highlight w:val="none"/>
        </w:rPr>
        <w:t>0.</w:t>
      </w:r>
      <w:r>
        <w:rPr>
          <w:rFonts w:hint="eastAsia" w:ascii="宋体" w:hAnsi="宋体" w:eastAsia="宋体" w:cs="宋体"/>
          <w:sz w:val="24"/>
          <w:szCs w:val="24"/>
          <w:highlight w:val="none"/>
          <w:lang w:val="en-US" w:eastAsia="zh-CN"/>
        </w:rPr>
        <w:t>19</w:t>
      </w:r>
      <w:r>
        <w:rPr>
          <w:rFonts w:hint="eastAsia" w:ascii="宋体" w:hAnsi="宋体" w:eastAsia="宋体" w:cs="宋体"/>
          <w:sz w:val="24"/>
          <w:szCs w:val="24"/>
          <w:highlight w:val="none"/>
        </w:rPr>
        <w:t>km</w:t>
      </w:r>
      <w:r>
        <w:rPr>
          <w:rFonts w:hint="eastAsia" w:ascii="宋体" w:hAnsi="宋体" w:eastAsia="宋体" w:cs="宋体"/>
          <w:sz w:val="24"/>
          <w:szCs w:val="24"/>
          <w:highlight w:val="none"/>
          <w:vertAlign w:val="superscript"/>
        </w:rPr>
        <w:t>2</w:t>
      </w:r>
      <w:r>
        <w:rPr>
          <w:rFonts w:hint="eastAsia" w:ascii="宋体" w:hAnsi="宋体" w:eastAsia="宋体" w:cs="宋体"/>
          <w:sz w:val="24"/>
          <w:szCs w:val="24"/>
          <w:highlight w:val="none"/>
          <w:vertAlign w:val="baseline"/>
          <w:lang w:eastAsia="zh-CN"/>
        </w:rPr>
        <w:t>。</w:t>
      </w:r>
    </w:p>
    <w:p>
      <w:pPr>
        <w:numPr>
          <w:ilvl w:val="0"/>
          <w:numId w:val="2"/>
        </w:numPr>
        <w:ind w:firstLine="560"/>
        <w:rPr>
          <w:rFonts w:hint="eastAsia" w:ascii="宋体" w:hAnsi="宋体" w:eastAsia="宋体" w:cs="宋体"/>
          <w:color w:val="0B5FD1"/>
          <w:sz w:val="24"/>
          <w:szCs w:val="24"/>
          <w:highlight w:val="none"/>
          <w:vertAlign w:val="baseline"/>
          <w:lang w:eastAsia="zh-CN"/>
        </w:rPr>
      </w:pPr>
      <w:r>
        <w:rPr>
          <w:rFonts w:hint="eastAsia" w:ascii="宋体" w:hAnsi="宋体" w:eastAsia="宋体" w:cs="宋体"/>
          <w:color w:val="0B5FD1"/>
          <w:sz w:val="24"/>
          <w:szCs w:val="24"/>
          <w:highlight w:val="none"/>
        </w:rPr>
        <w:t>单元格</w:t>
      </w:r>
      <w:r>
        <w:rPr>
          <w:rFonts w:hint="eastAsia" w:ascii="宋体" w:hAnsi="宋体" w:eastAsia="宋体" w:cs="宋体"/>
          <w:color w:val="0B5FD1"/>
          <w:sz w:val="24"/>
          <w:szCs w:val="24"/>
          <w:highlight w:val="none"/>
          <w:lang w:val="en-US" w:eastAsia="zh-CN"/>
        </w:rPr>
        <w:t>63规划</w:t>
      </w:r>
      <w:r>
        <w:rPr>
          <w:rFonts w:hint="eastAsia" w:ascii="宋体" w:hAnsi="宋体" w:eastAsia="宋体" w:cs="宋体"/>
          <w:color w:val="0B5FD1"/>
          <w:sz w:val="24"/>
          <w:szCs w:val="24"/>
          <w:highlight w:val="none"/>
        </w:rPr>
        <w:t>用地类型主要为</w:t>
      </w:r>
      <w:r>
        <w:rPr>
          <w:rFonts w:hint="eastAsia" w:ascii="宋体" w:hAnsi="宋体" w:eastAsia="宋体" w:cs="宋体"/>
          <w:color w:val="0B5FD1"/>
          <w:sz w:val="24"/>
          <w:szCs w:val="24"/>
          <w:highlight w:val="none"/>
          <w:lang w:val="en-US" w:eastAsia="zh-CN"/>
        </w:rPr>
        <w:t>公园绿地、水域、商业</w:t>
      </w:r>
      <w:r>
        <w:rPr>
          <w:rFonts w:hint="eastAsia" w:ascii="宋体" w:hAnsi="宋体" w:eastAsia="宋体" w:cs="宋体"/>
          <w:color w:val="0B5FD1"/>
          <w:sz w:val="24"/>
          <w:szCs w:val="24"/>
          <w:highlight w:val="none"/>
        </w:rPr>
        <w:t>用地</w:t>
      </w:r>
      <w:r>
        <w:rPr>
          <w:rFonts w:hint="eastAsia" w:ascii="宋体" w:hAnsi="宋体" w:eastAsia="宋体" w:cs="宋体"/>
          <w:color w:val="0B5FD1"/>
          <w:sz w:val="24"/>
          <w:szCs w:val="24"/>
          <w:highlight w:val="none"/>
          <w:lang w:val="en-US" w:eastAsia="zh-CN"/>
        </w:rPr>
        <w:t>混杂区</w:t>
      </w:r>
      <w:r>
        <w:rPr>
          <w:rFonts w:hint="eastAsia" w:ascii="宋体" w:hAnsi="宋体" w:eastAsia="宋体" w:cs="宋体"/>
          <w:color w:val="0B5FD1"/>
          <w:sz w:val="24"/>
          <w:szCs w:val="24"/>
          <w:highlight w:val="none"/>
        </w:rPr>
        <w:t>，面积为0.</w:t>
      </w:r>
      <w:r>
        <w:rPr>
          <w:rFonts w:hint="eastAsia" w:ascii="宋体" w:hAnsi="宋体" w:eastAsia="宋体" w:cs="宋体"/>
          <w:color w:val="0B5FD1"/>
          <w:sz w:val="24"/>
          <w:szCs w:val="24"/>
          <w:highlight w:val="none"/>
          <w:lang w:val="en-US" w:eastAsia="zh-CN"/>
        </w:rPr>
        <w:t>21</w:t>
      </w:r>
      <w:r>
        <w:rPr>
          <w:rFonts w:hint="eastAsia" w:ascii="宋体" w:hAnsi="宋体" w:eastAsia="宋体" w:cs="宋体"/>
          <w:color w:val="0B5FD1"/>
          <w:sz w:val="24"/>
          <w:szCs w:val="24"/>
          <w:highlight w:val="none"/>
        </w:rPr>
        <w:t>m</w:t>
      </w:r>
      <w:r>
        <w:rPr>
          <w:rFonts w:hint="eastAsia" w:ascii="宋体" w:hAnsi="宋体" w:eastAsia="宋体" w:cs="宋体"/>
          <w:color w:val="0B5FD1"/>
          <w:sz w:val="24"/>
          <w:szCs w:val="24"/>
          <w:highlight w:val="none"/>
          <w:vertAlign w:val="superscript"/>
        </w:rPr>
        <w:t>2</w:t>
      </w:r>
      <w:r>
        <w:rPr>
          <w:rFonts w:hint="eastAsia" w:ascii="宋体" w:hAnsi="宋体" w:eastAsia="宋体" w:cs="宋体"/>
          <w:color w:val="0B5FD1"/>
          <w:sz w:val="24"/>
          <w:szCs w:val="24"/>
          <w:highlight w:val="none"/>
        </w:rPr>
        <w:t>，按规范要求初步划分为</w:t>
      </w:r>
      <w:r>
        <w:rPr>
          <w:rFonts w:hint="eastAsia" w:ascii="宋体" w:hAnsi="宋体" w:eastAsia="宋体" w:cs="宋体"/>
          <w:color w:val="0B5FD1"/>
          <w:sz w:val="24"/>
          <w:szCs w:val="24"/>
          <w:highlight w:val="none"/>
          <w:lang w:val="en-US" w:eastAsia="zh-CN"/>
        </w:rPr>
        <w:t>2</w:t>
      </w:r>
      <w:r>
        <w:rPr>
          <w:rFonts w:hint="eastAsia" w:ascii="宋体" w:hAnsi="宋体" w:eastAsia="宋体" w:cs="宋体"/>
          <w:color w:val="0B5FD1"/>
          <w:sz w:val="24"/>
          <w:szCs w:val="24"/>
          <w:highlight w:val="none"/>
        </w:rPr>
        <w:t>类区</w:t>
      </w:r>
      <w:r>
        <w:rPr>
          <w:rFonts w:hint="eastAsia" w:ascii="宋体" w:hAnsi="宋体" w:eastAsia="宋体" w:cs="宋体"/>
          <w:color w:val="0B5FD1"/>
          <w:sz w:val="24"/>
          <w:szCs w:val="24"/>
          <w:highlight w:val="none"/>
          <w:lang w:val="en-US" w:eastAsia="zh-CN"/>
        </w:rPr>
        <w:t>。同时根据现状监测数据，该区域噪声能够满足1类区标准，同时，根据上期区划方案，该单元格划分为1类区，因此本次将其调整为1类区，调整面积</w:t>
      </w:r>
      <w:r>
        <w:rPr>
          <w:rFonts w:hint="eastAsia" w:ascii="宋体" w:hAnsi="宋体" w:eastAsia="宋体" w:cs="宋体"/>
          <w:color w:val="0B5FD1"/>
          <w:sz w:val="24"/>
          <w:szCs w:val="24"/>
          <w:highlight w:val="none"/>
        </w:rPr>
        <w:t>0.</w:t>
      </w:r>
      <w:r>
        <w:rPr>
          <w:rFonts w:hint="eastAsia" w:ascii="宋体" w:hAnsi="宋体" w:eastAsia="宋体" w:cs="宋体"/>
          <w:color w:val="0B5FD1"/>
          <w:sz w:val="24"/>
          <w:szCs w:val="24"/>
          <w:highlight w:val="none"/>
          <w:lang w:val="en-US" w:eastAsia="zh-CN"/>
        </w:rPr>
        <w:t>21</w:t>
      </w:r>
      <w:r>
        <w:rPr>
          <w:rFonts w:hint="eastAsia" w:ascii="宋体" w:hAnsi="宋体" w:eastAsia="宋体" w:cs="宋体"/>
          <w:color w:val="0B5FD1"/>
          <w:sz w:val="24"/>
          <w:szCs w:val="24"/>
          <w:highlight w:val="none"/>
        </w:rPr>
        <w:t>km</w:t>
      </w:r>
      <w:r>
        <w:rPr>
          <w:rFonts w:hint="eastAsia" w:ascii="宋体" w:hAnsi="宋体" w:eastAsia="宋体" w:cs="宋体"/>
          <w:color w:val="0B5FD1"/>
          <w:sz w:val="24"/>
          <w:szCs w:val="24"/>
          <w:highlight w:val="none"/>
          <w:vertAlign w:val="superscript"/>
        </w:rPr>
        <w:t>2</w:t>
      </w:r>
      <w:r>
        <w:rPr>
          <w:rFonts w:hint="eastAsia" w:ascii="宋体" w:hAnsi="宋体" w:eastAsia="宋体" w:cs="宋体"/>
          <w:color w:val="0B5FD1"/>
          <w:sz w:val="24"/>
          <w:szCs w:val="24"/>
          <w:highlight w:val="none"/>
          <w:vertAlign w:val="baseline"/>
          <w:lang w:eastAsia="zh-CN"/>
        </w:rPr>
        <w:t>。</w:t>
      </w:r>
    </w:p>
    <w:p>
      <w:pPr>
        <w:numPr>
          <w:ilvl w:val="0"/>
          <w:numId w:val="2"/>
        </w:numPr>
        <w:ind w:firstLine="560"/>
        <w:rPr>
          <w:rFonts w:hint="eastAsia" w:ascii="宋体" w:hAnsi="宋体" w:eastAsia="宋体" w:cs="宋体"/>
          <w:color w:val="0B5FD1"/>
          <w:sz w:val="24"/>
          <w:szCs w:val="24"/>
          <w:highlight w:val="none"/>
          <w:vertAlign w:val="baseline"/>
          <w:lang w:eastAsia="zh-CN"/>
        </w:rPr>
      </w:pPr>
      <w:r>
        <w:rPr>
          <w:rFonts w:hint="eastAsia" w:ascii="宋体" w:hAnsi="宋体" w:eastAsia="宋体" w:cs="宋体"/>
          <w:color w:val="0B5FD1"/>
          <w:sz w:val="24"/>
          <w:szCs w:val="24"/>
          <w:highlight w:val="none"/>
        </w:rPr>
        <w:t>单元格</w:t>
      </w:r>
      <w:r>
        <w:rPr>
          <w:rFonts w:hint="eastAsia" w:ascii="宋体" w:hAnsi="宋体" w:eastAsia="宋体" w:cs="宋体"/>
          <w:color w:val="0B5FD1"/>
          <w:sz w:val="24"/>
          <w:szCs w:val="24"/>
          <w:highlight w:val="none"/>
          <w:lang w:val="en-US" w:eastAsia="zh-CN"/>
        </w:rPr>
        <w:t>68规划</w:t>
      </w:r>
      <w:r>
        <w:rPr>
          <w:rFonts w:hint="eastAsia" w:ascii="宋体" w:hAnsi="宋体" w:eastAsia="宋体" w:cs="宋体"/>
          <w:color w:val="0B5FD1"/>
          <w:sz w:val="24"/>
          <w:szCs w:val="24"/>
          <w:highlight w:val="none"/>
        </w:rPr>
        <w:t>用地类型主要为</w:t>
      </w:r>
      <w:r>
        <w:rPr>
          <w:rFonts w:hint="eastAsia" w:ascii="宋体" w:hAnsi="宋体" w:eastAsia="宋体" w:cs="宋体"/>
          <w:color w:val="0B5FD1"/>
          <w:sz w:val="24"/>
          <w:szCs w:val="24"/>
          <w:highlight w:val="none"/>
          <w:lang w:val="en-US" w:eastAsia="zh-CN"/>
        </w:rPr>
        <w:t>公园绿地、防护绿地、体育</w:t>
      </w:r>
      <w:r>
        <w:rPr>
          <w:rFonts w:hint="eastAsia" w:ascii="宋体" w:hAnsi="宋体" w:eastAsia="宋体" w:cs="宋体"/>
          <w:color w:val="0B5FD1"/>
          <w:sz w:val="24"/>
          <w:szCs w:val="24"/>
          <w:highlight w:val="none"/>
        </w:rPr>
        <w:t>用地</w:t>
      </w:r>
      <w:r>
        <w:rPr>
          <w:rFonts w:hint="eastAsia" w:ascii="宋体" w:hAnsi="宋体" w:eastAsia="宋体" w:cs="宋体"/>
          <w:color w:val="0B5FD1"/>
          <w:sz w:val="24"/>
          <w:szCs w:val="24"/>
          <w:highlight w:val="none"/>
          <w:lang w:val="en-US" w:eastAsia="zh-CN"/>
        </w:rPr>
        <w:t>混杂区</w:t>
      </w:r>
      <w:r>
        <w:rPr>
          <w:rFonts w:hint="eastAsia" w:ascii="宋体" w:hAnsi="宋体" w:eastAsia="宋体" w:cs="宋体"/>
          <w:color w:val="0B5FD1"/>
          <w:sz w:val="24"/>
          <w:szCs w:val="24"/>
          <w:highlight w:val="none"/>
        </w:rPr>
        <w:t>，面积为0.</w:t>
      </w:r>
      <w:r>
        <w:rPr>
          <w:rFonts w:hint="eastAsia" w:ascii="宋体" w:hAnsi="宋体" w:eastAsia="宋体" w:cs="宋体"/>
          <w:color w:val="0B5FD1"/>
          <w:sz w:val="24"/>
          <w:szCs w:val="24"/>
          <w:highlight w:val="none"/>
          <w:lang w:val="en-US" w:eastAsia="zh-CN"/>
        </w:rPr>
        <w:t>17</w:t>
      </w:r>
      <w:r>
        <w:rPr>
          <w:rFonts w:hint="eastAsia" w:ascii="宋体" w:hAnsi="宋体" w:eastAsia="宋体" w:cs="宋体"/>
          <w:color w:val="0B5FD1"/>
          <w:sz w:val="24"/>
          <w:szCs w:val="24"/>
          <w:highlight w:val="none"/>
        </w:rPr>
        <w:t>m</w:t>
      </w:r>
      <w:r>
        <w:rPr>
          <w:rFonts w:hint="eastAsia" w:ascii="宋体" w:hAnsi="宋体" w:eastAsia="宋体" w:cs="宋体"/>
          <w:color w:val="0B5FD1"/>
          <w:sz w:val="24"/>
          <w:szCs w:val="24"/>
          <w:highlight w:val="none"/>
          <w:vertAlign w:val="superscript"/>
        </w:rPr>
        <w:t>2</w:t>
      </w:r>
      <w:r>
        <w:rPr>
          <w:rFonts w:hint="eastAsia" w:ascii="宋体" w:hAnsi="宋体" w:eastAsia="宋体" w:cs="宋体"/>
          <w:color w:val="0B5FD1"/>
          <w:sz w:val="24"/>
          <w:szCs w:val="24"/>
          <w:highlight w:val="none"/>
        </w:rPr>
        <w:t>，按规范要求初步划分为</w:t>
      </w:r>
      <w:r>
        <w:rPr>
          <w:rFonts w:hint="eastAsia" w:ascii="宋体" w:hAnsi="宋体" w:eastAsia="宋体" w:cs="宋体"/>
          <w:color w:val="0B5FD1"/>
          <w:sz w:val="24"/>
          <w:szCs w:val="24"/>
          <w:highlight w:val="none"/>
          <w:lang w:val="en-US" w:eastAsia="zh-CN"/>
        </w:rPr>
        <w:t>2</w:t>
      </w:r>
      <w:r>
        <w:rPr>
          <w:rFonts w:hint="eastAsia" w:ascii="宋体" w:hAnsi="宋体" w:eastAsia="宋体" w:cs="宋体"/>
          <w:color w:val="0B5FD1"/>
          <w:sz w:val="24"/>
          <w:szCs w:val="24"/>
          <w:highlight w:val="none"/>
        </w:rPr>
        <w:t>类区</w:t>
      </w:r>
      <w:r>
        <w:rPr>
          <w:rFonts w:hint="eastAsia" w:ascii="宋体" w:hAnsi="宋体" w:eastAsia="宋体" w:cs="宋体"/>
          <w:color w:val="0B5FD1"/>
          <w:sz w:val="24"/>
          <w:szCs w:val="24"/>
          <w:highlight w:val="none"/>
          <w:lang w:val="en-US" w:eastAsia="zh-CN"/>
        </w:rPr>
        <w:t>。现状用地为空地，未对此地块进行监测，同时，根据上期区划方案，该单元格划分为1类区，因此本次将其调整为1类区，调整面积</w:t>
      </w:r>
      <w:r>
        <w:rPr>
          <w:rFonts w:hint="eastAsia" w:ascii="宋体" w:hAnsi="宋体" w:eastAsia="宋体" w:cs="宋体"/>
          <w:color w:val="0B5FD1"/>
          <w:sz w:val="24"/>
          <w:szCs w:val="24"/>
          <w:highlight w:val="none"/>
        </w:rPr>
        <w:t>0.</w:t>
      </w:r>
      <w:r>
        <w:rPr>
          <w:rFonts w:hint="eastAsia" w:ascii="宋体" w:hAnsi="宋体" w:eastAsia="宋体" w:cs="宋体"/>
          <w:color w:val="0B5FD1"/>
          <w:sz w:val="24"/>
          <w:szCs w:val="24"/>
          <w:highlight w:val="none"/>
          <w:lang w:val="en-US" w:eastAsia="zh-CN"/>
        </w:rPr>
        <w:t>17</w:t>
      </w:r>
      <w:r>
        <w:rPr>
          <w:rFonts w:hint="eastAsia" w:ascii="宋体" w:hAnsi="宋体" w:eastAsia="宋体" w:cs="宋体"/>
          <w:color w:val="0B5FD1"/>
          <w:sz w:val="24"/>
          <w:szCs w:val="24"/>
          <w:highlight w:val="none"/>
        </w:rPr>
        <w:t>km</w:t>
      </w:r>
      <w:r>
        <w:rPr>
          <w:rFonts w:hint="eastAsia" w:ascii="宋体" w:hAnsi="宋体" w:eastAsia="宋体" w:cs="宋体"/>
          <w:color w:val="0B5FD1"/>
          <w:sz w:val="24"/>
          <w:szCs w:val="24"/>
          <w:highlight w:val="none"/>
          <w:vertAlign w:val="superscript"/>
        </w:rPr>
        <w:t>2</w:t>
      </w:r>
      <w:r>
        <w:rPr>
          <w:rFonts w:hint="eastAsia" w:ascii="宋体" w:hAnsi="宋体" w:eastAsia="宋体" w:cs="宋体"/>
          <w:color w:val="0B5FD1"/>
          <w:sz w:val="24"/>
          <w:szCs w:val="24"/>
          <w:highlight w:val="none"/>
          <w:vertAlign w:val="baseline"/>
          <w:lang w:eastAsia="zh-CN"/>
        </w:rPr>
        <w:t>。</w:t>
      </w:r>
    </w:p>
    <w:p>
      <w:pPr>
        <w:numPr>
          <w:ilvl w:val="0"/>
          <w:numId w:val="2"/>
        </w:numPr>
        <w:ind w:firstLine="560"/>
        <w:rPr>
          <w:rFonts w:hint="eastAsia" w:ascii="宋体" w:hAnsi="宋体" w:eastAsia="宋体" w:cs="宋体"/>
          <w:color w:val="0B5FD1"/>
          <w:sz w:val="24"/>
          <w:szCs w:val="24"/>
          <w:highlight w:val="none"/>
          <w:vertAlign w:val="baseline"/>
          <w:lang w:eastAsia="zh-CN"/>
        </w:rPr>
      </w:pPr>
      <w:r>
        <w:rPr>
          <w:rFonts w:hint="eastAsia" w:ascii="宋体" w:hAnsi="宋体" w:eastAsia="宋体" w:cs="宋体"/>
          <w:color w:val="0B5FD1"/>
          <w:sz w:val="24"/>
          <w:szCs w:val="24"/>
          <w:highlight w:val="none"/>
        </w:rPr>
        <w:t>单元格</w:t>
      </w:r>
      <w:r>
        <w:rPr>
          <w:rFonts w:hint="eastAsia" w:ascii="宋体" w:hAnsi="宋体" w:eastAsia="宋体" w:cs="宋体"/>
          <w:color w:val="0B5FD1"/>
          <w:sz w:val="24"/>
          <w:szCs w:val="24"/>
          <w:highlight w:val="none"/>
          <w:lang w:val="en-US" w:eastAsia="zh-CN"/>
        </w:rPr>
        <w:t>72规划</w:t>
      </w:r>
      <w:r>
        <w:rPr>
          <w:rFonts w:hint="eastAsia" w:ascii="宋体" w:hAnsi="宋体" w:eastAsia="宋体" w:cs="宋体"/>
          <w:color w:val="0B5FD1"/>
          <w:sz w:val="24"/>
          <w:szCs w:val="24"/>
          <w:highlight w:val="none"/>
        </w:rPr>
        <w:t>用地类型主要为</w:t>
      </w:r>
      <w:r>
        <w:rPr>
          <w:rFonts w:hint="eastAsia" w:ascii="宋体" w:hAnsi="宋体" w:eastAsia="宋体" w:cs="宋体"/>
          <w:color w:val="0B5FD1"/>
          <w:sz w:val="24"/>
          <w:szCs w:val="24"/>
          <w:highlight w:val="none"/>
          <w:lang w:val="en-US" w:eastAsia="zh-CN"/>
        </w:rPr>
        <w:t>防护绿地、居住用地、市政用地、商业</w:t>
      </w:r>
      <w:r>
        <w:rPr>
          <w:rFonts w:hint="eastAsia" w:ascii="宋体" w:hAnsi="宋体" w:eastAsia="宋体" w:cs="宋体"/>
          <w:color w:val="0B5FD1"/>
          <w:sz w:val="24"/>
          <w:szCs w:val="24"/>
          <w:highlight w:val="none"/>
        </w:rPr>
        <w:t>用地</w:t>
      </w:r>
      <w:r>
        <w:rPr>
          <w:rFonts w:hint="eastAsia" w:ascii="宋体" w:hAnsi="宋体" w:eastAsia="宋体" w:cs="宋体"/>
          <w:color w:val="0B5FD1"/>
          <w:sz w:val="24"/>
          <w:szCs w:val="24"/>
          <w:highlight w:val="none"/>
          <w:lang w:val="en-US" w:eastAsia="zh-CN"/>
        </w:rPr>
        <w:t>混杂区</w:t>
      </w:r>
      <w:r>
        <w:rPr>
          <w:rFonts w:hint="eastAsia" w:ascii="宋体" w:hAnsi="宋体" w:eastAsia="宋体" w:cs="宋体"/>
          <w:color w:val="0B5FD1"/>
          <w:sz w:val="24"/>
          <w:szCs w:val="24"/>
          <w:highlight w:val="none"/>
        </w:rPr>
        <w:t>，面积为0.</w:t>
      </w:r>
      <w:r>
        <w:rPr>
          <w:rFonts w:hint="eastAsia" w:ascii="宋体" w:hAnsi="宋体" w:eastAsia="宋体" w:cs="宋体"/>
          <w:color w:val="0B5FD1"/>
          <w:sz w:val="24"/>
          <w:szCs w:val="24"/>
          <w:highlight w:val="none"/>
          <w:lang w:val="en-US" w:eastAsia="zh-CN"/>
        </w:rPr>
        <w:t>19</w:t>
      </w:r>
      <w:r>
        <w:rPr>
          <w:rFonts w:hint="eastAsia" w:ascii="宋体" w:hAnsi="宋体" w:eastAsia="宋体" w:cs="宋体"/>
          <w:color w:val="0B5FD1"/>
          <w:sz w:val="24"/>
          <w:szCs w:val="24"/>
          <w:highlight w:val="none"/>
        </w:rPr>
        <w:t>m</w:t>
      </w:r>
      <w:r>
        <w:rPr>
          <w:rFonts w:hint="eastAsia" w:ascii="宋体" w:hAnsi="宋体" w:eastAsia="宋体" w:cs="宋体"/>
          <w:color w:val="0B5FD1"/>
          <w:sz w:val="24"/>
          <w:szCs w:val="24"/>
          <w:highlight w:val="none"/>
          <w:vertAlign w:val="superscript"/>
        </w:rPr>
        <w:t>2</w:t>
      </w:r>
      <w:r>
        <w:rPr>
          <w:rFonts w:hint="eastAsia" w:ascii="宋体" w:hAnsi="宋体" w:eastAsia="宋体" w:cs="宋体"/>
          <w:color w:val="0B5FD1"/>
          <w:sz w:val="24"/>
          <w:szCs w:val="24"/>
          <w:highlight w:val="none"/>
        </w:rPr>
        <w:t>，按规范要求初步划分为</w:t>
      </w:r>
      <w:r>
        <w:rPr>
          <w:rFonts w:hint="eastAsia" w:ascii="宋体" w:hAnsi="宋体" w:eastAsia="宋体" w:cs="宋体"/>
          <w:color w:val="0B5FD1"/>
          <w:sz w:val="24"/>
          <w:szCs w:val="24"/>
          <w:highlight w:val="none"/>
          <w:lang w:val="en-US" w:eastAsia="zh-CN"/>
        </w:rPr>
        <w:t>2</w:t>
      </w:r>
      <w:r>
        <w:rPr>
          <w:rFonts w:hint="eastAsia" w:ascii="宋体" w:hAnsi="宋体" w:eastAsia="宋体" w:cs="宋体"/>
          <w:color w:val="0B5FD1"/>
          <w:sz w:val="24"/>
          <w:szCs w:val="24"/>
          <w:highlight w:val="none"/>
        </w:rPr>
        <w:t>类区</w:t>
      </w:r>
      <w:r>
        <w:rPr>
          <w:rFonts w:hint="eastAsia" w:ascii="宋体" w:hAnsi="宋体" w:eastAsia="宋体" w:cs="宋体"/>
          <w:color w:val="0B5FD1"/>
          <w:sz w:val="24"/>
          <w:szCs w:val="24"/>
          <w:highlight w:val="none"/>
          <w:lang w:val="en-US" w:eastAsia="zh-CN"/>
        </w:rPr>
        <w:t>。同时根据现状监测数据，该区域噪声能够满足1类区标准，因此本次将其调整为1类区，调整面积</w:t>
      </w:r>
      <w:r>
        <w:rPr>
          <w:rFonts w:hint="eastAsia" w:ascii="宋体" w:hAnsi="宋体" w:eastAsia="宋体" w:cs="宋体"/>
          <w:color w:val="0B5FD1"/>
          <w:sz w:val="24"/>
          <w:szCs w:val="24"/>
          <w:highlight w:val="none"/>
        </w:rPr>
        <w:t>0.</w:t>
      </w:r>
      <w:r>
        <w:rPr>
          <w:rFonts w:hint="eastAsia" w:ascii="宋体" w:hAnsi="宋体" w:eastAsia="宋体" w:cs="宋体"/>
          <w:color w:val="0B5FD1"/>
          <w:sz w:val="24"/>
          <w:szCs w:val="24"/>
          <w:highlight w:val="none"/>
          <w:lang w:val="en-US" w:eastAsia="zh-CN"/>
        </w:rPr>
        <w:t>19</w:t>
      </w:r>
      <w:r>
        <w:rPr>
          <w:rFonts w:hint="eastAsia" w:ascii="宋体" w:hAnsi="宋体" w:eastAsia="宋体" w:cs="宋体"/>
          <w:color w:val="0B5FD1"/>
          <w:sz w:val="24"/>
          <w:szCs w:val="24"/>
          <w:highlight w:val="none"/>
        </w:rPr>
        <w:t>km</w:t>
      </w:r>
      <w:r>
        <w:rPr>
          <w:rFonts w:hint="eastAsia" w:ascii="宋体" w:hAnsi="宋体" w:eastAsia="宋体" w:cs="宋体"/>
          <w:color w:val="0B5FD1"/>
          <w:sz w:val="24"/>
          <w:szCs w:val="24"/>
          <w:highlight w:val="none"/>
          <w:vertAlign w:val="superscript"/>
        </w:rPr>
        <w:t>2</w:t>
      </w:r>
      <w:r>
        <w:rPr>
          <w:rFonts w:hint="eastAsia" w:ascii="宋体" w:hAnsi="宋体" w:eastAsia="宋体" w:cs="宋体"/>
          <w:color w:val="0B5FD1"/>
          <w:sz w:val="24"/>
          <w:szCs w:val="24"/>
          <w:highlight w:val="none"/>
          <w:vertAlign w:val="baseline"/>
          <w:lang w:eastAsia="zh-CN"/>
        </w:rPr>
        <w:t>。</w:t>
      </w:r>
    </w:p>
    <w:p>
      <w:pPr>
        <w:widowControl w:val="0"/>
        <w:numPr>
          <w:ilvl w:val="0"/>
          <w:numId w:val="0"/>
        </w:numPr>
        <w:spacing w:line="360" w:lineRule="auto"/>
        <w:jc w:val="both"/>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rPr>
          <w:rFonts w:hint="eastAsia" w:ascii="宋体" w:hAnsi="宋体" w:eastAsia="宋体" w:cs="宋体"/>
          <w:color w:val="0B5FD1"/>
          <w:sz w:val="24"/>
          <w:szCs w:val="24"/>
          <w:highlight w:val="none"/>
          <w:vertAlign w:val="baseline"/>
          <w:lang w:eastAsia="zh-CN"/>
        </w:rPr>
      </w:pPr>
      <w:r>
        <w:rPr>
          <w:rFonts w:hint="eastAsia" w:ascii="宋体" w:hAnsi="宋体" w:eastAsia="宋体" w:cs="宋体"/>
          <w:color w:val="0B5FD1"/>
          <w:sz w:val="24"/>
          <w:szCs w:val="24"/>
          <w:highlight w:val="none"/>
          <w:vertAlign w:val="baseline"/>
          <w:lang w:eastAsia="zh-CN"/>
        </w:rPr>
        <w:drawing>
          <wp:anchor distT="0" distB="0" distL="114300" distR="114300" simplePos="0" relativeHeight="251995136" behindDoc="1" locked="0" layoutInCell="1" allowOverlap="1">
            <wp:simplePos x="0" y="0"/>
            <wp:positionH relativeFrom="column">
              <wp:posOffset>-511810</wp:posOffset>
            </wp:positionH>
            <wp:positionV relativeFrom="paragraph">
              <wp:posOffset>-88265</wp:posOffset>
            </wp:positionV>
            <wp:extent cx="6278245" cy="8456930"/>
            <wp:effectExtent l="0" t="0" r="8255" b="1270"/>
            <wp:wrapNone/>
            <wp:docPr id="19" name="图片 19" descr="附图8曲沃县城市区域声环境功能单元调整图"/>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19" descr="附图8曲沃县城市区域声环境功能单元调整图"/>
                    <pic:cNvPicPr>
                      <a:picLocks noChangeAspect="true"/>
                    </pic:cNvPicPr>
                  </pic:nvPicPr>
                  <pic:blipFill>
                    <a:blip r:embed="rId54"/>
                    <a:srcRect t="2110" b="2638"/>
                    <a:stretch>
                      <a:fillRect/>
                    </a:stretch>
                  </pic:blipFill>
                  <pic:spPr>
                    <a:xfrm>
                      <a:off x="0" y="0"/>
                      <a:ext cx="6278245" cy="8456930"/>
                    </a:xfrm>
                    <a:prstGeom prst="rect">
                      <a:avLst/>
                    </a:prstGeom>
                  </pic:spPr>
                </pic:pic>
              </a:graphicData>
            </a:graphic>
          </wp:anchor>
        </w:drawing>
      </w:r>
    </w:p>
    <w:p>
      <w:pPr>
        <w:widowControl w:val="0"/>
        <w:numPr>
          <w:ilvl w:val="0"/>
          <w:numId w:val="0"/>
        </w:numPr>
        <w:spacing w:line="360" w:lineRule="auto"/>
        <w:jc w:val="both"/>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outlineLvl w:val="9"/>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outlineLvl w:val="9"/>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outlineLvl w:val="9"/>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outlineLvl w:val="9"/>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outlineLvl w:val="9"/>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outlineLvl w:val="9"/>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outlineLvl w:val="9"/>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outlineLvl w:val="9"/>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outlineLvl w:val="9"/>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outlineLvl w:val="9"/>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outlineLvl w:val="9"/>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outlineLvl w:val="9"/>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outlineLvl w:val="9"/>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outlineLvl w:val="9"/>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outlineLvl w:val="9"/>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outlineLvl w:val="9"/>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both"/>
        <w:outlineLvl w:val="9"/>
        <w:rPr>
          <w:rFonts w:hint="eastAsia" w:ascii="宋体" w:hAnsi="宋体" w:eastAsia="宋体" w:cs="宋体"/>
          <w:color w:val="0B5FD1"/>
          <w:sz w:val="24"/>
          <w:szCs w:val="24"/>
          <w:highlight w:val="none"/>
          <w:vertAlign w:val="baseline"/>
          <w:lang w:eastAsia="zh-CN"/>
        </w:rPr>
      </w:pPr>
    </w:p>
    <w:p>
      <w:pPr>
        <w:widowControl w:val="0"/>
        <w:numPr>
          <w:ilvl w:val="0"/>
          <w:numId w:val="0"/>
        </w:numPr>
        <w:spacing w:line="360" w:lineRule="auto"/>
        <w:jc w:val="center"/>
        <w:outlineLvl w:val="9"/>
        <w:rPr>
          <w:rFonts w:hint="eastAsia" w:ascii="宋体" w:hAnsi="宋体" w:eastAsia="宋体" w:cs="宋体"/>
          <w:b/>
          <w:bCs/>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图5-3  曲沃县城市区域声环境功能单元调整图</w:t>
      </w:r>
    </w:p>
    <w:p>
      <w:pPr>
        <w:pStyle w:val="4"/>
        <w:numPr>
          <w:ilvl w:val="2"/>
          <w:numId w:val="0"/>
        </w:numPr>
        <w:ind w:left="198" w:leftChars="0"/>
        <w:rPr>
          <w:rFonts w:hint="eastAsia"/>
        </w:rPr>
      </w:pPr>
      <w:r>
        <w:rPr>
          <w:rFonts w:hint="default"/>
        </w:rPr>
        <w:t xml:space="preserve">5.5.4 </w:t>
      </w:r>
      <w:r>
        <w:rPr>
          <w:rFonts w:hint="eastAsia"/>
        </w:rPr>
        <w:t>单元融合</w:t>
      </w:r>
    </w:p>
    <w:p>
      <w:pPr>
        <w:spacing w:beforeLines="0" w:afterLines="0"/>
        <w:jc w:val="left"/>
        <w:rPr>
          <w:rFonts w:hint="eastAsia" w:ascii="宋体" w:hAnsi="宋体" w:eastAsia="宋体" w:cs="宋体"/>
          <w:sz w:val="24"/>
          <w:szCs w:val="24"/>
          <w:highlight w:val="red"/>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）单元</w:t>
      </w:r>
      <w:r>
        <w:rPr>
          <w:rFonts w:hint="eastAsia" w:ascii="宋体" w:hAnsi="宋体" w:eastAsia="宋体" w:cs="宋体"/>
          <w:sz w:val="24"/>
          <w:szCs w:val="24"/>
          <w:lang w:val="en-US" w:eastAsia="zh-CN"/>
        </w:rPr>
        <w:t>44</w:t>
      </w:r>
      <w:r>
        <w:rPr>
          <w:rFonts w:hint="eastAsia" w:ascii="宋体" w:hAnsi="宋体" w:eastAsia="宋体" w:cs="宋体"/>
          <w:sz w:val="24"/>
          <w:szCs w:val="24"/>
        </w:rPr>
        <w:t>主要为居住用地、商业用地混杂区，但该单元格面积较小，依据《声环境功能区划分技术规范（GB/T15190-2014）》中“5.3 单块的声环境功能区面积，原则上不小于0.5km</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rPr>
        <w:t>”，将该区域融合为1 类区，融合面积为0.</w:t>
      </w:r>
      <w:r>
        <w:rPr>
          <w:rFonts w:hint="eastAsia" w:ascii="宋体" w:hAnsi="宋体" w:eastAsia="宋体" w:cs="宋体"/>
          <w:sz w:val="24"/>
          <w:szCs w:val="24"/>
          <w:lang w:val="en-US" w:eastAsia="zh-CN"/>
        </w:rPr>
        <w:t>14</w:t>
      </w:r>
      <w:r>
        <w:rPr>
          <w:rFonts w:hint="eastAsia" w:ascii="宋体" w:hAnsi="宋体" w:eastAsia="宋体" w:cs="宋体"/>
          <w:sz w:val="24"/>
          <w:szCs w:val="24"/>
        </w:rPr>
        <w:t>km</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rPr>
        <w:t>，功能区类别为1类区。</w:t>
      </w:r>
    </w:p>
    <w:p>
      <w:pPr>
        <w:spacing w:beforeLines="0" w:afterLines="0"/>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）单元</w:t>
      </w:r>
      <w:r>
        <w:rPr>
          <w:rFonts w:hint="eastAsia" w:ascii="宋体" w:hAnsi="宋体" w:eastAsia="宋体" w:cs="宋体"/>
          <w:sz w:val="24"/>
          <w:szCs w:val="24"/>
          <w:lang w:val="en-US" w:eastAsia="zh-CN"/>
        </w:rPr>
        <w:t>55</w:t>
      </w:r>
      <w:r>
        <w:rPr>
          <w:rFonts w:hint="eastAsia" w:ascii="宋体" w:hAnsi="宋体" w:eastAsia="宋体" w:cs="宋体"/>
          <w:sz w:val="24"/>
          <w:szCs w:val="24"/>
        </w:rPr>
        <w:t>主要为居住用地、商业用地混杂区，但该单元格面积较小，依据《声环境功能区划分技术规范（GB/T15190-2014）》中“5.3单块的声环境功能区面积，原则上不小于0.5km</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rPr>
        <w:t>”，将该区域融合为1 类区，融合面积为0.</w:t>
      </w:r>
      <w:r>
        <w:rPr>
          <w:rFonts w:hint="eastAsia" w:ascii="宋体" w:hAnsi="宋体" w:eastAsia="宋体" w:cs="宋体"/>
          <w:sz w:val="24"/>
          <w:szCs w:val="24"/>
          <w:lang w:val="en-US" w:eastAsia="zh-CN"/>
        </w:rPr>
        <w:t>07</w:t>
      </w:r>
      <w:r>
        <w:rPr>
          <w:rFonts w:hint="eastAsia" w:ascii="宋体" w:hAnsi="宋体" w:eastAsia="宋体" w:cs="宋体"/>
          <w:sz w:val="24"/>
          <w:szCs w:val="24"/>
        </w:rPr>
        <w:t>km</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rPr>
        <w:t>，功能区类别为1 类区。</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表5-8  曲沃县交通干线信息表</w:t>
      </w:r>
    </w:p>
    <w:tbl>
      <w:tblPr>
        <w:tblStyle w:val="24"/>
        <w:tblW w:w="852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84"/>
        <w:gridCol w:w="2219"/>
        <w:gridCol w:w="1584"/>
        <w:gridCol w:w="1690"/>
        <w:gridCol w:w="204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9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序号</w:t>
            </w:r>
          </w:p>
        </w:tc>
        <w:tc>
          <w:tcPr>
            <w:tcW w:w="2219"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eastAsia" w:cs="Times New Roman" w:eastAsiaTheme="minorEastAsia"/>
                <w:sz w:val="21"/>
                <w:szCs w:val="21"/>
                <w:lang w:val="en-US" w:eastAsia="zh-CN"/>
              </w:rPr>
              <w:t>部门</w:t>
            </w:r>
          </w:p>
        </w:tc>
        <w:tc>
          <w:tcPr>
            <w:tcW w:w="15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eastAsia" w:ascii="Times New Roman" w:hAnsi="Times New Roman" w:cs="Times New Roman" w:eastAsiaTheme="minorEastAsia"/>
                <w:sz w:val="21"/>
                <w:szCs w:val="21"/>
                <w:lang w:eastAsia="zh-CN"/>
              </w:rPr>
            </w:pPr>
            <w:r>
              <w:rPr>
                <w:rFonts w:hint="eastAsia" w:cs="Times New Roman" w:eastAsiaTheme="minorEastAsia"/>
                <w:sz w:val="21"/>
                <w:szCs w:val="21"/>
                <w:lang w:val="en-US" w:eastAsia="zh-CN"/>
              </w:rPr>
              <w:t>意见</w:t>
            </w:r>
          </w:p>
        </w:tc>
        <w:tc>
          <w:tcPr>
            <w:tcW w:w="169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eastAsia" w:cs="Times New Roman" w:eastAsiaTheme="minorEastAsia"/>
                <w:sz w:val="21"/>
                <w:szCs w:val="21"/>
                <w:lang w:val="en-US" w:eastAsia="zh-CN"/>
              </w:rPr>
              <w:t>是否采纳</w:t>
            </w:r>
          </w:p>
        </w:tc>
        <w:tc>
          <w:tcPr>
            <w:tcW w:w="2048"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eastAsia" w:cs="Times New Roman" w:eastAsiaTheme="minorEastAsia"/>
                <w:sz w:val="21"/>
                <w:szCs w:val="21"/>
                <w:lang w:val="en-US" w:eastAsia="zh-CN"/>
              </w:rPr>
              <w:t>原因与结果</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9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eastAsia"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1</w:t>
            </w:r>
          </w:p>
        </w:tc>
        <w:tc>
          <w:tcPr>
            <w:tcW w:w="2219"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eastAsia" w:cs="Times New Roman" w:eastAsiaTheme="minorEastAsia"/>
                <w:sz w:val="21"/>
                <w:szCs w:val="21"/>
                <w:lang w:val="en-US" w:eastAsia="zh-CN"/>
              </w:rPr>
            </w:pPr>
            <w:r>
              <w:rPr>
                <w:rFonts w:hint="eastAsia" w:cs="Times New Roman" w:eastAsiaTheme="minorEastAsia"/>
                <w:sz w:val="21"/>
                <w:szCs w:val="21"/>
                <w:lang w:val="en-US" w:eastAsia="zh-CN"/>
              </w:rPr>
              <w:t>曲沃县交通运输局</w:t>
            </w:r>
          </w:p>
        </w:tc>
        <w:tc>
          <w:tcPr>
            <w:tcW w:w="15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eastAsia" w:cs="Times New Roman" w:eastAsiaTheme="minorEastAsia"/>
                <w:sz w:val="21"/>
                <w:szCs w:val="21"/>
                <w:lang w:val="en-US" w:eastAsia="zh-CN"/>
              </w:rPr>
            </w:pPr>
            <w:r>
              <w:rPr>
                <w:rFonts w:hint="eastAsia" w:cs="Times New Roman" w:eastAsiaTheme="minorEastAsia"/>
                <w:sz w:val="21"/>
                <w:szCs w:val="21"/>
                <w:lang w:val="en-US" w:eastAsia="zh-CN"/>
              </w:rPr>
              <w:t>同意区划方案</w:t>
            </w:r>
          </w:p>
        </w:tc>
        <w:tc>
          <w:tcPr>
            <w:tcW w:w="169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eastAsia" w:cs="Times New Roman" w:eastAsiaTheme="minorEastAsia"/>
                <w:sz w:val="21"/>
                <w:szCs w:val="21"/>
                <w:lang w:val="en-US" w:eastAsia="zh-CN"/>
              </w:rPr>
            </w:pPr>
            <w:r>
              <w:rPr>
                <w:rFonts w:hint="eastAsia" w:cs="Times New Roman" w:eastAsiaTheme="minorEastAsia"/>
                <w:sz w:val="21"/>
                <w:szCs w:val="21"/>
                <w:lang w:val="en-US" w:eastAsia="zh-CN"/>
              </w:rPr>
              <w:t>是</w:t>
            </w:r>
          </w:p>
        </w:tc>
        <w:tc>
          <w:tcPr>
            <w:tcW w:w="2048"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eastAsia" w:cs="Times New Roman" w:eastAsiaTheme="minorEastAsia"/>
                <w:sz w:val="21"/>
                <w:szCs w:val="21"/>
                <w:lang w:val="en-US" w:eastAsia="zh-CN"/>
              </w:rPr>
            </w:pPr>
            <w:r>
              <w:rPr>
                <w:rFonts w:hint="eastAsia" w:cs="Times New Roman" w:eastAsiaTheme="minorEastAsia"/>
                <w:sz w:val="21"/>
                <w:szCs w:val="21"/>
                <w:lang w:val="en-US" w:eastAsia="zh-CN"/>
              </w:rPr>
              <w:t>同意本次区划方案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9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eastAsia"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2</w:t>
            </w:r>
          </w:p>
        </w:tc>
        <w:tc>
          <w:tcPr>
            <w:tcW w:w="2219"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eastAsia" w:cs="Times New Roman" w:eastAsiaTheme="minorEastAsia"/>
                <w:sz w:val="21"/>
                <w:szCs w:val="21"/>
                <w:lang w:val="en-US" w:eastAsia="zh-CN"/>
              </w:rPr>
            </w:pPr>
            <w:r>
              <w:rPr>
                <w:rFonts w:hint="eastAsia" w:cs="Times New Roman" w:eastAsiaTheme="minorEastAsia"/>
                <w:sz w:val="21"/>
                <w:szCs w:val="21"/>
                <w:lang w:val="en-US" w:eastAsia="zh-CN"/>
              </w:rPr>
              <w:t>曲沃县自然资源局</w:t>
            </w:r>
          </w:p>
        </w:tc>
        <w:tc>
          <w:tcPr>
            <w:tcW w:w="15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eastAsia" w:cs="Times New Roman" w:eastAsiaTheme="minorEastAsia"/>
                <w:sz w:val="21"/>
                <w:szCs w:val="21"/>
                <w:lang w:val="en-US" w:eastAsia="zh-CN"/>
              </w:rPr>
            </w:pPr>
            <w:r>
              <w:rPr>
                <w:rFonts w:hint="eastAsia" w:cs="Times New Roman" w:eastAsiaTheme="minorEastAsia"/>
                <w:sz w:val="21"/>
                <w:szCs w:val="21"/>
                <w:lang w:val="en-US" w:eastAsia="zh-CN"/>
              </w:rPr>
              <w:t>同意区划方案</w:t>
            </w:r>
          </w:p>
        </w:tc>
        <w:tc>
          <w:tcPr>
            <w:tcW w:w="169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eastAsia" w:cs="Times New Roman" w:eastAsiaTheme="minorEastAsia"/>
                <w:sz w:val="21"/>
                <w:szCs w:val="21"/>
                <w:lang w:val="en-US" w:eastAsia="zh-CN"/>
              </w:rPr>
            </w:pPr>
            <w:r>
              <w:rPr>
                <w:rFonts w:hint="eastAsia" w:cs="Times New Roman" w:eastAsiaTheme="minorEastAsia"/>
                <w:sz w:val="21"/>
                <w:szCs w:val="21"/>
                <w:lang w:val="en-US" w:eastAsia="zh-CN"/>
              </w:rPr>
              <w:t>是</w:t>
            </w:r>
          </w:p>
        </w:tc>
        <w:tc>
          <w:tcPr>
            <w:tcW w:w="2048"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eastAsia" w:cs="Times New Roman" w:eastAsiaTheme="minorEastAsia"/>
                <w:sz w:val="21"/>
                <w:szCs w:val="21"/>
                <w:lang w:val="en-US" w:eastAsia="zh-CN"/>
              </w:rPr>
            </w:pPr>
            <w:r>
              <w:rPr>
                <w:rFonts w:hint="eastAsia" w:cs="Times New Roman" w:eastAsiaTheme="minorEastAsia"/>
                <w:sz w:val="21"/>
                <w:szCs w:val="21"/>
                <w:lang w:val="en-US" w:eastAsia="zh-CN"/>
              </w:rPr>
              <w:t>同意本次区划方案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12" w:hRule="atLeast"/>
          <w:jc w:val="center"/>
        </w:trPr>
        <w:tc>
          <w:tcPr>
            <w:tcW w:w="9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eastAsia"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3</w:t>
            </w:r>
          </w:p>
        </w:tc>
        <w:tc>
          <w:tcPr>
            <w:tcW w:w="2219"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eastAsia" w:cs="Times New Roman" w:eastAsiaTheme="minorEastAsia"/>
                <w:sz w:val="21"/>
                <w:szCs w:val="21"/>
                <w:lang w:val="en-US" w:eastAsia="zh-CN"/>
              </w:rPr>
            </w:pPr>
            <w:r>
              <w:rPr>
                <w:rFonts w:hint="eastAsia" w:cs="Times New Roman" w:eastAsiaTheme="minorEastAsia"/>
                <w:sz w:val="21"/>
                <w:szCs w:val="21"/>
                <w:lang w:val="en-US" w:eastAsia="zh-CN"/>
              </w:rPr>
              <w:t>曲沃县公安局</w:t>
            </w:r>
          </w:p>
        </w:tc>
        <w:tc>
          <w:tcPr>
            <w:tcW w:w="15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eastAsia" w:cs="Times New Roman" w:eastAsiaTheme="minorEastAsia"/>
                <w:sz w:val="21"/>
                <w:szCs w:val="21"/>
                <w:lang w:val="en-US" w:eastAsia="zh-CN"/>
              </w:rPr>
            </w:pPr>
            <w:r>
              <w:rPr>
                <w:rFonts w:hint="eastAsia" w:cs="Times New Roman" w:eastAsiaTheme="minorEastAsia"/>
                <w:sz w:val="21"/>
                <w:szCs w:val="21"/>
                <w:lang w:val="en-US" w:eastAsia="zh-CN"/>
              </w:rPr>
              <w:t>同意区划方案</w:t>
            </w:r>
          </w:p>
        </w:tc>
        <w:tc>
          <w:tcPr>
            <w:tcW w:w="169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eastAsia" w:cs="Times New Roman" w:eastAsiaTheme="minorEastAsia"/>
                <w:sz w:val="21"/>
                <w:szCs w:val="21"/>
                <w:lang w:val="en-US" w:eastAsia="zh-CN"/>
              </w:rPr>
            </w:pPr>
            <w:r>
              <w:rPr>
                <w:rFonts w:hint="eastAsia" w:cs="Times New Roman" w:eastAsiaTheme="minorEastAsia"/>
                <w:sz w:val="21"/>
                <w:szCs w:val="21"/>
                <w:lang w:val="en-US" w:eastAsia="zh-CN"/>
              </w:rPr>
              <w:t>是</w:t>
            </w:r>
          </w:p>
        </w:tc>
        <w:tc>
          <w:tcPr>
            <w:tcW w:w="2048"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eastAsia" w:cs="Times New Roman" w:eastAsiaTheme="minorEastAsia"/>
                <w:sz w:val="21"/>
                <w:szCs w:val="21"/>
                <w:lang w:val="en-US" w:eastAsia="zh-CN"/>
              </w:rPr>
            </w:pPr>
            <w:r>
              <w:rPr>
                <w:rFonts w:hint="eastAsia" w:cs="Times New Roman" w:eastAsiaTheme="minorEastAsia"/>
                <w:sz w:val="21"/>
                <w:szCs w:val="21"/>
                <w:lang w:val="en-US" w:eastAsia="zh-CN"/>
              </w:rPr>
              <w:t>同意本次区划方案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9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eastAsia" w:ascii="Times New Roman" w:hAnsi="Times New Roman" w:cs="Times New Roman" w:eastAsiaTheme="minorEastAsia"/>
                <w:sz w:val="21"/>
                <w:szCs w:val="21"/>
                <w:lang w:val="en-US" w:eastAsia="zh-CN"/>
              </w:rPr>
            </w:pPr>
            <w:r>
              <w:rPr>
                <w:rFonts w:hint="eastAsia" w:cs="Times New Roman" w:eastAsiaTheme="minorEastAsia"/>
                <w:sz w:val="21"/>
                <w:szCs w:val="21"/>
                <w:lang w:val="en-US" w:eastAsia="zh-CN"/>
              </w:rPr>
              <w:t>4</w:t>
            </w:r>
          </w:p>
        </w:tc>
        <w:tc>
          <w:tcPr>
            <w:tcW w:w="2219"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eastAsia" w:cs="Times New Roman" w:eastAsiaTheme="minorEastAsia"/>
                <w:sz w:val="21"/>
                <w:szCs w:val="21"/>
                <w:lang w:val="en-US" w:eastAsia="zh-CN"/>
              </w:rPr>
            </w:pPr>
            <w:r>
              <w:rPr>
                <w:rFonts w:hint="eastAsia" w:cs="Times New Roman" w:eastAsiaTheme="minorEastAsia"/>
                <w:sz w:val="21"/>
                <w:szCs w:val="21"/>
                <w:lang w:val="en-US" w:eastAsia="zh-CN"/>
              </w:rPr>
              <w:t>曲沃县住建局</w:t>
            </w:r>
          </w:p>
        </w:tc>
        <w:tc>
          <w:tcPr>
            <w:tcW w:w="15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eastAsia" w:cs="Times New Roman" w:eastAsiaTheme="minorEastAsia"/>
                <w:sz w:val="21"/>
                <w:szCs w:val="21"/>
                <w:lang w:val="en-US" w:eastAsia="zh-CN"/>
              </w:rPr>
            </w:pPr>
            <w:r>
              <w:rPr>
                <w:rFonts w:hint="eastAsia" w:cs="Times New Roman" w:eastAsiaTheme="minorEastAsia"/>
                <w:sz w:val="21"/>
                <w:szCs w:val="21"/>
                <w:lang w:val="en-US" w:eastAsia="zh-CN"/>
              </w:rPr>
              <w:t>同意区划方案</w:t>
            </w:r>
          </w:p>
        </w:tc>
        <w:tc>
          <w:tcPr>
            <w:tcW w:w="169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eastAsia" w:cs="Times New Roman" w:eastAsiaTheme="minorEastAsia"/>
                <w:sz w:val="21"/>
                <w:szCs w:val="21"/>
                <w:lang w:val="en-US" w:eastAsia="zh-CN"/>
              </w:rPr>
            </w:pPr>
            <w:r>
              <w:rPr>
                <w:rFonts w:hint="eastAsia" w:cs="Times New Roman" w:eastAsiaTheme="minorEastAsia"/>
                <w:sz w:val="21"/>
                <w:szCs w:val="21"/>
                <w:lang w:val="en-US" w:eastAsia="zh-CN"/>
              </w:rPr>
              <w:t>是</w:t>
            </w:r>
          </w:p>
        </w:tc>
        <w:tc>
          <w:tcPr>
            <w:tcW w:w="2048"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eastAsia" w:cs="Times New Roman" w:eastAsiaTheme="minorEastAsia"/>
                <w:sz w:val="21"/>
                <w:szCs w:val="21"/>
                <w:lang w:val="en-US" w:eastAsia="zh-CN"/>
              </w:rPr>
            </w:pPr>
            <w:r>
              <w:rPr>
                <w:rFonts w:hint="eastAsia" w:cs="Times New Roman" w:eastAsiaTheme="minorEastAsia"/>
                <w:sz w:val="21"/>
                <w:szCs w:val="21"/>
                <w:lang w:val="en-US" w:eastAsia="zh-CN"/>
              </w:rPr>
              <w:t>同意本次区划方案</w:t>
            </w:r>
          </w:p>
        </w:tc>
      </w:tr>
    </w:tbl>
    <w:p>
      <w:pPr>
        <w:ind w:firstLine="560"/>
        <w:rPr>
          <w:rFonts w:hint="eastAsia" w:ascii="宋体" w:hAnsi="宋体" w:eastAsia="宋体" w:cs="宋体"/>
          <w:sz w:val="24"/>
          <w:szCs w:val="24"/>
        </w:rPr>
      </w:pPr>
      <w:r>
        <w:rPr>
          <w:rFonts w:hint="eastAsia" w:ascii="宋体" w:hAnsi="宋体" w:eastAsia="宋体" w:cs="宋体"/>
          <w:sz w:val="24"/>
          <w:szCs w:val="24"/>
          <w:highlight w:val="none"/>
        </w:rPr>
        <w:t>单元格融合情况详</w:t>
      </w:r>
      <w:r>
        <w:rPr>
          <w:rFonts w:hint="eastAsia" w:ascii="宋体" w:hAnsi="宋体" w:eastAsia="宋体" w:cs="宋体"/>
          <w:sz w:val="24"/>
          <w:szCs w:val="24"/>
        </w:rPr>
        <w:t>见</w:t>
      </w:r>
      <w:r>
        <w:rPr>
          <w:rFonts w:hint="eastAsia" w:ascii="宋体" w:hAnsi="宋体" w:eastAsia="宋体" w:cs="宋体"/>
          <w:sz w:val="24"/>
          <w:szCs w:val="24"/>
          <w:lang w:val="en-US" w:eastAsia="zh-CN"/>
        </w:rPr>
        <w:t>下</w:t>
      </w:r>
      <w:r>
        <w:rPr>
          <w:rFonts w:hint="eastAsia" w:ascii="宋体" w:hAnsi="宋体" w:eastAsia="宋体" w:cs="宋体"/>
          <w:sz w:val="24"/>
          <w:szCs w:val="24"/>
        </w:rPr>
        <w:t>图。</w:t>
      </w: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r>
        <w:rPr>
          <w:rFonts w:hint="eastAsia" w:ascii="宋体" w:hAnsi="宋体" w:eastAsia="宋体" w:cs="宋体"/>
          <w:sz w:val="24"/>
          <w:szCs w:val="24"/>
          <w:lang w:eastAsia="zh-CN"/>
        </w:rPr>
        <w:drawing>
          <wp:anchor distT="0" distB="0" distL="114300" distR="114300" simplePos="0" relativeHeight="251995136" behindDoc="1" locked="0" layoutInCell="1" allowOverlap="1">
            <wp:simplePos x="0" y="0"/>
            <wp:positionH relativeFrom="column">
              <wp:posOffset>-445770</wp:posOffset>
            </wp:positionH>
            <wp:positionV relativeFrom="paragraph">
              <wp:posOffset>-66040</wp:posOffset>
            </wp:positionV>
            <wp:extent cx="6297295" cy="8506460"/>
            <wp:effectExtent l="0" t="0" r="8255" b="8890"/>
            <wp:wrapNone/>
            <wp:docPr id="20" name="图片 20" descr="附图9曲沃县城市区域声环境功能区单元融合图"/>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图片 20" descr="附图9曲沃县城市区域声环境功能区单元融合图"/>
                    <pic:cNvPicPr>
                      <a:picLocks noChangeAspect="true"/>
                    </pic:cNvPicPr>
                  </pic:nvPicPr>
                  <pic:blipFill>
                    <a:blip r:embed="rId55"/>
                    <a:srcRect t="1916" b="2555"/>
                    <a:stretch>
                      <a:fillRect/>
                    </a:stretch>
                  </pic:blipFill>
                  <pic:spPr>
                    <a:xfrm>
                      <a:off x="0" y="0"/>
                      <a:ext cx="6297295" cy="8506460"/>
                    </a:xfrm>
                    <a:prstGeom prst="rect">
                      <a:avLst/>
                    </a:prstGeom>
                  </pic:spPr>
                </pic:pic>
              </a:graphicData>
            </a:graphic>
          </wp:anchor>
        </w:drawing>
      </w:r>
    </w:p>
    <w:p>
      <w:pPr>
        <w:ind w:firstLine="560"/>
        <w:rPr>
          <w:rFonts w:hint="eastAsia" w:ascii="宋体" w:hAnsi="宋体" w:eastAsia="宋体" w:cs="宋体"/>
          <w:sz w:val="24"/>
          <w:szCs w:val="24"/>
        </w:rPr>
      </w:pPr>
    </w:p>
    <w:p>
      <w:pPr>
        <w:ind w:firstLine="560"/>
        <w:rPr>
          <w:rFonts w:hint="eastAsia" w:ascii="宋体" w:hAnsi="宋体" w:eastAsia="宋体" w:cs="宋体"/>
          <w:sz w:val="24"/>
          <w:szCs w:val="24"/>
          <w:lang w:eastAsia="zh-CN"/>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rPr>
          <w:rFonts w:hint="eastAsia" w:ascii="宋体" w:hAnsi="宋体" w:eastAsia="宋体" w:cs="宋体"/>
          <w:sz w:val="24"/>
          <w:szCs w:val="24"/>
        </w:rPr>
      </w:pPr>
    </w:p>
    <w:p>
      <w:pPr>
        <w:ind w:firstLine="560"/>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图5-4  曲沃县城市区域声环境功能区单元融合图</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eastAsia" w:cs="Times New Roman" w:eastAsiaTheme="minorEastAsia"/>
          <w:color w:val="auto"/>
          <w:sz w:val="30"/>
          <w:szCs w:val="30"/>
          <w:highlight w:val="none"/>
          <w:lang w:val="en-US" w:eastAsia="zh-CN"/>
        </w:rPr>
      </w:pPr>
      <w:bookmarkStart w:id="26" w:name="_Toc24432"/>
      <w:r>
        <w:rPr>
          <w:rFonts w:hint="eastAsia" w:cs="Times New Roman" w:eastAsiaTheme="minorEastAsia"/>
          <w:color w:val="auto"/>
          <w:sz w:val="30"/>
          <w:szCs w:val="30"/>
          <w:highlight w:val="none"/>
          <w:lang w:val="en-US" w:eastAsia="zh-CN"/>
        </w:rPr>
        <w:t>5.6城市主要交通干道划分</w:t>
      </w:r>
      <w:bookmarkEnd w:id="26"/>
    </w:p>
    <w:p>
      <w:pPr>
        <w:spacing w:beforeLines="0" w:afterLines="0"/>
        <w:jc w:val="left"/>
        <w:rPr>
          <w:rFonts w:hint="eastAsia" w:ascii="宋体" w:hAnsi="宋体" w:eastAsia="宋体" w:cs="宋体"/>
          <w:sz w:val="24"/>
          <w:szCs w:val="24"/>
        </w:rPr>
      </w:pPr>
      <w:r>
        <w:rPr>
          <w:rFonts w:hint="eastAsia" w:ascii="宋体" w:hAnsi="宋体" w:eastAsia="宋体" w:cs="宋体"/>
          <w:sz w:val="24"/>
          <w:szCs w:val="24"/>
        </w:rPr>
        <w:t>根据</w:t>
      </w:r>
      <w:r>
        <w:rPr>
          <w:rFonts w:hint="eastAsia" w:ascii="宋体" w:hAnsi="宋体" w:eastAsia="宋体" w:cs="宋体"/>
          <w:sz w:val="24"/>
          <w:szCs w:val="24"/>
          <w:lang w:val="en-US" w:eastAsia="zh-CN"/>
        </w:rPr>
        <w:t>曲沃</w:t>
      </w:r>
      <w:r>
        <w:rPr>
          <w:rFonts w:hint="eastAsia" w:ascii="宋体" w:hAnsi="宋体" w:eastAsia="宋体" w:cs="宋体"/>
          <w:sz w:val="24"/>
          <w:szCs w:val="24"/>
        </w:rPr>
        <w:t>县城市区域现状主要交通干线，划定本次区划中的4a类声环境功能区域。</w:t>
      </w:r>
      <w:r>
        <w:rPr>
          <w:rFonts w:hint="eastAsia" w:ascii="宋体" w:hAnsi="宋体" w:eastAsia="宋体" w:cs="宋体"/>
          <w:sz w:val="24"/>
          <w:szCs w:val="24"/>
          <w:lang w:val="en-US" w:eastAsia="zh-CN"/>
        </w:rPr>
        <w:t>曲沃</w:t>
      </w:r>
      <w:r>
        <w:rPr>
          <w:rFonts w:hint="eastAsia" w:ascii="宋体" w:hAnsi="宋体" w:eastAsia="宋体" w:cs="宋体"/>
          <w:sz w:val="24"/>
          <w:szCs w:val="24"/>
        </w:rPr>
        <w:t>县城市主要交通干道情况见表5-</w:t>
      </w:r>
      <w:r>
        <w:rPr>
          <w:rFonts w:hint="eastAsia" w:ascii="宋体" w:hAnsi="宋体" w:eastAsia="宋体" w:cs="宋体"/>
          <w:sz w:val="24"/>
          <w:szCs w:val="24"/>
          <w:lang w:val="en-US" w:eastAsia="zh-CN"/>
        </w:rPr>
        <w:t>9</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表5-</w:t>
      </w:r>
      <w:r>
        <w:rPr>
          <w:rFonts w:hint="eastAsia" w:cs="Times New Roman" w:eastAsiaTheme="minorEastAsia"/>
          <w:b/>
          <w:bCs/>
          <w:color w:val="auto"/>
          <w:sz w:val="21"/>
          <w:szCs w:val="21"/>
          <w:lang w:val="en-US" w:eastAsia="zh-CN"/>
        </w:rPr>
        <w:t>9</w:t>
      </w:r>
      <w:r>
        <w:rPr>
          <w:rFonts w:hint="eastAsia" w:ascii="Times New Roman" w:hAnsi="Times New Roman" w:cs="Times New Roman" w:eastAsiaTheme="minorEastAsia"/>
          <w:b/>
          <w:bCs/>
          <w:color w:val="auto"/>
          <w:sz w:val="21"/>
          <w:szCs w:val="21"/>
          <w:lang w:val="en-US" w:eastAsia="zh-CN"/>
        </w:rPr>
        <w:t xml:space="preserve">  曲沃县交通干线信息表</w:t>
      </w:r>
    </w:p>
    <w:tbl>
      <w:tblPr>
        <w:tblStyle w:val="24"/>
        <w:tblW w:w="852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84"/>
        <w:gridCol w:w="1620"/>
        <w:gridCol w:w="2183"/>
        <w:gridCol w:w="2023"/>
        <w:gridCol w:w="171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9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序号</w:t>
            </w:r>
          </w:p>
        </w:tc>
        <w:tc>
          <w:tcPr>
            <w:tcW w:w="162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eastAsia" w:cs="Times New Roman" w:eastAsiaTheme="minorEastAsia"/>
                <w:sz w:val="21"/>
                <w:szCs w:val="21"/>
                <w:lang w:val="en-US" w:eastAsia="zh-CN"/>
              </w:rPr>
              <w:t>道路名称</w:t>
            </w:r>
          </w:p>
        </w:tc>
        <w:tc>
          <w:tcPr>
            <w:tcW w:w="218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eastAsia" w:ascii="Times New Roman" w:hAnsi="Times New Roman" w:cs="Times New Roman" w:eastAsiaTheme="minorEastAsia"/>
                <w:sz w:val="21"/>
                <w:szCs w:val="21"/>
                <w:lang w:eastAsia="zh-CN"/>
              </w:rPr>
            </w:pPr>
            <w:r>
              <w:rPr>
                <w:rFonts w:hint="eastAsia" w:ascii="Times New Roman" w:hAnsi="Times New Roman" w:cs="Times New Roman" w:eastAsiaTheme="minorEastAsia"/>
                <w:sz w:val="21"/>
                <w:szCs w:val="21"/>
                <w:lang w:eastAsia="zh-CN"/>
              </w:rPr>
              <w:t>路段</w:t>
            </w:r>
            <w:r>
              <w:rPr>
                <w:rFonts w:hint="default" w:ascii="Times New Roman" w:hAnsi="Times New Roman" w:cs="Times New Roman" w:eastAsiaTheme="minorEastAsia"/>
                <w:sz w:val="21"/>
                <w:szCs w:val="21"/>
              </w:rPr>
              <w:t>长度(m)</w:t>
            </w:r>
          </w:p>
        </w:tc>
        <w:tc>
          <w:tcPr>
            <w:tcW w:w="202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default" w:cs="Times New Roman" w:eastAsiaTheme="minorEastAsia"/>
                <w:sz w:val="21"/>
                <w:szCs w:val="21"/>
                <w:lang w:val="en-US" w:eastAsia="zh-CN"/>
              </w:rPr>
              <w:t>路段宽度(m)</w:t>
            </w:r>
          </w:p>
        </w:tc>
        <w:tc>
          <w:tcPr>
            <w:tcW w:w="1715"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default" w:cs="Times New Roman" w:eastAsiaTheme="minorEastAsia"/>
                <w:sz w:val="21"/>
                <w:szCs w:val="21"/>
                <w:lang w:val="en-US" w:eastAsia="zh-CN"/>
              </w:rPr>
              <w:t>道路类型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ascii="Times New Roman" w:hAnsi="Times New Roman" w:cs="Times New Roman" w:eastAsiaTheme="minorEastAsia"/>
                <w:sz w:val="21"/>
                <w:szCs w:val="21"/>
                <w:highlight w:val="none"/>
              </w:rPr>
            </w:pPr>
            <w:r>
              <w:rPr>
                <w:rFonts w:hint="default" w:ascii="Times New Roman" w:hAnsi="Times New Roman" w:cs="Times New Roman" w:eastAsiaTheme="minorEastAsia"/>
                <w:sz w:val="21"/>
                <w:szCs w:val="21"/>
                <w:highlight w:val="none"/>
              </w:rPr>
              <w:t>1</w:t>
            </w:r>
          </w:p>
        </w:tc>
        <w:tc>
          <w:tcPr>
            <w:tcW w:w="162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eastAsia" w:cs="Times New Roman" w:eastAsiaTheme="minorEastAsia"/>
                <w:sz w:val="21"/>
                <w:szCs w:val="21"/>
                <w:lang w:val="en-US" w:eastAsia="zh-CN"/>
              </w:rPr>
              <w:t>新华北路</w:t>
            </w:r>
          </w:p>
        </w:tc>
        <w:tc>
          <w:tcPr>
            <w:tcW w:w="218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eastAsia" w:cs="Times New Roman" w:eastAsiaTheme="minorEastAsia"/>
                <w:sz w:val="21"/>
                <w:szCs w:val="21"/>
                <w:lang w:val="en-US" w:eastAsia="zh-CN"/>
              </w:rPr>
              <w:t>2420</w:t>
            </w:r>
          </w:p>
        </w:tc>
        <w:tc>
          <w:tcPr>
            <w:tcW w:w="202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eastAsia" w:cs="Times New Roman" w:eastAsiaTheme="minorEastAsia"/>
                <w:sz w:val="21"/>
                <w:szCs w:val="21"/>
                <w:lang w:val="en-US" w:eastAsia="zh-CN"/>
              </w:rPr>
              <w:t>60</w:t>
            </w:r>
          </w:p>
        </w:tc>
        <w:tc>
          <w:tcPr>
            <w:tcW w:w="1715"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eastAsia" w:cs="Times New Roman" w:eastAsiaTheme="minorEastAsia"/>
                <w:sz w:val="21"/>
                <w:szCs w:val="21"/>
                <w:lang w:val="en-US" w:eastAsia="zh-CN"/>
              </w:rPr>
              <w:t>国道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eastAsia"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2</w:t>
            </w:r>
          </w:p>
        </w:tc>
        <w:tc>
          <w:tcPr>
            <w:tcW w:w="162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eastAsia" w:cs="Times New Roman" w:eastAsiaTheme="minorEastAsia"/>
                <w:sz w:val="21"/>
                <w:szCs w:val="21"/>
                <w:lang w:val="en-US" w:eastAsia="zh-CN"/>
              </w:rPr>
              <w:t>新华南路</w:t>
            </w:r>
          </w:p>
        </w:tc>
        <w:tc>
          <w:tcPr>
            <w:tcW w:w="218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eastAsia" w:cs="Times New Roman" w:eastAsiaTheme="minorEastAsia"/>
                <w:sz w:val="21"/>
                <w:szCs w:val="21"/>
                <w:lang w:val="en-US" w:eastAsia="zh-CN"/>
              </w:rPr>
              <w:t>1040</w:t>
            </w:r>
          </w:p>
        </w:tc>
        <w:tc>
          <w:tcPr>
            <w:tcW w:w="202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eastAsia" w:cs="Times New Roman" w:eastAsiaTheme="minorEastAsia"/>
                <w:sz w:val="21"/>
                <w:szCs w:val="21"/>
                <w:lang w:val="en-US" w:eastAsia="zh-CN"/>
              </w:rPr>
              <w:t>60</w:t>
            </w:r>
          </w:p>
        </w:tc>
        <w:tc>
          <w:tcPr>
            <w:tcW w:w="1715"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eastAsia" w:cs="Times New Roman" w:eastAsiaTheme="minorEastAsia"/>
                <w:sz w:val="21"/>
                <w:szCs w:val="21"/>
                <w:lang w:val="en-US" w:eastAsia="zh-CN"/>
              </w:rPr>
              <w:t>国道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eastAsia"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3</w:t>
            </w:r>
          </w:p>
        </w:tc>
        <w:tc>
          <w:tcPr>
            <w:tcW w:w="162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eastAsia" w:cs="Times New Roman" w:eastAsiaTheme="minorEastAsia"/>
                <w:sz w:val="21"/>
                <w:szCs w:val="21"/>
                <w:lang w:val="en-US" w:eastAsia="zh-CN"/>
              </w:rPr>
              <w:t>太和南路</w:t>
            </w:r>
          </w:p>
        </w:tc>
        <w:tc>
          <w:tcPr>
            <w:tcW w:w="218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eastAsia" w:cs="Times New Roman" w:eastAsiaTheme="minorEastAsia"/>
                <w:sz w:val="21"/>
                <w:szCs w:val="21"/>
                <w:lang w:val="en-US" w:eastAsia="zh-CN"/>
              </w:rPr>
              <w:t>600</w:t>
            </w:r>
          </w:p>
        </w:tc>
        <w:tc>
          <w:tcPr>
            <w:tcW w:w="202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default" w:cs="Times New Roman" w:eastAsiaTheme="minorEastAsia"/>
                <w:sz w:val="21"/>
                <w:szCs w:val="21"/>
                <w:lang w:val="en-US" w:eastAsia="zh-CN"/>
              </w:rPr>
              <w:t>35</w:t>
            </w:r>
          </w:p>
        </w:tc>
        <w:tc>
          <w:tcPr>
            <w:tcW w:w="1715"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eastAsia" w:cs="Times New Roman" w:eastAsiaTheme="minorEastAsia"/>
                <w:sz w:val="21"/>
                <w:szCs w:val="21"/>
                <w:lang w:val="en-US" w:eastAsia="zh-CN"/>
              </w:rPr>
              <w:t>支路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eastAsia"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4</w:t>
            </w:r>
          </w:p>
        </w:tc>
        <w:tc>
          <w:tcPr>
            <w:tcW w:w="162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eastAsia" w:cs="Times New Roman" w:eastAsiaTheme="minorEastAsia"/>
                <w:sz w:val="21"/>
                <w:szCs w:val="21"/>
                <w:lang w:val="en-US" w:eastAsia="zh-CN"/>
              </w:rPr>
              <w:t>太和南路</w:t>
            </w:r>
          </w:p>
        </w:tc>
        <w:tc>
          <w:tcPr>
            <w:tcW w:w="218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eastAsia" w:cs="Times New Roman" w:eastAsiaTheme="minorEastAsia"/>
                <w:sz w:val="21"/>
                <w:szCs w:val="21"/>
                <w:lang w:val="en-US" w:eastAsia="zh-CN"/>
              </w:rPr>
              <w:t>426</w:t>
            </w:r>
          </w:p>
        </w:tc>
        <w:tc>
          <w:tcPr>
            <w:tcW w:w="202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default" w:cs="Times New Roman" w:eastAsiaTheme="minorEastAsia"/>
                <w:sz w:val="21"/>
                <w:szCs w:val="21"/>
                <w:lang w:val="en-US" w:eastAsia="zh-CN"/>
              </w:rPr>
              <w:t>60</w:t>
            </w:r>
          </w:p>
        </w:tc>
        <w:tc>
          <w:tcPr>
            <w:tcW w:w="1715"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eastAsia" w:cs="Times New Roman" w:eastAsiaTheme="minorEastAsia"/>
                <w:sz w:val="21"/>
                <w:szCs w:val="21"/>
                <w:lang w:val="en-US" w:eastAsia="zh-CN"/>
              </w:rPr>
              <w:t>支路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eastAsia"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5</w:t>
            </w:r>
          </w:p>
        </w:tc>
        <w:tc>
          <w:tcPr>
            <w:tcW w:w="162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eastAsia" w:cs="Times New Roman" w:eastAsiaTheme="minorEastAsia"/>
                <w:sz w:val="21"/>
                <w:szCs w:val="21"/>
                <w:lang w:val="en-US" w:eastAsia="zh-CN"/>
              </w:rPr>
              <w:t>晋都北路</w:t>
            </w:r>
          </w:p>
        </w:tc>
        <w:tc>
          <w:tcPr>
            <w:tcW w:w="218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eastAsia" w:cs="Times New Roman" w:eastAsiaTheme="minorEastAsia"/>
                <w:sz w:val="21"/>
                <w:szCs w:val="21"/>
                <w:lang w:val="en-US" w:eastAsia="zh-CN"/>
              </w:rPr>
              <w:t>1686</w:t>
            </w:r>
          </w:p>
        </w:tc>
        <w:tc>
          <w:tcPr>
            <w:tcW w:w="202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default" w:cs="Times New Roman" w:eastAsiaTheme="minorEastAsia"/>
                <w:sz w:val="21"/>
                <w:szCs w:val="21"/>
                <w:lang w:val="en-US" w:eastAsia="zh-CN"/>
              </w:rPr>
            </w:pPr>
            <w:r>
              <w:rPr>
                <w:rFonts w:hint="eastAsia" w:cs="Times New Roman" w:eastAsiaTheme="minorEastAsia"/>
                <w:sz w:val="21"/>
                <w:szCs w:val="21"/>
                <w:lang w:val="en-US" w:eastAsia="zh-CN"/>
              </w:rPr>
              <w:t>30</w:t>
            </w:r>
          </w:p>
        </w:tc>
        <w:tc>
          <w:tcPr>
            <w:tcW w:w="1715"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城市次干道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eastAsia"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6</w:t>
            </w:r>
          </w:p>
        </w:tc>
        <w:tc>
          <w:tcPr>
            <w:tcW w:w="162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晋都南路</w:t>
            </w:r>
          </w:p>
        </w:tc>
        <w:tc>
          <w:tcPr>
            <w:tcW w:w="218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1010</w:t>
            </w:r>
          </w:p>
        </w:tc>
        <w:tc>
          <w:tcPr>
            <w:tcW w:w="202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40</w:t>
            </w:r>
          </w:p>
        </w:tc>
        <w:tc>
          <w:tcPr>
            <w:tcW w:w="1715"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城市次干道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eastAsia"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7</w:t>
            </w:r>
          </w:p>
        </w:tc>
        <w:tc>
          <w:tcPr>
            <w:tcW w:w="162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ascii="Times New Roman" w:hAnsi="Times New Roman" w:cs="Times New Roman" w:eastAsiaTheme="minorEastAsia"/>
                <w:sz w:val="21"/>
                <w:szCs w:val="21"/>
                <w:highlight w:val="none"/>
                <w:lang w:val="en-US" w:eastAsia="zh-CN"/>
              </w:rPr>
              <w:t>浍河南路</w:t>
            </w:r>
          </w:p>
        </w:tc>
        <w:tc>
          <w:tcPr>
            <w:tcW w:w="218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cs="Times New Roman" w:eastAsiaTheme="minorEastAsia"/>
                <w:sz w:val="21"/>
                <w:szCs w:val="21"/>
                <w:highlight w:val="none"/>
                <w:lang w:val="en-US" w:eastAsia="zh-CN"/>
              </w:rPr>
              <w:t>1</w:t>
            </w:r>
            <w:r>
              <w:rPr>
                <w:rFonts w:hint="eastAsia" w:ascii="Times New Roman" w:hAnsi="Times New Roman" w:cs="Times New Roman" w:eastAsiaTheme="minorEastAsia"/>
                <w:sz w:val="21"/>
                <w:szCs w:val="21"/>
                <w:highlight w:val="none"/>
                <w:lang w:val="en-US" w:eastAsia="zh-CN"/>
              </w:rPr>
              <w:t>610</w:t>
            </w:r>
          </w:p>
        </w:tc>
        <w:tc>
          <w:tcPr>
            <w:tcW w:w="202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30</w:t>
            </w:r>
          </w:p>
        </w:tc>
        <w:tc>
          <w:tcPr>
            <w:tcW w:w="1715"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城市次干道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eastAsia"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8</w:t>
            </w:r>
          </w:p>
        </w:tc>
        <w:tc>
          <w:tcPr>
            <w:tcW w:w="162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ascii="Times New Roman" w:hAnsi="Times New Roman" w:cs="Times New Roman" w:eastAsiaTheme="minorEastAsia"/>
                <w:sz w:val="21"/>
                <w:szCs w:val="21"/>
                <w:highlight w:val="none"/>
                <w:lang w:val="en-US" w:eastAsia="zh-CN"/>
              </w:rPr>
              <w:t>绛山路</w:t>
            </w:r>
          </w:p>
        </w:tc>
        <w:tc>
          <w:tcPr>
            <w:tcW w:w="218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cs="Times New Roman" w:eastAsiaTheme="minorEastAsia"/>
                <w:sz w:val="21"/>
                <w:szCs w:val="21"/>
                <w:highlight w:val="none"/>
                <w:lang w:val="en-US" w:eastAsia="zh-CN"/>
              </w:rPr>
              <w:t>2204</w:t>
            </w:r>
          </w:p>
        </w:tc>
        <w:tc>
          <w:tcPr>
            <w:tcW w:w="202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15</w:t>
            </w:r>
          </w:p>
        </w:tc>
        <w:tc>
          <w:tcPr>
            <w:tcW w:w="1715"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right="0"/>
              <w:textAlignment w:val="auto"/>
              <w:rPr>
                <w:rFonts w:hint="eastAsia"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9</w:t>
            </w:r>
          </w:p>
        </w:tc>
        <w:tc>
          <w:tcPr>
            <w:tcW w:w="162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ascii="Times New Roman" w:hAnsi="Times New Roman" w:cs="Times New Roman" w:eastAsiaTheme="minorEastAsia"/>
                <w:sz w:val="21"/>
                <w:szCs w:val="21"/>
                <w:highlight w:val="none"/>
                <w:lang w:val="en-US" w:eastAsia="zh-CN"/>
              </w:rPr>
              <w:t>吉祥路</w:t>
            </w:r>
          </w:p>
        </w:tc>
        <w:tc>
          <w:tcPr>
            <w:tcW w:w="218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cs="Times New Roman" w:eastAsiaTheme="minorEastAsia"/>
                <w:sz w:val="21"/>
                <w:szCs w:val="21"/>
                <w:highlight w:val="none"/>
                <w:lang w:val="en-US" w:eastAsia="zh-CN"/>
              </w:rPr>
              <w:t>2470</w:t>
            </w:r>
          </w:p>
        </w:tc>
        <w:tc>
          <w:tcPr>
            <w:tcW w:w="202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80</w:t>
            </w:r>
          </w:p>
        </w:tc>
        <w:tc>
          <w:tcPr>
            <w:tcW w:w="1715"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10</w:t>
            </w:r>
          </w:p>
        </w:tc>
        <w:tc>
          <w:tcPr>
            <w:tcW w:w="162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ascii="Times New Roman" w:hAnsi="Times New Roman" w:cs="Times New Roman" w:eastAsiaTheme="minorEastAsia"/>
                <w:sz w:val="21"/>
                <w:szCs w:val="21"/>
                <w:highlight w:val="none"/>
                <w:lang w:val="en-US" w:eastAsia="zh-CN"/>
              </w:rPr>
              <w:t>如意路</w:t>
            </w:r>
          </w:p>
        </w:tc>
        <w:tc>
          <w:tcPr>
            <w:tcW w:w="218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cs="Times New Roman" w:eastAsiaTheme="minorEastAsia"/>
                <w:sz w:val="21"/>
                <w:szCs w:val="21"/>
                <w:highlight w:val="none"/>
                <w:lang w:val="en-US" w:eastAsia="zh-CN"/>
              </w:rPr>
              <w:t>940</w:t>
            </w:r>
          </w:p>
        </w:tc>
        <w:tc>
          <w:tcPr>
            <w:tcW w:w="202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60</w:t>
            </w:r>
          </w:p>
        </w:tc>
        <w:tc>
          <w:tcPr>
            <w:tcW w:w="1715"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11</w:t>
            </w:r>
          </w:p>
        </w:tc>
        <w:tc>
          <w:tcPr>
            <w:tcW w:w="162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ascii="Times New Roman" w:hAnsi="Times New Roman" w:cs="Times New Roman" w:eastAsiaTheme="minorEastAsia"/>
                <w:sz w:val="21"/>
                <w:szCs w:val="21"/>
                <w:highlight w:val="none"/>
                <w:lang w:val="en-US" w:eastAsia="zh-CN"/>
              </w:rPr>
              <w:t>曲绛线</w:t>
            </w:r>
          </w:p>
        </w:tc>
        <w:tc>
          <w:tcPr>
            <w:tcW w:w="218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cs="Times New Roman" w:eastAsiaTheme="minorEastAsia"/>
                <w:sz w:val="21"/>
                <w:szCs w:val="21"/>
                <w:highlight w:val="none"/>
                <w:lang w:val="en-US" w:eastAsia="zh-CN"/>
              </w:rPr>
              <w:t>2520</w:t>
            </w:r>
          </w:p>
        </w:tc>
        <w:tc>
          <w:tcPr>
            <w:tcW w:w="202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15</w:t>
            </w:r>
          </w:p>
        </w:tc>
        <w:tc>
          <w:tcPr>
            <w:tcW w:w="1715"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省道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12</w:t>
            </w:r>
          </w:p>
        </w:tc>
        <w:tc>
          <w:tcPr>
            <w:tcW w:w="162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ascii="Times New Roman" w:hAnsi="Times New Roman" w:cs="Times New Roman" w:eastAsiaTheme="minorEastAsia"/>
                <w:sz w:val="21"/>
                <w:szCs w:val="21"/>
                <w:highlight w:val="none"/>
                <w:lang w:val="en-US" w:eastAsia="zh-CN"/>
              </w:rPr>
              <w:t>坪曲</w:t>
            </w:r>
            <w:r>
              <w:rPr>
                <w:rFonts w:hint="eastAsia" w:cs="Times New Roman" w:eastAsiaTheme="minorEastAsia"/>
                <w:sz w:val="21"/>
                <w:szCs w:val="21"/>
                <w:highlight w:val="none"/>
                <w:lang w:val="en-US" w:eastAsia="zh-CN"/>
              </w:rPr>
              <w:t>线</w:t>
            </w:r>
          </w:p>
        </w:tc>
        <w:tc>
          <w:tcPr>
            <w:tcW w:w="218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ascii="Times New Roman" w:hAnsi="Times New Roman" w:cs="Times New Roman" w:eastAsiaTheme="minorEastAsia"/>
                <w:sz w:val="21"/>
                <w:szCs w:val="21"/>
                <w:highlight w:val="none"/>
                <w:lang w:val="en-US" w:eastAsia="zh-CN"/>
              </w:rPr>
              <w:t>2240</w:t>
            </w:r>
          </w:p>
        </w:tc>
        <w:tc>
          <w:tcPr>
            <w:tcW w:w="202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15</w:t>
            </w:r>
          </w:p>
        </w:tc>
        <w:tc>
          <w:tcPr>
            <w:tcW w:w="1715"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省道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13</w:t>
            </w:r>
          </w:p>
        </w:tc>
        <w:tc>
          <w:tcPr>
            <w:tcW w:w="162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ascii="Times New Roman" w:hAnsi="Times New Roman" w:cs="Times New Roman" w:eastAsiaTheme="minorEastAsia"/>
                <w:sz w:val="21"/>
                <w:szCs w:val="21"/>
                <w:highlight w:val="none"/>
                <w:lang w:val="en-US" w:eastAsia="zh-CN"/>
              </w:rPr>
              <w:t>文公大街</w:t>
            </w:r>
          </w:p>
        </w:tc>
        <w:tc>
          <w:tcPr>
            <w:tcW w:w="218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cs="Times New Roman" w:eastAsiaTheme="minorEastAsia"/>
                <w:sz w:val="21"/>
                <w:szCs w:val="21"/>
                <w:highlight w:val="none"/>
                <w:lang w:val="en-US" w:eastAsia="zh-CN"/>
              </w:rPr>
              <w:t>2630</w:t>
            </w:r>
          </w:p>
        </w:tc>
        <w:tc>
          <w:tcPr>
            <w:tcW w:w="202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30</w:t>
            </w:r>
          </w:p>
        </w:tc>
        <w:tc>
          <w:tcPr>
            <w:tcW w:w="1715"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城市次干道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14</w:t>
            </w:r>
          </w:p>
        </w:tc>
        <w:tc>
          <w:tcPr>
            <w:tcW w:w="162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ascii="Times New Roman" w:hAnsi="Times New Roman" w:cs="Times New Roman" w:eastAsiaTheme="minorEastAsia"/>
                <w:sz w:val="21"/>
                <w:szCs w:val="21"/>
                <w:highlight w:val="none"/>
                <w:lang w:val="en-US" w:eastAsia="zh-CN"/>
              </w:rPr>
              <w:t>府西街</w:t>
            </w:r>
          </w:p>
        </w:tc>
        <w:tc>
          <w:tcPr>
            <w:tcW w:w="218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ascii="Times New Roman" w:hAnsi="Times New Roman" w:cs="Times New Roman" w:eastAsiaTheme="minorEastAsia"/>
                <w:sz w:val="21"/>
                <w:szCs w:val="21"/>
                <w:highlight w:val="none"/>
                <w:lang w:val="en-US" w:eastAsia="zh-CN"/>
              </w:rPr>
              <w:t>8</w:t>
            </w:r>
            <w:r>
              <w:rPr>
                <w:rFonts w:hint="eastAsia" w:cs="Times New Roman" w:eastAsiaTheme="minorEastAsia"/>
                <w:sz w:val="21"/>
                <w:szCs w:val="21"/>
                <w:highlight w:val="none"/>
                <w:lang w:val="en-US" w:eastAsia="zh-CN"/>
              </w:rPr>
              <w:t>7</w:t>
            </w:r>
            <w:r>
              <w:rPr>
                <w:rFonts w:hint="eastAsia" w:ascii="Times New Roman" w:hAnsi="Times New Roman" w:cs="Times New Roman" w:eastAsiaTheme="minorEastAsia"/>
                <w:sz w:val="21"/>
                <w:szCs w:val="21"/>
                <w:highlight w:val="none"/>
                <w:lang w:val="en-US" w:eastAsia="zh-CN"/>
              </w:rPr>
              <w:t>0</w:t>
            </w:r>
          </w:p>
        </w:tc>
        <w:tc>
          <w:tcPr>
            <w:tcW w:w="202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60</w:t>
            </w:r>
          </w:p>
        </w:tc>
        <w:tc>
          <w:tcPr>
            <w:tcW w:w="1715"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84"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15</w:t>
            </w:r>
          </w:p>
        </w:tc>
        <w:tc>
          <w:tcPr>
            <w:tcW w:w="1620"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ascii="Times New Roman" w:hAnsi="Times New Roman" w:cs="Times New Roman" w:eastAsiaTheme="minorEastAsia"/>
                <w:sz w:val="21"/>
                <w:szCs w:val="21"/>
                <w:highlight w:val="none"/>
                <w:lang w:val="en-US" w:eastAsia="zh-CN"/>
              </w:rPr>
              <w:t>府东街</w:t>
            </w:r>
          </w:p>
        </w:tc>
        <w:tc>
          <w:tcPr>
            <w:tcW w:w="218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cs="Times New Roman" w:eastAsiaTheme="minorEastAsia"/>
                <w:sz w:val="21"/>
                <w:szCs w:val="21"/>
                <w:highlight w:val="none"/>
                <w:lang w:val="en-US" w:eastAsia="zh-CN"/>
              </w:rPr>
              <w:t>2320</w:t>
            </w:r>
          </w:p>
        </w:tc>
        <w:tc>
          <w:tcPr>
            <w:tcW w:w="2023"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60</w:t>
            </w:r>
          </w:p>
        </w:tc>
        <w:tc>
          <w:tcPr>
            <w:tcW w:w="1715" w:type="dxa"/>
            <w:tcBorders>
              <w:tl2br w:val="nil"/>
              <w:tr2bl w:val="nil"/>
            </w:tcBorders>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城市主干道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84" w:type="dxa"/>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16</w:t>
            </w:r>
          </w:p>
        </w:tc>
        <w:tc>
          <w:tcPr>
            <w:tcW w:w="1620" w:type="dxa"/>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ascii="Times New Roman" w:hAnsi="Times New Roman" w:cs="Times New Roman" w:eastAsiaTheme="minorEastAsia"/>
                <w:sz w:val="21"/>
                <w:szCs w:val="21"/>
                <w:highlight w:val="none"/>
                <w:lang w:val="en-US" w:eastAsia="zh-CN"/>
              </w:rPr>
              <w:t>项院西街</w:t>
            </w:r>
          </w:p>
        </w:tc>
        <w:tc>
          <w:tcPr>
            <w:tcW w:w="2183" w:type="dxa"/>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cs="Times New Roman" w:eastAsiaTheme="minorEastAsia"/>
                <w:sz w:val="21"/>
                <w:szCs w:val="21"/>
                <w:highlight w:val="none"/>
                <w:lang w:val="en-US" w:eastAsia="zh-CN"/>
              </w:rPr>
              <w:t>2840</w:t>
            </w:r>
          </w:p>
        </w:tc>
        <w:tc>
          <w:tcPr>
            <w:tcW w:w="2023" w:type="dxa"/>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30</w:t>
            </w:r>
          </w:p>
        </w:tc>
        <w:tc>
          <w:tcPr>
            <w:tcW w:w="1715" w:type="dxa"/>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城市次干道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84" w:type="dxa"/>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17</w:t>
            </w:r>
          </w:p>
        </w:tc>
        <w:tc>
          <w:tcPr>
            <w:tcW w:w="1620" w:type="dxa"/>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ascii="Times New Roman" w:hAnsi="Times New Roman" w:cs="Times New Roman" w:eastAsiaTheme="minorEastAsia"/>
                <w:sz w:val="21"/>
                <w:szCs w:val="21"/>
                <w:highlight w:val="none"/>
                <w:lang w:val="en-US" w:eastAsia="zh-CN"/>
              </w:rPr>
              <w:t>项院东街</w:t>
            </w:r>
          </w:p>
        </w:tc>
        <w:tc>
          <w:tcPr>
            <w:tcW w:w="2183" w:type="dxa"/>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ascii="Times New Roman" w:hAnsi="Times New Roman" w:cs="Times New Roman" w:eastAsiaTheme="minorEastAsia"/>
                <w:sz w:val="21"/>
                <w:szCs w:val="21"/>
                <w:highlight w:val="none"/>
                <w:lang w:val="en-US" w:eastAsia="zh-CN"/>
              </w:rPr>
              <w:t>870</w:t>
            </w:r>
          </w:p>
        </w:tc>
        <w:tc>
          <w:tcPr>
            <w:tcW w:w="2023" w:type="dxa"/>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30</w:t>
            </w:r>
          </w:p>
        </w:tc>
        <w:tc>
          <w:tcPr>
            <w:tcW w:w="1715" w:type="dxa"/>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城市次干道</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84" w:type="dxa"/>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sz w:val="21"/>
                <w:szCs w:val="21"/>
                <w:highlight w:val="none"/>
                <w:lang w:val="en-US" w:eastAsia="zh-CN"/>
              </w:rPr>
            </w:pPr>
            <w:r>
              <w:rPr>
                <w:rFonts w:hint="eastAsia" w:cs="Times New Roman" w:eastAsiaTheme="minorEastAsia"/>
                <w:sz w:val="21"/>
                <w:szCs w:val="21"/>
                <w:highlight w:val="none"/>
                <w:lang w:val="en-US" w:eastAsia="zh-CN"/>
              </w:rPr>
              <w:t>18</w:t>
            </w:r>
          </w:p>
        </w:tc>
        <w:tc>
          <w:tcPr>
            <w:tcW w:w="1620" w:type="dxa"/>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yellow"/>
                <w:lang w:val="en-US" w:eastAsia="zh-CN" w:bidi="ar-SA"/>
              </w:rPr>
            </w:pPr>
            <w:r>
              <w:rPr>
                <w:rFonts w:hint="eastAsia" w:ascii="Times New Roman" w:hAnsi="Times New Roman" w:cs="Times New Roman" w:eastAsiaTheme="minorEastAsia"/>
                <w:sz w:val="21"/>
                <w:szCs w:val="21"/>
                <w:highlight w:val="none"/>
                <w:lang w:val="en-US" w:eastAsia="zh-CN"/>
              </w:rPr>
              <w:t>沸泉街</w:t>
            </w:r>
          </w:p>
        </w:tc>
        <w:tc>
          <w:tcPr>
            <w:tcW w:w="2183" w:type="dxa"/>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none"/>
                <w:lang w:val="en-US" w:eastAsia="zh-CN" w:bidi="ar-SA"/>
              </w:rPr>
            </w:pPr>
            <w:r>
              <w:rPr>
                <w:rFonts w:hint="eastAsia" w:ascii="Times New Roman" w:hAnsi="Times New Roman" w:cs="Times New Roman" w:eastAsiaTheme="minorEastAsia"/>
                <w:sz w:val="21"/>
                <w:szCs w:val="21"/>
                <w:highlight w:val="none"/>
                <w:lang w:val="en-US" w:eastAsia="zh-CN"/>
              </w:rPr>
              <w:t>400</w:t>
            </w:r>
          </w:p>
        </w:tc>
        <w:tc>
          <w:tcPr>
            <w:tcW w:w="2023" w:type="dxa"/>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lang w:val="en-US" w:eastAsia="zh-CN" w:bidi="ar-SA"/>
              </w:rPr>
            </w:pPr>
            <w:r>
              <w:rPr>
                <w:rFonts w:hint="eastAsia" w:cs="Times New Roman" w:eastAsiaTheme="minorEastAsia"/>
                <w:sz w:val="21"/>
                <w:szCs w:val="21"/>
                <w:lang w:val="en-US" w:eastAsia="zh-CN"/>
              </w:rPr>
              <w:t>60</w:t>
            </w:r>
          </w:p>
        </w:tc>
        <w:tc>
          <w:tcPr>
            <w:tcW w:w="1715" w:type="dxa"/>
            <w:vAlign w:val="center"/>
          </w:tcPr>
          <w:p>
            <w:pPr>
              <w:pStyle w:val="4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340" w:lineRule="exact"/>
              <w:ind w:left="0" w:leftChars="0" w:right="0" w:rightChars="0" w:firstLine="0" w:firstLineChars="0"/>
              <w:textAlignment w:val="auto"/>
              <w:rPr>
                <w:rFonts w:hint="default" w:ascii="Times New Roman" w:hAnsi="Times New Roman" w:cs="Times New Roman" w:eastAsiaTheme="minorEastAsia"/>
                <w:kern w:val="0"/>
                <w:sz w:val="21"/>
                <w:szCs w:val="21"/>
                <w:highlight w:val="yellow"/>
                <w:lang w:val="en-US" w:eastAsia="zh-CN" w:bidi="ar-SA"/>
              </w:rPr>
            </w:pPr>
            <w:r>
              <w:rPr>
                <w:rFonts w:hint="eastAsia" w:cs="Times New Roman" w:eastAsiaTheme="minorEastAsia"/>
                <w:sz w:val="21"/>
                <w:szCs w:val="21"/>
                <w:lang w:val="en-US" w:eastAsia="zh-CN"/>
              </w:rPr>
              <w:t>城市次干道</w:t>
            </w:r>
          </w:p>
        </w:tc>
      </w:tr>
    </w:tbl>
    <w:p>
      <w:pPr>
        <w:spacing w:beforeLines="0" w:afterLines="0"/>
        <w:jc w:val="left"/>
        <w:rPr>
          <w:rFonts w:hint="eastAsia" w:ascii="宋体" w:hAnsi="宋体" w:eastAsia="宋体" w:cs="宋体"/>
          <w:sz w:val="24"/>
          <w:szCs w:val="24"/>
        </w:rPr>
      </w:pPr>
      <w:r>
        <w:rPr>
          <w:rFonts w:hint="eastAsia" w:ascii="宋体" w:hAnsi="宋体" w:eastAsia="宋体" w:cs="宋体"/>
          <w:sz w:val="24"/>
          <w:szCs w:val="24"/>
        </w:rPr>
        <w:t>4类声环境功能区域是城市道路中交通干线两侧一定距离内区域和穿越城区的铁路用地两侧一定距离内区域（本次划分包括道路两侧范围，道路两侧为4a类区域</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曲沃</w:t>
      </w:r>
      <w:r>
        <w:rPr>
          <w:rFonts w:hint="eastAsia" w:ascii="宋体" w:hAnsi="宋体" w:eastAsia="宋体" w:cs="宋体"/>
          <w:sz w:val="24"/>
          <w:szCs w:val="24"/>
        </w:rPr>
        <w:t>县城市</w:t>
      </w:r>
      <w:r>
        <w:rPr>
          <w:rFonts w:hint="eastAsia" w:ascii="宋体" w:hAnsi="宋体" w:eastAsia="宋体" w:cs="宋体"/>
          <w:sz w:val="24"/>
          <w:szCs w:val="24"/>
          <w:lang w:val="en-US" w:eastAsia="zh-CN"/>
        </w:rPr>
        <w:t>区域内不涉及铁路干线</w:t>
      </w:r>
      <w:r>
        <w:rPr>
          <w:rFonts w:hint="eastAsia" w:ascii="宋体" w:hAnsi="宋体" w:eastAsia="宋体" w:cs="宋体"/>
          <w:sz w:val="24"/>
          <w:szCs w:val="24"/>
        </w:rPr>
        <w:t>）。</w:t>
      </w:r>
    </w:p>
    <w:p>
      <w:pPr>
        <w:spacing w:beforeLines="0" w:afterLines="0"/>
        <w:jc w:val="left"/>
        <w:rPr>
          <w:rFonts w:hint="eastAsia" w:ascii="宋体" w:hAnsi="宋体" w:eastAsia="宋体" w:cs="宋体"/>
          <w:sz w:val="24"/>
          <w:szCs w:val="24"/>
        </w:rPr>
      </w:pPr>
      <w:r>
        <w:rPr>
          <w:rFonts w:hint="eastAsia" w:ascii="宋体" w:hAnsi="宋体" w:eastAsia="宋体" w:cs="宋体"/>
          <w:sz w:val="24"/>
          <w:szCs w:val="24"/>
        </w:rPr>
        <w:t>将道路红线（轨道交通用地范围、内河航道的河堤护栏或堤外坡脚）外一定距离内的区域划为4a类声环境功能区域。距离的确定方法如下：</w:t>
      </w:r>
    </w:p>
    <w:p>
      <w:pPr>
        <w:spacing w:beforeLines="0" w:afterLines="0"/>
        <w:jc w:val="left"/>
        <w:rPr>
          <w:rFonts w:hint="eastAsia" w:ascii="宋体" w:hAnsi="宋体" w:eastAsia="宋体" w:cs="宋体"/>
          <w:sz w:val="24"/>
          <w:szCs w:val="24"/>
        </w:rPr>
      </w:pPr>
      <w:r>
        <w:rPr>
          <w:rFonts w:hint="eastAsia" w:ascii="宋体" w:hAnsi="宋体" w:eastAsia="宋体" w:cs="宋体"/>
          <w:sz w:val="24"/>
          <w:szCs w:val="24"/>
        </w:rPr>
        <w:t>相邻区域为1类标准适用区域，距离为50m；</w:t>
      </w:r>
    </w:p>
    <w:p>
      <w:pPr>
        <w:spacing w:beforeLines="0" w:afterLines="0"/>
        <w:jc w:val="left"/>
        <w:rPr>
          <w:rFonts w:hint="eastAsia" w:ascii="宋体" w:hAnsi="宋体" w:eastAsia="宋体" w:cs="宋体"/>
          <w:sz w:val="24"/>
          <w:szCs w:val="24"/>
        </w:rPr>
      </w:pPr>
      <w:r>
        <w:rPr>
          <w:rFonts w:hint="eastAsia" w:ascii="宋体" w:hAnsi="宋体" w:eastAsia="宋体" w:cs="宋体"/>
          <w:sz w:val="24"/>
          <w:szCs w:val="24"/>
        </w:rPr>
        <w:t>相邻区域为2类标准适用区域，距离为35m；</w:t>
      </w:r>
    </w:p>
    <w:p>
      <w:pPr>
        <w:spacing w:beforeLines="0" w:afterLines="0"/>
        <w:jc w:val="left"/>
        <w:rPr>
          <w:rFonts w:hint="eastAsia" w:ascii="宋体" w:hAnsi="宋体" w:eastAsia="宋体" w:cs="宋体"/>
          <w:sz w:val="24"/>
          <w:szCs w:val="24"/>
        </w:rPr>
      </w:pPr>
      <w:r>
        <w:rPr>
          <w:rFonts w:hint="eastAsia" w:ascii="宋体" w:hAnsi="宋体" w:eastAsia="宋体" w:cs="宋体"/>
          <w:sz w:val="24"/>
          <w:szCs w:val="24"/>
        </w:rPr>
        <w:t>相邻区域为3类标准适用区域，距离为20m。</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eastAsia" w:cs="Times New Roman" w:eastAsiaTheme="minorEastAsia"/>
          <w:color w:val="auto"/>
          <w:sz w:val="30"/>
          <w:szCs w:val="30"/>
          <w:highlight w:val="none"/>
          <w:lang w:val="en-US" w:eastAsia="zh-CN"/>
        </w:rPr>
      </w:pPr>
      <w:bookmarkStart w:id="27" w:name="_Toc7527"/>
      <w:r>
        <w:rPr>
          <w:rFonts w:hint="eastAsia" w:cs="Times New Roman" w:eastAsiaTheme="minorEastAsia"/>
          <w:color w:val="auto"/>
          <w:sz w:val="30"/>
          <w:szCs w:val="30"/>
          <w:highlight w:val="none"/>
          <w:lang w:val="en-US" w:eastAsia="zh-CN"/>
        </w:rPr>
        <w:t>5.7声环境功能区划分结果</w:t>
      </w:r>
      <w:bookmarkEnd w:id="27"/>
    </w:p>
    <w:p>
      <w:pPr>
        <w:keepNext w:val="0"/>
        <w:keepLines w:val="0"/>
        <w:pageBreakBefore w:val="0"/>
        <w:widowControl w:val="0"/>
        <w:kinsoku/>
        <w:wordWrap/>
        <w:overflowPunct/>
        <w:topLinePunct w:val="0"/>
        <w:autoSpaceDE/>
        <w:autoSpaceDN/>
        <w:bidi w:val="0"/>
        <w:adjustRightInd/>
        <w:snapToGrid/>
        <w:spacing w:beforeLines="0" w:afterLine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根据</w:t>
      </w:r>
      <w:r>
        <w:rPr>
          <w:rFonts w:hint="eastAsia" w:ascii="宋体" w:hAnsi="宋体" w:eastAsia="宋体" w:cs="宋体"/>
          <w:sz w:val="24"/>
          <w:szCs w:val="24"/>
          <w:lang w:eastAsia="zh-CN"/>
        </w:rPr>
        <w:t>曲沃县</w:t>
      </w:r>
      <w:r>
        <w:rPr>
          <w:rFonts w:hint="eastAsia" w:ascii="宋体" w:hAnsi="宋体" w:eastAsia="宋体" w:cs="宋体"/>
          <w:sz w:val="24"/>
          <w:szCs w:val="24"/>
        </w:rPr>
        <w:t>现状布局和总体规划以及城市发展的需求，环境噪声适用区划以保护生活环境和生态环境，保障人民群众身体健康及动植物正常生存、生长为宗旨。按照国家《城市区域环境噪声适用区划分技术规范（GB/T15190-2014）的原则和方法进行划分。</w:t>
      </w:r>
    </w:p>
    <w:p>
      <w:pPr>
        <w:spacing w:beforeLines="0" w:afterLines="0"/>
        <w:jc w:val="left"/>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rPr>
        <w:t>本次</w:t>
      </w:r>
      <w:r>
        <w:rPr>
          <w:rFonts w:hint="eastAsia" w:ascii="宋体" w:hAnsi="宋体" w:eastAsia="宋体" w:cs="宋体"/>
          <w:sz w:val="24"/>
          <w:szCs w:val="24"/>
          <w:lang w:eastAsia="zh-CN"/>
        </w:rPr>
        <w:t>曲沃县</w:t>
      </w:r>
      <w:r>
        <w:rPr>
          <w:rFonts w:hint="eastAsia" w:ascii="宋体" w:hAnsi="宋体" w:eastAsia="宋体" w:cs="宋体"/>
          <w:sz w:val="24"/>
          <w:szCs w:val="24"/>
        </w:rPr>
        <w:t>声环境功能区划首先对</w:t>
      </w:r>
      <w:r>
        <w:rPr>
          <w:rFonts w:hint="eastAsia" w:ascii="宋体" w:hAnsi="宋体" w:eastAsia="宋体" w:cs="宋体"/>
          <w:sz w:val="24"/>
          <w:szCs w:val="24"/>
          <w:lang w:eastAsia="zh-CN"/>
        </w:rPr>
        <w:t>曲沃县</w:t>
      </w:r>
      <w:r>
        <w:rPr>
          <w:rFonts w:hint="eastAsia" w:ascii="宋体" w:hAnsi="宋体" w:eastAsia="宋体" w:cs="宋体"/>
          <w:sz w:val="24"/>
          <w:szCs w:val="24"/>
        </w:rPr>
        <w:t>城市区域根据目前用地类型进行功能区划分；在此基础上，结合</w:t>
      </w:r>
      <w:r>
        <w:rPr>
          <w:rFonts w:hint="eastAsia" w:ascii="宋体" w:hAnsi="宋体" w:eastAsia="宋体" w:cs="宋体"/>
          <w:sz w:val="24"/>
          <w:szCs w:val="24"/>
          <w:lang w:eastAsia="zh-CN"/>
        </w:rPr>
        <w:t>曲沃县</w:t>
      </w:r>
      <w:r>
        <w:rPr>
          <w:rFonts w:hint="eastAsia" w:ascii="宋体" w:hAnsi="宋体" w:eastAsia="宋体" w:cs="宋体"/>
          <w:sz w:val="24"/>
          <w:szCs w:val="24"/>
        </w:rPr>
        <w:t>城市总体规划以及现状监测结果，对城市区域划定的功能区类型进行调整、融合，最终形成对</w:t>
      </w:r>
      <w:r>
        <w:rPr>
          <w:rFonts w:hint="eastAsia" w:ascii="宋体" w:hAnsi="宋体" w:eastAsia="宋体" w:cs="宋体"/>
          <w:sz w:val="24"/>
          <w:szCs w:val="24"/>
          <w:lang w:eastAsia="zh-CN"/>
        </w:rPr>
        <w:t>曲沃县</w:t>
      </w:r>
      <w:r>
        <w:rPr>
          <w:rFonts w:hint="eastAsia" w:ascii="宋体" w:hAnsi="宋体" w:eastAsia="宋体" w:cs="宋体"/>
          <w:sz w:val="24"/>
          <w:szCs w:val="24"/>
        </w:rPr>
        <w:t>规划区范围的总体声环境功能区划分结果。</w:t>
      </w:r>
      <w:r>
        <w:rPr>
          <w:rFonts w:hint="eastAsia" w:ascii="宋体" w:hAnsi="宋体" w:eastAsia="宋体" w:cs="宋体"/>
          <w:sz w:val="24"/>
          <w:szCs w:val="24"/>
          <w:lang w:eastAsia="zh-CN"/>
        </w:rPr>
        <w:t>曲沃县</w:t>
      </w:r>
      <w:r>
        <w:rPr>
          <w:rFonts w:hint="eastAsia" w:ascii="宋体" w:hAnsi="宋体" w:eastAsia="宋体" w:cs="宋体"/>
          <w:sz w:val="24"/>
          <w:szCs w:val="24"/>
        </w:rPr>
        <w:t>城市区域声环境功能区划分共计面积</w:t>
      </w:r>
      <w:r>
        <w:rPr>
          <w:rFonts w:hint="eastAsia" w:ascii="宋体" w:hAnsi="宋体" w:eastAsia="宋体" w:cs="宋体"/>
          <w:sz w:val="24"/>
          <w:szCs w:val="24"/>
          <w:lang w:val="en-US" w:eastAsia="zh-CN"/>
        </w:rPr>
        <w:t>15.18</w:t>
      </w:r>
      <w:r>
        <w:rPr>
          <w:rFonts w:hint="eastAsia" w:ascii="宋体" w:hAnsi="宋体" w:eastAsia="宋体" w:cs="宋体"/>
          <w:sz w:val="24"/>
          <w:szCs w:val="24"/>
        </w:rPr>
        <w:t>km</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rPr>
        <w:t>。</w:t>
      </w:r>
      <w:r>
        <w:rPr>
          <w:rFonts w:hint="eastAsia" w:ascii="宋体" w:hAnsi="宋体" w:eastAsia="宋体" w:cs="宋体"/>
          <w:sz w:val="24"/>
          <w:szCs w:val="24"/>
          <w:lang w:eastAsia="zh-CN"/>
        </w:rPr>
        <w:t>曲沃县</w:t>
      </w:r>
      <w:r>
        <w:rPr>
          <w:rFonts w:hint="eastAsia" w:ascii="宋体" w:hAnsi="宋体" w:eastAsia="宋体" w:cs="宋体"/>
          <w:sz w:val="24"/>
          <w:szCs w:val="24"/>
        </w:rPr>
        <w:t>城市区域声环境功能区各类别范围详</w:t>
      </w:r>
      <w:r>
        <w:rPr>
          <w:rFonts w:hint="eastAsia" w:ascii="宋体" w:hAnsi="宋体" w:eastAsia="宋体" w:cs="宋体"/>
          <w:color w:val="auto"/>
          <w:sz w:val="24"/>
          <w:szCs w:val="24"/>
        </w:rPr>
        <w:t>见表5-</w:t>
      </w:r>
      <w:r>
        <w:rPr>
          <w:rFonts w:hint="eastAsia" w:ascii="宋体" w:hAnsi="宋体" w:eastAsia="宋体" w:cs="宋体"/>
          <w:sz w:val="24"/>
          <w:szCs w:val="24"/>
          <w:lang w:val="en-US" w:eastAsia="zh-CN"/>
        </w:rPr>
        <w:t>10</w:t>
      </w:r>
      <w:r>
        <w:rPr>
          <w:rFonts w:hint="eastAsia" w:ascii="宋体" w:hAnsi="宋体" w:eastAsia="宋体" w:cs="宋体"/>
          <w:sz w:val="24"/>
          <w:szCs w:val="24"/>
        </w:rPr>
        <w:t>、图</w:t>
      </w:r>
      <w:r>
        <w:rPr>
          <w:rFonts w:hint="eastAsia" w:ascii="宋体" w:hAnsi="宋体" w:eastAsia="宋体" w:cs="宋体"/>
          <w:sz w:val="24"/>
          <w:szCs w:val="24"/>
          <w:lang w:val="en-US" w:eastAsia="zh-CN"/>
        </w:rPr>
        <w:t>5-5</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 xml:space="preserve">表 </w:t>
      </w:r>
      <w:r>
        <w:rPr>
          <w:rFonts w:hint="default" w:ascii="Times New Roman" w:hAnsi="Times New Roman" w:cs="Times New Roman" w:eastAsiaTheme="minorEastAsia"/>
          <w:b/>
          <w:bCs/>
          <w:color w:val="auto"/>
          <w:sz w:val="21"/>
          <w:szCs w:val="21"/>
          <w:lang w:val="en-US" w:eastAsia="zh-CN"/>
        </w:rPr>
        <w:t>5-</w:t>
      </w:r>
      <w:r>
        <w:rPr>
          <w:rFonts w:hint="eastAsia" w:cs="Times New Roman" w:eastAsiaTheme="minorEastAsia"/>
          <w:b/>
          <w:bCs/>
          <w:color w:val="auto"/>
          <w:sz w:val="21"/>
          <w:szCs w:val="21"/>
          <w:lang w:val="en-US" w:eastAsia="zh-CN"/>
        </w:rPr>
        <w:t>10</w:t>
      </w:r>
      <w:r>
        <w:rPr>
          <w:rFonts w:hint="eastAsia" w:ascii="Times New Roman" w:hAnsi="Times New Roman" w:cs="Times New Roman" w:eastAsiaTheme="minorEastAsia"/>
          <w:b/>
          <w:bCs/>
          <w:color w:val="auto"/>
          <w:sz w:val="21"/>
          <w:szCs w:val="21"/>
          <w:lang w:val="en-US" w:eastAsia="zh-CN"/>
        </w:rPr>
        <w:t xml:space="preserve">   </w:t>
      </w:r>
      <w:r>
        <w:rPr>
          <w:rFonts w:hint="default" w:ascii="Times New Roman" w:hAnsi="Times New Roman" w:cs="Times New Roman" w:eastAsiaTheme="minorEastAsia"/>
          <w:b/>
          <w:bCs/>
          <w:color w:val="auto"/>
          <w:sz w:val="21"/>
          <w:szCs w:val="21"/>
          <w:lang w:val="en-US" w:eastAsia="zh-CN"/>
        </w:rPr>
        <w:t xml:space="preserve"> </w:t>
      </w:r>
      <w:r>
        <w:rPr>
          <w:rFonts w:hint="eastAsia" w:ascii="Times New Roman" w:hAnsi="Times New Roman" w:cs="Times New Roman" w:eastAsiaTheme="minorEastAsia"/>
          <w:b/>
          <w:bCs/>
          <w:color w:val="auto"/>
          <w:sz w:val="21"/>
          <w:szCs w:val="21"/>
          <w:lang w:val="en-US" w:eastAsia="zh-CN"/>
        </w:rPr>
        <w:t>声环境功能区划分结果</w:t>
      </w:r>
    </w:p>
    <w:tbl>
      <w:tblPr>
        <w:tblStyle w:val="25"/>
        <w:tblW w:w="852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4"/>
        <w:gridCol w:w="825"/>
        <w:gridCol w:w="2400"/>
        <w:gridCol w:w="1020"/>
        <w:gridCol w:w="328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9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rPr>
              <w:t>功能区类别</w:t>
            </w:r>
          </w:p>
        </w:tc>
        <w:tc>
          <w:tcPr>
            <w:tcW w:w="8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区域</w:t>
            </w:r>
          </w:p>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rPr>
              <w:t>编号</w:t>
            </w:r>
          </w:p>
        </w:tc>
        <w:tc>
          <w:tcPr>
            <w:tcW w:w="24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包含单元</w:t>
            </w:r>
          </w:p>
        </w:tc>
        <w:tc>
          <w:tcPr>
            <w:tcW w:w="102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面积</w:t>
            </w:r>
          </w:p>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Km</w:t>
            </w:r>
            <w:r>
              <w:rPr>
                <w:rFonts w:hint="eastAsia" w:ascii="宋体" w:hAnsi="宋体" w:eastAsia="宋体" w:cs="宋体"/>
                <w:sz w:val="21"/>
                <w:szCs w:val="21"/>
                <w:vertAlign w:val="superscript"/>
                <w:lang w:val="en-US" w:eastAsia="zh-CN"/>
              </w:rPr>
              <w:t>2</w:t>
            </w:r>
          </w:p>
        </w:tc>
        <w:tc>
          <w:tcPr>
            <w:tcW w:w="328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地理边界位置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94" w:type="dxa"/>
            <w:tcBorders>
              <w:tl2br w:val="nil"/>
              <w:tr2bl w:val="nil"/>
            </w:tcBorders>
            <w:vAlign w:val="center"/>
          </w:tcPr>
          <w:p>
            <w:pPr>
              <w:keepNext w:val="0"/>
              <w:keepLines w:val="0"/>
              <w:suppressLineNumbers w:val="0"/>
              <w:spacing w:before="0" w:beforeLines="0" w:beforeAutospacing="0" w:after="0" w:afterLines="0" w:afterAutospacing="0"/>
              <w:ind w:left="0" w:leftChars="0" w:right="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1类区</w:t>
            </w:r>
          </w:p>
        </w:tc>
        <w:tc>
          <w:tcPr>
            <w:tcW w:w="825" w:type="dxa"/>
            <w:tcBorders>
              <w:tl2br w:val="nil"/>
              <w:tr2bl w:val="nil"/>
            </w:tcBorders>
            <w:vAlign w:val="center"/>
          </w:tcPr>
          <w:p>
            <w:pPr>
              <w:keepNext w:val="0"/>
              <w:keepLines w:val="0"/>
              <w:suppressLineNumbers w:val="0"/>
              <w:spacing w:before="0" w:beforeLines="0" w:beforeAutospacing="0" w:after="0" w:afterLines="0" w:afterAutospacing="0"/>
              <w:ind w:left="0" w:leftChars="0" w:right="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1-Ⅰ</w:t>
            </w:r>
          </w:p>
        </w:tc>
        <w:tc>
          <w:tcPr>
            <w:tcW w:w="2400"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default" w:ascii="宋体" w:hAnsi="宋体" w:eastAsia="宋体" w:cs="宋体"/>
                <w:sz w:val="21"/>
                <w:szCs w:val="21"/>
                <w:lang w:val="en-US" w:eastAsia="zh-CN"/>
              </w:rPr>
            </w:pPr>
            <w:r>
              <w:rPr>
                <w:rFonts w:hint="eastAsia" w:ascii="宋体" w:hAnsi="宋体" w:eastAsia="宋体" w:cs="宋体"/>
                <w:sz w:val="24"/>
                <w:szCs w:val="24"/>
                <w:highlight w:val="none"/>
                <w:lang w:val="en-US" w:eastAsia="zh-CN"/>
              </w:rPr>
              <w:t>1-4、</w:t>
            </w:r>
            <w:r>
              <w:rPr>
                <w:rFonts w:hint="eastAsia" w:ascii="宋体" w:hAnsi="宋体" w:cs="宋体"/>
                <w:sz w:val="24"/>
                <w:szCs w:val="24"/>
                <w:highlight w:val="none"/>
                <w:lang w:val="en-US" w:eastAsia="zh-CN"/>
              </w:rPr>
              <w:t>5-7、9、10-26、28-36、39-40、42-51、53-65、67-73、75</w:t>
            </w:r>
          </w:p>
        </w:tc>
        <w:tc>
          <w:tcPr>
            <w:tcW w:w="1020"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default" w:ascii="宋体" w:hAnsi="宋体" w:eastAsia="宋体" w:cs="宋体"/>
                <w:sz w:val="21"/>
                <w:szCs w:val="21"/>
                <w:lang w:val="en-US" w:eastAsia="zh-CN"/>
              </w:rPr>
            </w:pPr>
            <w:r>
              <w:rPr>
                <w:rFonts w:hint="eastAsia" w:ascii="宋体" w:hAnsi="宋体" w:cs="宋体"/>
                <w:sz w:val="24"/>
                <w:szCs w:val="24"/>
                <w:lang w:val="en-US" w:eastAsia="zh-CN"/>
              </w:rPr>
              <w:t>12.56</w:t>
            </w:r>
          </w:p>
        </w:tc>
        <w:tc>
          <w:tcPr>
            <w:tcW w:w="3289"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eastAsia" w:ascii="宋体" w:hAnsi="宋体" w:eastAsia="宋体" w:cs="宋体"/>
                <w:sz w:val="21"/>
                <w:szCs w:val="21"/>
                <w:lang w:val="en-US" w:eastAsia="zh-CN"/>
              </w:rPr>
            </w:pPr>
            <w:r>
              <w:rPr>
                <w:rFonts w:hint="default"/>
                <w:sz w:val="21"/>
                <w:szCs w:val="21"/>
                <w:highlight w:val="none"/>
              </w:rPr>
              <w:t>北至</w:t>
            </w:r>
            <w:r>
              <w:rPr>
                <w:rFonts w:hint="eastAsia"/>
                <w:sz w:val="21"/>
                <w:szCs w:val="21"/>
                <w:highlight w:val="none"/>
                <w:lang w:val="en-US" w:eastAsia="zh-CN"/>
              </w:rPr>
              <w:t>规划一街</w:t>
            </w:r>
            <w:r>
              <w:rPr>
                <w:rFonts w:hint="eastAsia"/>
                <w:sz w:val="21"/>
                <w:szCs w:val="21"/>
                <w:highlight w:val="none"/>
              </w:rPr>
              <w:t>，</w:t>
            </w:r>
            <w:r>
              <w:rPr>
                <w:rFonts w:hint="default"/>
                <w:sz w:val="21"/>
                <w:szCs w:val="21"/>
                <w:highlight w:val="none"/>
              </w:rPr>
              <w:t>东至</w:t>
            </w:r>
            <w:r>
              <w:rPr>
                <w:rFonts w:hint="eastAsia"/>
                <w:sz w:val="21"/>
                <w:szCs w:val="21"/>
                <w:highlight w:val="none"/>
                <w:lang w:val="en-US" w:eastAsia="zh-CN"/>
              </w:rPr>
              <w:t>曲绛线</w:t>
            </w:r>
            <w:r>
              <w:rPr>
                <w:rFonts w:hint="eastAsia"/>
                <w:sz w:val="21"/>
                <w:szCs w:val="21"/>
                <w:highlight w:val="none"/>
              </w:rPr>
              <w:t>、</w:t>
            </w:r>
            <w:r>
              <w:rPr>
                <w:rFonts w:hint="default"/>
                <w:sz w:val="21"/>
                <w:szCs w:val="21"/>
                <w:highlight w:val="none"/>
              </w:rPr>
              <w:t>南</w:t>
            </w:r>
            <w:r>
              <w:rPr>
                <w:rFonts w:hint="eastAsia"/>
                <w:sz w:val="21"/>
                <w:szCs w:val="21"/>
                <w:highlight w:val="none"/>
                <w:lang w:val="en-US" w:eastAsia="zh-CN"/>
              </w:rPr>
              <w:t>至规划边界</w:t>
            </w:r>
            <w:r>
              <w:rPr>
                <w:rFonts w:hint="eastAsia"/>
                <w:sz w:val="21"/>
                <w:szCs w:val="21"/>
                <w:highlight w:val="none"/>
              </w:rPr>
              <w:t>，</w:t>
            </w:r>
            <w:r>
              <w:rPr>
                <w:rFonts w:hint="default"/>
                <w:sz w:val="21"/>
                <w:szCs w:val="21"/>
                <w:highlight w:val="none"/>
              </w:rPr>
              <w:t>西至</w:t>
            </w:r>
            <w:r>
              <w:rPr>
                <w:rFonts w:hint="eastAsia"/>
                <w:sz w:val="21"/>
                <w:szCs w:val="21"/>
                <w:highlight w:val="none"/>
                <w:lang w:val="en-US" w:eastAsia="zh-CN"/>
              </w:rPr>
              <w:t>规划边界，西南至古城遗址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94" w:type="dxa"/>
            <w:vMerge w:val="restart"/>
            <w:tcBorders>
              <w:tl2br w:val="nil"/>
              <w:tr2bl w:val="nil"/>
            </w:tcBorders>
            <w:vAlign w:val="center"/>
          </w:tcPr>
          <w:p>
            <w:pPr>
              <w:keepNext w:val="0"/>
              <w:keepLines w:val="0"/>
              <w:suppressLineNumbers w:val="0"/>
              <w:spacing w:before="0" w:beforeLines="0" w:beforeAutospacing="0" w:after="0" w:afterLines="0" w:afterAutospacing="0"/>
              <w:ind w:left="0" w:leftChars="0" w:right="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2类区</w:t>
            </w:r>
          </w:p>
        </w:tc>
        <w:tc>
          <w:tcPr>
            <w:tcW w:w="825"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eastAsia" w:ascii="宋体" w:hAnsi="宋体" w:eastAsia="宋体" w:cs="宋体"/>
                <w:sz w:val="21"/>
                <w:szCs w:val="21"/>
                <w:lang w:val="en-US" w:eastAsia="zh-CN"/>
              </w:rPr>
            </w:pPr>
            <w:r>
              <w:rPr>
                <w:rFonts w:hint="eastAsia" w:ascii="宋体" w:hAnsi="宋体" w:eastAsia="宋体" w:cs="宋体"/>
                <w:sz w:val="24"/>
                <w:szCs w:val="24"/>
                <w:lang w:val="en-US" w:eastAsia="zh-CN"/>
              </w:rPr>
              <w:t>2-1</w:t>
            </w:r>
          </w:p>
        </w:tc>
        <w:tc>
          <w:tcPr>
            <w:tcW w:w="2400"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default" w:ascii="宋体" w:hAnsi="宋体" w:cs="宋体"/>
                <w:sz w:val="24"/>
                <w:szCs w:val="24"/>
                <w:lang w:val="en-US" w:eastAsia="zh-CN"/>
              </w:rPr>
            </w:pPr>
            <w:r>
              <w:rPr>
                <w:rFonts w:hint="eastAsia" w:ascii="宋体" w:hAnsi="宋体" w:cs="宋体"/>
                <w:sz w:val="24"/>
                <w:szCs w:val="24"/>
                <w:lang w:val="en-US" w:eastAsia="zh-CN"/>
              </w:rPr>
              <w:t>27、37-38、41、52-53</w:t>
            </w:r>
          </w:p>
        </w:tc>
        <w:tc>
          <w:tcPr>
            <w:tcW w:w="1020"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default" w:ascii="宋体" w:hAnsi="宋体" w:eastAsia="宋体" w:cs="宋体"/>
                <w:sz w:val="21"/>
                <w:szCs w:val="21"/>
                <w:lang w:val="en-US" w:eastAsia="zh-CN"/>
              </w:rPr>
            </w:pPr>
            <w:r>
              <w:rPr>
                <w:rFonts w:hint="eastAsia" w:ascii="宋体" w:hAnsi="宋体" w:cs="宋体"/>
                <w:sz w:val="24"/>
                <w:szCs w:val="24"/>
                <w:lang w:val="en-US" w:eastAsia="zh-CN"/>
              </w:rPr>
              <w:t>1.36</w:t>
            </w:r>
          </w:p>
        </w:tc>
        <w:tc>
          <w:tcPr>
            <w:tcW w:w="3289"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default" w:ascii="宋体" w:hAnsi="宋体" w:eastAsia="宋体" w:cs="宋体"/>
                <w:sz w:val="21"/>
                <w:szCs w:val="21"/>
                <w:highlight w:val="none"/>
                <w:lang w:val="en-US" w:eastAsia="zh-CN"/>
              </w:rPr>
            </w:pPr>
            <w:r>
              <w:rPr>
                <w:rFonts w:hint="default"/>
                <w:sz w:val="21"/>
                <w:szCs w:val="21"/>
                <w:highlight w:val="none"/>
              </w:rPr>
              <w:t>北至</w:t>
            </w:r>
            <w:r>
              <w:rPr>
                <w:rFonts w:hint="eastAsia"/>
                <w:sz w:val="21"/>
                <w:szCs w:val="21"/>
                <w:highlight w:val="none"/>
                <w:lang w:val="en-US" w:eastAsia="zh-CN"/>
              </w:rPr>
              <w:t>新华路与晋都北路交叉口</w:t>
            </w:r>
            <w:r>
              <w:rPr>
                <w:rFonts w:hint="eastAsia"/>
                <w:sz w:val="21"/>
                <w:szCs w:val="21"/>
                <w:highlight w:val="none"/>
              </w:rPr>
              <w:t>，</w:t>
            </w:r>
            <w:r>
              <w:rPr>
                <w:rFonts w:hint="default"/>
                <w:sz w:val="21"/>
                <w:szCs w:val="21"/>
                <w:highlight w:val="none"/>
              </w:rPr>
              <w:t>东至</w:t>
            </w:r>
            <w:r>
              <w:rPr>
                <w:rFonts w:hint="eastAsia"/>
                <w:sz w:val="21"/>
                <w:szCs w:val="21"/>
                <w:highlight w:val="none"/>
                <w:lang w:val="en-US" w:eastAsia="zh-CN"/>
              </w:rPr>
              <w:t>浍滨路</w:t>
            </w:r>
            <w:r>
              <w:rPr>
                <w:rFonts w:hint="eastAsia"/>
                <w:sz w:val="21"/>
                <w:szCs w:val="21"/>
                <w:highlight w:val="none"/>
              </w:rPr>
              <w:t>、</w:t>
            </w:r>
            <w:r>
              <w:rPr>
                <w:rFonts w:hint="default"/>
                <w:sz w:val="21"/>
                <w:szCs w:val="21"/>
                <w:highlight w:val="none"/>
              </w:rPr>
              <w:t>南至</w:t>
            </w:r>
            <w:r>
              <w:rPr>
                <w:rFonts w:hint="eastAsia"/>
                <w:sz w:val="21"/>
                <w:szCs w:val="21"/>
                <w:highlight w:val="none"/>
                <w:lang w:val="en-US" w:eastAsia="zh-CN"/>
              </w:rPr>
              <w:t>贡院西街</w:t>
            </w:r>
            <w:r>
              <w:rPr>
                <w:rFonts w:hint="eastAsia"/>
                <w:sz w:val="21"/>
                <w:szCs w:val="21"/>
                <w:highlight w:val="none"/>
              </w:rPr>
              <w:t>，</w:t>
            </w:r>
            <w:r>
              <w:rPr>
                <w:rFonts w:hint="default"/>
                <w:sz w:val="21"/>
                <w:szCs w:val="21"/>
                <w:highlight w:val="none"/>
              </w:rPr>
              <w:t>西至</w:t>
            </w:r>
            <w:r>
              <w:rPr>
                <w:rFonts w:hint="eastAsia"/>
                <w:sz w:val="21"/>
                <w:szCs w:val="21"/>
                <w:highlight w:val="none"/>
                <w:lang w:val="en-US" w:eastAsia="zh-CN"/>
              </w:rPr>
              <w:t>太和路，西南至新华路与府西街交叉口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994" w:type="dxa"/>
            <w:vMerge w:val="continue"/>
            <w:tcBorders>
              <w:tl2br w:val="nil"/>
              <w:tr2bl w:val="nil"/>
            </w:tcBorders>
            <w:vAlign w:val="center"/>
          </w:tcPr>
          <w:p>
            <w:pPr>
              <w:keepNext w:val="0"/>
              <w:keepLines w:val="0"/>
              <w:suppressLineNumbers w:val="0"/>
              <w:spacing w:before="0" w:beforeLines="0" w:beforeAutospacing="0" w:after="0" w:afterLines="0" w:afterAutospacing="0"/>
              <w:ind w:left="0" w:leftChars="0" w:right="0" w:firstLine="0" w:firstLineChars="0"/>
              <w:jc w:val="center"/>
              <w:rPr>
                <w:rFonts w:hint="eastAsia" w:ascii="宋体" w:hAnsi="宋体" w:eastAsia="宋体" w:cs="宋体"/>
                <w:sz w:val="21"/>
                <w:szCs w:val="21"/>
                <w:lang w:val="en-US" w:eastAsia="zh-CN"/>
              </w:rPr>
            </w:pPr>
          </w:p>
        </w:tc>
        <w:tc>
          <w:tcPr>
            <w:tcW w:w="825"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eastAsia" w:ascii="宋体" w:hAnsi="宋体" w:eastAsia="宋体" w:cs="宋体"/>
                <w:kern w:val="2"/>
                <w:sz w:val="21"/>
                <w:szCs w:val="21"/>
                <w:lang w:val="en-US" w:eastAsia="zh-CN" w:bidi="ar-SA"/>
              </w:rPr>
            </w:pPr>
            <w:r>
              <w:rPr>
                <w:rFonts w:hint="eastAsia" w:ascii="宋体" w:hAnsi="宋体" w:eastAsia="宋体" w:cs="宋体"/>
                <w:sz w:val="24"/>
                <w:szCs w:val="24"/>
                <w:lang w:val="en-US" w:eastAsia="zh-CN"/>
              </w:rPr>
              <w:t>2-Ⅱ</w:t>
            </w:r>
          </w:p>
        </w:tc>
        <w:tc>
          <w:tcPr>
            <w:tcW w:w="2400"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default" w:ascii="宋体" w:hAnsi="宋体" w:cs="宋体"/>
                <w:sz w:val="24"/>
                <w:szCs w:val="24"/>
                <w:lang w:val="en-US" w:eastAsia="zh-CN"/>
              </w:rPr>
            </w:pPr>
            <w:r>
              <w:rPr>
                <w:rFonts w:hint="eastAsia" w:ascii="宋体" w:hAnsi="宋体" w:cs="宋体"/>
                <w:sz w:val="24"/>
                <w:szCs w:val="24"/>
                <w:lang w:val="en-US" w:eastAsia="zh-CN"/>
              </w:rPr>
              <w:t>66、76</w:t>
            </w:r>
          </w:p>
        </w:tc>
        <w:tc>
          <w:tcPr>
            <w:tcW w:w="1020"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default" w:ascii="宋体" w:hAnsi="宋体" w:eastAsia="宋体" w:cs="宋体"/>
                <w:kern w:val="0"/>
                <w:sz w:val="21"/>
                <w:szCs w:val="21"/>
                <w:lang w:val="en-US" w:eastAsia="zh-CN" w:bidi="ar-SA"/>
              </w:rPr>
            </w:pPr>
            <w:r>
              <w:rPr>
                <w:rFonts w:hint="eastAsia" w:ascii="宋体" w:hAnsi="宋体" w:cs="宋体"/>
                <w:sz w:val="24"/>
                <w:szCs w:val="24"/>
                <w:lang w:val="en-US" w:eastAsia="zh-CN"/>
              </w:rPr>
              <w:t>0.59</w:t>
            </w:r>
          </w:p>
        </w:tc>
        <w:tc>
          <w:tcPr>
            <w:tcW w:w="3289"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eastAsia" w:ascii="宋体" w:hAnsi="宋体" w:eastAsia="宋体" w:cs="宋体"/>
                <w:kern w:val="0"/>
                <w:sz w:val="21"/>
                <w:szCs w:val="21"/>
                <w:highlight w:val="none"/>
                <w:lang w:val="en-US" w:eastAsia="zh-CN" w:bidi="ar-SA"/>
              </w:rPr>
            </w:pPr>
            <w:r>
              <w:rPr>
                <w:rFonts w:hint="default"/>
                <w:sz w:val="21"/>
                <w:szCs w:val="21"/>
                <w:highlight w:val="none"/>
              </w:rPr>
              <w:t>北至</w:t>
            </w:r>
            <w:r>
              <w:rPr>
                <w:rFonts w:hint="eastAsia"/>
                <w:sz w:val="21"/>
                <w:szCs w:val="21"/>
                <w:highlight w:val="none"/>
                <w:lang w:val="en-US" w:eastAsia="zh-CN"/>
              </w:rPr>
              <w:t>规划六街</w:t>
            </w:r>
            <w:r>
              <w:rPr>
                <w:rFonts w:hint="eastAsia"/>
                <w:sz w:val="21"/>
                <w:szCs w:val="21"/>
                <w:highlight w:val="none"/>
              </w:rPr>
              <w:t>，</w:t>
            </w:r>
            <w:r>
              <w:rPr>
                <w:rFonts w:hint="default"/>
                <w:sz w:val="21"/>
                <w:szCs w:val="21"/>
                <w:highlight w:val="none"/>
              </w:rPr>
              <w:t>东至</w:t>
            </w:r>
            <w:r>
              <w:rPr>
                <w:rFonts w:hint="eastAsia"/>
                <w:sz w:val="21"/>
                <w:szCs w:val="21"/>
                <w:highlight w:val="none"/>
                <w:lang w:val="en-US" w:eastAsia="zh-CN"/>
              </w:rPr>
              <w:t>曲绛线</w:t>
            </w:r>
            <w:r>
              <w:rPr>
                <w:rFonts w:hint="eastAsia"/>
                <w:sz w:val="21"/>
                <w:szCs w:val="21"/>
                <w:highlight w:val="none"/>
              </w:rPr>
              <w:t>、</w:t>
            </w:r>
            <w:r>
              <w:rPr>
                <w:rFonts w:hint="default"/>
                <w:sz w:val="21"/>
                <w:szCs w:val="21"/>
                <w:highlight w:val="none"/>
              </w:rPr>
              <w:t>南至</w:t>
            </w:r>
            <w:r>
              <w:rPr>
                <w:rFonts w:hint="eastAsia"/>
                <w:sz w:val="21"/>
                <w:szCs w:val="21"/>
                <w:highlight w:val="none"/>
                <w:lang w:val="en-US" w:eastAsia="zh-CN"/>
              </w:rPr>
              <w:t xml:space="preserve">南环路——规划边界 </w:t>
            </w:r>
            <w:r>
              <w:rPr>
                <w:rFonts w:hint="eastAsia"/>
                <w:sz w:val="21"/>
                <w:szCs w:val="21"/>
                <w:highlight w:val="none"/>
              </w:rPr>
              <w:t>，</w:t>
            </w:r>
            <w:r>
              <w:rPr>
                <w:rFonts w:hint="default"/>
                <w:sz w:val="21"/>
                <w:szCs w:val="21"/>
                <w:highlight w:val="none"/>
              </w:rPr>
              <w:t>西至</w:t>
            </w:r>
            <w:r>
              <w:rPr>
                <w:rFonts w:hint="eastAsia"/>
                <w:sz w:val="21"/>
                <w:szCs w:val="21"/>
                <w:highlight w:val="none"/>
                <w:lang w:val="en-US" w:eastAsia="zh-CN"/>
              </w:rPr>
              <w:t>绛山路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94" w:type="dxa"/>
            <w:vMerge w:val="continue"/>
            <w:tcBorders>
              <w:tl2br w:val="nil"/>
              <w:tr2bl w:val="nil"/>
            </w:tcBorders>
            <w:vAlign w:val="center"/>
          </w:tcPr>
          <w:p>
            <w:pPr>
              <w:keepNext w:val="0"/>
              <w:keepLines w:val="0"/>
              <w:suppressLineNumbers w:val="0"/>
              <w:spacing w:before="0" w:beforeLines="0" w:beforeAutospacing="0" w:after="0" w:afterLines="0" w:afterAutospacing="0"/>
              <w:ind w:left="0" w:leftChars="0" w:right="0" w:firstLine="0" w:firstLineChars="0"/>
              <w:jc w:val="center"/>
              <w:rPr>
                <w:rFonts w:hint="eastAsia" w:ascii="宋体" w:hAnsi="宋体" w:eastAsia="宋体" w:cs="宋体"/>
                <w:sz w:val="21"/>
                <w:szCs w:val="21"/>
                <w:lang w:val="en-US" w:eastAsia="zh-CN"/>
              </w:rPr>
            </w:pPr>
          </w:p>
        </w:tc>
        <w:tc>
          <w:tcPr>
            <w:tcW w:w="825"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default" w:ascii="宋体" w:hAnsi="宋体" w:eastAsia="宋体" w:cs="宋体"/>
                <w:kern w:val="2"/>
                <w:sz w:val="21"/>
                <w:szCs w:val="21"/>
                <w:lang w:val="en-US" w:eastAsia="zh-CN" w:bidi="ar-SA"/>
              </w:rPr>
            </w:pPr>
            <w:r>
              <w:rPr>
                <w:rFonts w:hint="eastAsia" w:ascii="宋体" w:hAnsi="宋体" w:eastAsia="宋体" w:cs="宋体"/>
                <w:sz w:val="24"/>
                <w:szCs w:val="24"/>
                <w:lang w:val="en-US" w:eastAsia="zh-CN"/>
              </w:rPr>
              <w:t>2-Ⅲ</w:t>
            </w:r>
          </w:p>
        </w:tc>
        <w:tc>
          <w:tcPr>
            <w:tcW w:w="2400"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default" w:ascii="宋体" w:hAnsi="宋体" w:cs="宋体"/>
                <w:sz w:val="24"/>
                <w:szCs w:val="24"/>
                <w:lang w:val="en-US" w:eastAsia="zh-CN"/>
              </w:rPr>
            </w:pPr>
            <w:r>
              <w:rPr>
                <w:rFonts w:hint="eastAsia" w:ascii="宋体" w:hAnsi="宋体" w:cs="宋体"/>
                <w:sz w:val="24"/>
                <w:szCs w:val="24"/>
                <w:lang w:val="en-US" w:eastAsia="zh-CN"/>
              </w:rPr>
              <w:t>74</w:t>
            </w:r>
          </w:p>
        </w:tc>
        <w:tc>
          <w:tcPr>
            <w:tcW w:w="1020"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default" w:ascii="宋体" w:hAnsi="宋体" w:eastAsia="宋体" w:cs="宋体"/>
                <w:kern w:val="0"/>
                <w:sz w:val="21"/>
                <w:szCs w:val="21"/>
                <w:lang w:val="en-US" w:eastAsia="zh-CN" w:bidi="ar-SA"/>
              </w:rPr>
            </w:pPr>
            <w:r>
              <w:rPr>
                <w:rFonts w:hint="eastAsia"/>
                <w:sz w:val="21"/>
                <w:szCs w:val="21"/>
                <w:lang w:val="en-US" w:eastAsia="zh-CN"/>
              </w:rPr>
              <w:t>0.32</w:t>
            </w:r>
          </w:p>
        </w:tc>
        <w:tc>
          <w:tcPr>
            <w:tcW w:w="3289"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default" w:ascii="宋体" w:hAnsi="宋体" w:eastAsia="宋体" w:cs="宋体"/>
                <w:kern w:val="0"/>
                <w:sz w:val="21"/>
                <w:szCs w:val="21"/>
                <w:highlight w:val="none"/>
                <w:lang w:val="en-US" w:eastAsia="zh-CN" w:bidi="ar-SA"/>
              </w:rPr>
            </w:pPr>
            <w:r>
              <w:rPr>
                <w:rFonts w:hint="default"/>
                <w:sz w:val="21"/>
                <w:szCs w:val="21"/>
                <w:highlight w:val="none"/>
              </w:rPr>
              <w:t>北至</w:t>
            </w:r>
            <w:r>
              <w:rPr>
                <w:rFonts w:hint="eastAsia"/>
                <w:sz w:val="21"/>
                <w:szCs w:val="21"/>
                <w:highlight w:val="none"/>
                <w:lang w:val="en-US" w:eastAsia="zh-CN"/>
              </w:rPr>
              <w:t>南环路</w:t>
            </w:r>
            <w:r>
              <w:rPr>
                <w:rFonts w:hint="eastAsia"/>
                <w:sz w:val="21"/>
                <w:szCs w:val="21"/>
                <w:highlight w:val="none"/>
              </w:rPr>
              <w:t>，</w:t>
            </w:r>
            <w:r>
              <w:rPr>
                <w:rFonts w:hint="default"/>
                <w:sz w:val="21"/>
                <w:szCs w:val="21"/>
                <w:highlight w:val="none"/>
              </w:rPr>
              <w:t>南</w:t>
            </w:r>
            <w:r>
              <w:rPr>
                <w:rFonts w:hint="eastAsia"/>
                <w:sz w:val="21"/>
                <w:szCs w:val="21"/>
                <w:highlight w:val="none"/>
                <w:lang w:val="en-US" w:eastAsia="zh-CN"/>
              </w:rPr>
              <w:t>至规划边界，西至晋都南路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94" w:type="dxa"/>
            <w:vMerge w:val="continue"/>
            <w:tcBorders>
              <w:tl2br w:val="nil"/>
              <w:tr2bl w:val="nil"/>
            </w:tcBorders>
            <w:vAlign w:val="center"/>
          </w:tcPr>
          <w:p>
            <w:pPr>
              <w:keepNext w:val="0"/>
              <w:keepLines w:val="0"/>
              <w:suppressLineNumbers w:val="0"/>
              <w:spacing w:before="0" w:beforeLines="0" w:beforeAutospacing="0" w:after="0" w:afterLines="0" w:afterAutospacing="0"/>
              <w:ind w:left="0" w:leftChars="0" w:right="0" w:firstLine="0" w:firstLineChars="0"/>
              <w:jc w:val="center"/>
              <w:rPr>
                <w:rFonts w:hint="eastAsia" w:ascii="宋体" w:hAnsi="宋体" w:eastAsia="宋体" w:cs="宋体"/>
                <w:sz w:val="21"/>
                <w:szCs w:val="21"/>
                <w:lang w:val="en-US" w:eastAsia="zh-CN"/>
              </w:rPr>
            </w:pPr>
          </w:p>
        </w:tc>
        <w:tc>
          <w:tcPr>
            <w:tcW w:w="825"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eastAsia" w:ascii="宋体" w:hAnsi="宋体" w:eastAsia="宋体" w:cs="宋体"/>
                <w:sz w:val="21"/>
                <w:szCs w:val="21"/>
                <w:lang w:val="en-US" w:eastAsia="zh-CN"/>
              </w:rPr>
            </w:pPr>
            <w:r>
              <w:rPr>
                <w:rFonts w:hint="eastAsia" w:ascii="宋体" w:hAnsi="宋体" w:eastAsia="宋体" w:cs="宋体"/>
                <w:sz w:val="24"/>
                <w:szCs w:val="24"/>
                <w:lang w:val="en-US" w:eastAsia="zh-CN"/>
              </w:rPr>
              <w:t>2-Ⅳ</w:t>
            </w:r>
          </w:p>
        </w:tc>
        <w:tc>
          <w:tcPr>
            <w:tcW w:w="2400"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eastAsia" w:ascii="宋体" w:hAnsi="宋体" w:cs="宋体"/>
                <w:sz w:val="24"/>
                <w:szCs w:val="24"/>
                <w:lang w:val="en-US" w:eastAsia="zh-CN"/>
              </w:rPr>
            </w:pPr>
            <w:r>
              <w:rPr>
                <w:rFonts w:hint="eastAsia" w:ascii="宋体" w:hAnsi="宋体" w:cs="宋体"/>
                <w:sz w:val="24"/>
                <w:szCs w:val="24"/>
                <w:lang w:val="en-US" w:eastAsia="zh-CN"/>
              </w:rPr>
              <w:t>77</w:t>
            </w:r>
          </w:p>
        </w:tc>
        <w:tc>
          <w:tcPr>
            <w:tcW w:w="1020"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eastAsia" w:ascii="宋体" w:hAnsi="宋体" w:eastAsia="宋体" w:cs="宋体"/>
                <w:sz w:val="21"/>
                <w:szCs w:val="21"/>
                <w:lang w:val="en-US" w:eastAsia="zh-CN"/>
              </w:rPr>
            </w:pPr>
            <w:r>
              <w:rPr>
                <w:rFonts w:hint="eastAsia"/>
                <w:sz w:val="21"/>
                <w:szCs w:val="21"/>
                <w:lang w:val="en-US" w:eastAsia="zh-CN"/>
              </w:rPr>
              <w:t>0.01</w:t>
            </w:r>
          </w:p>
        </w:tc>
        <w:tc>
          <w:tcPr>
            <w:tcW w:w="3289"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eastAsia" w:ascii="宋体" w:hAnsi="宋体" w:eastAsia="宋体" w:cs="宋体"/>
                <w:sz w:val="21"/>
                <w:szCs w:val="21"/>
              </w:rPr>
            </w:pPr>
            <w:r>
              <w:rPr>
                <w:rFonts w:hint="eastAsia"/>
                <w:sz w:val="21"/>
                <w:szCs w:val="21"/>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94" w:type="dxa"/>
            <w:vMerge w:val="continue"/>
            <w:tcBorders>
              <w:tl2br w:val="nil"/>
              <w:tr2bl w:val="nil"/>
            </w:tcBorders>
            <w:vAlign w:val="center"/>
          </w:tcPr>
          <w:p>
            <w:pPr>
              <w:keepNext w:val="0"/>
              <w:keepLines w:val="0"/>
              <w:suppressLineNumbers w:val="0"/>
              <w:spacing w:before="0" w:beforeLines="0" w:beforeAutospacing="0" w:after="0" w:afterLines="0" w:afterAutospacing="0"/>
              <w:ind w:left="0" w:leftChars="0" w:right="0" w:firstLine="0" w:firstLineChars="0"/>
              <w:jc w:val="center"/>
              <w:rPr>
                <w:rFonts w:hint="eastAsia" w:ascii="宋体" w:hAnsi="宋体" w:eastAsia="宋体" w:cs="宋体"/>
                <w:sz w:val="21"/>
                <w:szCs w:val="21"/>
                <w:lang w:val="en-US" w:eastAsia="zh-CN"/>
              </w:rPr>
            </w:pPr>
          </w:p>
        </w:tc>
        <w:tc>
          <w:tcPr>
            <w:tcW w:w="825"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eastAsia" w:ascii="宋体" w:hAnsi="宋体" w:eastAsia="宋体" w:cs="宋体"/>
                <w:sz w:val="21"/>
                <w:szCs w:val="21"/>
                <w:lang w:val="en-US" w:eastAsia="zh-CN"/>
              </w:rPr>
            </w:pPr>
            <w:r>
              <w:rPr>
                <w:rFonts w:hint="eastAsia" w:ascii="宋体" w:hAnsi="宋体" w:eastAsia="宋体" w:cs="宋体"/>
                <w:sz w:val="24"/>
                <w:szCs w:val="24"/>
                <w:lang w:val="en-US" w:eastAsia="zh-CN"/>
              </w:rPr>
              <w:t>2-Ⅴ</w:t>
            </w:r>
          </w:p>
        </w:tc>
        <w:tc>
          <w:tcPr>
            <w:tcW w:w="2400"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eastAsia" w:ascii="宋体" w:hAnsi="宋体" w:cs="宋体"/>
                <w:sz w:val="24"/>
                <w:szCs w:val="24"/>
                <w:lang w:val="en-US" w:eastAsia="zh-CN"/>
              </w:rPr>
            </w:pPr>
            <w:r>
              <w:rPr>
                <w:rFonts w:hint="eastAsia" w:ascii="宋体" w:hAnsi="宋体" w:cs="宋体"/>
                <w:sz w:val="24"/>
                <w:szCs w:val="24"/>
                <w:lang w:val="en-US" w:eastAsia="zh-CN"/>
              </w:rPr>
              <w:t>78</w:t>
            </w:r>
          </w:p>
        </w:tc>
        <w:tc>
          <w:tcPr>
            <w:tcW w:w="1020"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eastAsia" w:ascii="宋体" w:hAnsi="宋体" w:eastAsia="宋体" w:cs="宋体"/>
                <w:sz w:val="21"/>
                <w:szCs w:val="21"/>
                <w:lang w:val="en-US" w:eastAsia="zh-CN"/>
              </w:rPr>
            </w:pPr>
            <w:r>
              <w:rPr>
                <w:rFonts w:hint="eastAsia"/>
                <w:sz w:val="21"/>
                <w:szCs w:val="21"/>
                <w:lang w:val="en-US" w:eastAsia="zh-CN"/>
              </w:rPr>
              <w:t>0.03</w:t>
            </w:r>
          </w:p>
        </w:tc>
        <w:tc>
          <w:tcPr>
            <w:tcW w:w="3289"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eastAsia" w:ascii="宋体" w:hAnsi="宋体" w:eastAsia="宋体" w:cs="宋体"/>
                <w:sz w:val="21"/>
                <w:szCs w:val="21"/>
              </w:rPr>
            </w:pPr>
            <w:r>
              <w:rPr>
                <w:rFonts w:hint="eastAsia"/>
                <w:sz w:val="21"/>
                <w:szCs w:val="21"/>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994" w:type="dxa"/>
            <w:vMerge w:val="continue"/>
            <w:tcBorders>
              <w:tl2br w:val="nil"/>
              <w:tr2bl w:val="nil"/>
            </w:tcBorders>
            <w:vAlign w:val="center"/>
          </w:tcPr>
          <w:p>
            <w:pPr>
              <w:keepNext w:val="0"/>
              <w:keepLines w:val="0"/>
              <w:suppressLineNumbers w:val="0"/>
              <w:spacing w:before="0" w:beforeLines="0" w:beforeAutospacing="0" w:after="0" w:afterLines="0" w:afterAutospacing="0"/>
              <w:ind w:left="0" w:leftChars="0" w:right="0" w:firstLine="0" w:firstLineChars="0"/>
              <w:jc w:val="center"/>
              <w:rPr>
                <w:rFonts w:hint="eastAsia" w:ascii="宋体" w:hAnsi="宋体" w:eastAsia="宋体" w:cs="宋体"/>
                <w:sz w:val="21"/>
                <w:szCs w:val="21"/>
                <w:lang w:val="en-US" w:eastAsia="zh-CN"/>
              </w:rPr>
            </w:pPr>
          </w:p>
        </w:tc>
        <w:tc>
          <w:tcPr>
            <w:tcW w:w="825"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eastAsia" w:ascii="宋体" w:hAnsi="宋体" w:eastAsia="宋体" w:cs="宋体"/>
                <w:sz w:val="21"/>
                <w:szCs w:val="21"/>
                <w:lang w:val="en-US" w:eastAsia="zh-CN"/>
              </w:rPr>
            </w:pPr>
            <w:r>
              <w:rPr>
                <w:rFonts w:hint="eastAsia" w:ascii="宋体" w:hAnsi="宋体" w:eastAsia="宋体" w:cs="宋体"/>
                <w:sz w:val="24"/>
                <w:szCs w:val="24"/>
                <w:lang w:val="en-US" w:eastAsia="zh-CN"/>
              </w:rPr>
              <w:t>2-Ⅵ</w:t>
            </w:r>
          </w:p>
        </w:tc>
        <w:tc>
          <w:tcPr>
            <w:tcW w:w="2400"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eastAsia" w:ascii="宋体" w:hAnsi="宋体" w:cs="宋体"/>
                <w:sz w:val="24"/>
                <w:szCs w:val="24"/>
                <w:lang w:val="en-US" w:eastAsia="zh-CN"/>
              </w:rPr>
            </w:pPr>
            <w:r>
              <w:rPr>
                <w:rFonts w:hint="eastAsia" w:ascii="宋体" w:hAnsi="宋体" w:cs="宋体"/>
                <w:sz w:val="24"/>
                <w:szCs w:val="24"/>
                <w:lang w:val="en-US" w:eastAsia="zh-CN"/>
              </w:rPr>
              <w:t>79</w:t>
            </w:r>
          </w:p>
        </w:tc>
        <w:tc>
          <w:tcPr>
            <w:tcW w:w="1020"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eastAsia"/>
                <w:sz w:val="21"/>
                <w:szCs w:val="21"/>
                <w:lang w:val="en-US" w:eastAsia="zh-CN"/>
              </w:rPr>
            </w:pPr>
            <w:r>
              <w:rPr>
                <w:rFonts w:hint="eastAsia"/>
                <w:sz w:val="21"/>
                <w:szCs w:val="21"/>
                <w:lang w:val="en-US" w:eastAsia="zh-CN"/>
              </w:rPr>
              <w:t>0.005</w:t>
            </w:r>
          </w:p>
        </w:tc>
        <w:tc>
          <w:tcPr>
            <w:tcW w:w="3289"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eastAsia" w:ascii="宋体" w:hAnsi="宋体" w:eastAsia="宋体" w:cs="宋体"/>
                <w:sz w:val="21"/>
                <w:szCs w:val="21"/>
                <w:lang w:val="en-US" w:eastAsia="zh-CN"/>
              </w:rPr>
            </w:pPr>
            <w:r>
              <w:rPr>
                <w:rFonts w:hint="eastAsia"/>
                <w:sz w:val="21"/>
                <w:szCs w:val="21"/>
                <w:highlight w:val="no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94" w:type="dxa"/>
            <w:tcBorders>
              <w:tl2br w:val="nil"/>
              <w:tr2bl w:val="nil"/>
            </w:tcBorders>
            <w:vAlign w:val="center"/>
          </w:tcPr>
          <w:p>
            <w:pPr>
              <w:keepNext w:val="0"/>
              <w:keepLines w:val="0"/>
              <w:suppressLineNumbers w:val="0"/>
              <w:spacing w:before="0" w:beforeLines="0" w:beforeAutospacing="0" w:after="0" w:afterLines="0" w:afterAutospacing="0"/>
              <w:ind w:left="0" w:leftChars="0" w:right="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3类区</w:t>
            </w:r>
          </w:p>
        </w:tc>
        <w:tc>
          <w:tcPr>
            <w:tcW w:w="825" w:type="dxa"/>
            <w:tcBorders>
              <w:tl2br w:val="nil"/>
              <w:tr2bl w:val="nil"/>
            </w:tcBorders>
            <w:vAlign w:val="center"/>
          </w:tcPr>
          <w:p>
            <w:pPr>
              <w:keepNext w:val="0"/>
              <w:keepLines w:val="0"/>
              <w:suppressLineNumbers w:val="0"/>
              <w:spacing w:before="0" w:beforeLines="0" w:beforeAutospacing="0" w:after="0" w:afterLines="0" w:afterAutospacing="0"/>
              <w:ind w:left="0" w:leftChars="0" w:right="0" w:firstLine="0" w:firstLineChars="0"/>
              <w:jc w:val="center"/>
              <w:rPr>
                <w:rFonts w:hint="eastAsia" w:ascii="宋体" w:hAnsi="宋体" w:eastAsia="宋体" w:cs="宋体"/>
                <w:sz w:val="21"/>
                <w:szCs w:val="21"/>
                <w:lang w:val="en-US" w:eastAsia="zh-CN"/>
              </w:rPr>
            </w:pPr>
            <w:r>
              <w:rPr>
                <w:rFonts w:hint="eastAsia" w:ascii="宋体" w:hAnsi="宋体" w:eastAsia="宋体" w:cs="宋体"/>
                <w:kern w:val="0"/>
                <w:sz w:val="24"/>
                <w:szCs w:val="24"/>
                <w:lang w:val="en-US" w:eastAsia="zh-CN" w:bidi="ar-SA"/>
              </w:rPr>
              <w:t>3-Ⅰ</w:t>
            </w:r>
          </w:p>
        </w:tc>
        <w:tc>
          <w:tcPr>
            <w:tcW w:w="2400"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eastAsia" w:ascii="宋体" w:hAnsi="宋体" w:cs="宋体"/>
                <w:sz w:val="24"/>
                <w:szCs w:val="24"/>
                <w:lang w:val="en-US" w:eastAsia="zh-CN"/>
              </w:rPr>
            </w:pPr>
            <w:r>
              <w:rPr>
                <w:rFonts w:hint="eastAsia" w:ascii="宋体" w:hAnsi="宋体" w:cs="宋体"/>
                <w:sz w:val="24"/>
                <w:szCs w:val="24"/>
                <w:lang w:val="en-US" w:eastAsia="zh-CN"/>
              </w:rPr>
              <w:t>8</w:t>
            </w:r>
          </w:p>
        </w:tc>
        <w:tc>
          <w:tcPr>
            <w:tcW w:w="1020"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eastAsia"/>
                <w:sz w:val="21"/>
                <w:szCs w:val="21"/>
                <w:lang w:val="en-US" w:eastAsia="zh-CN"/>
              </w:rPr>
            </w:pPr>
            <w:r>
              <w:rPr>
                <w:rFonts w:hint="eastAsia"/>
                <w:sz w:val="21"/>
                <w:szCs w:val="21"/>
                <w:lang w:val="en-US" w:eastAsia="zh-CN"/>
              </w:rPr>
              <w:t>0.3</w:t>
            </w:r>
          </w:p>
        </w:tc>
        <w:tc>
          <w:tcPr>
            <w:tcW w:w="3289"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北至规划一街，东至曲绛线、南至城北大街，西北至吉祥路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94" w:type="dxa"/>
            <w:tcBorders>
              <w:tl2br w:val="nil"/>
              <w:tr2bl w:val="nil"/>
            </w:tcBorders>
            <w:vAlign w:val="center"/>
          </w:tcPr>
          <w:p>
            <w:pPr>
              <w:keepNext w:val="0"/>
              <w:keepLines w:val="0"/>
              <w:suppressLineNumbers w:val="0"/>
              <w:spacing w:before="0" w:beforeLines="0" w:beforeAutospacing="0" w:after="0" w:afterLines="0" w:afterAutospacing="0"/>
              <w:ind w:left="0" w:leftChars="0" w:right="0"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合计</w:t>
            </w:r>
          </w:p>
        </w:tc>
        <w:tc>
          <w:tcPr>
            <w:tcW w:w="825" w:type="dxa"/>
            <w:tcBorders>
              <w:tl2br w:val="nil"/>
              <w:tr2bl w:val="nil"/>
            </w:tcBorders>
            <w:vAlign w:val="center"/>
          </w:tcPr>
          <w:p>
            <w:pPr>
              <w:keepNext w:val="0"/>
              <w:keepLines w:val="0"/>
              <w:suppressLineNumbers w:val="0"/>
              <w:spacing w:before="0" w:beforeLines="0" w:beforeAutospacing="0" w:after="0" w:afterLines="0" w:afterAutospacing="0"/>
              <w:ind w:left="0" w:leftChars="0" w:right="0" w:firstLine="0" w:firstLineChars="0"/>
              <w:jc w:val="center"/>
              <w:rPr>
                <w:rFonts w:hint="eastAsia" w:ascii="宋体" w:hAnsi="宋体" w:eastAsia="宋体" w:cs="宋体"/>
                <w:sz w:val="21"/>
                <w:szCs w:val="21"/>
                <w:lang w:val="en-US" w:eastAsia="zh-CN"/>
              </w:rPr>
            </w:pPr>
          </w:p>
        </w:tc>
        <w:tc>
          <w:tcPr>
            <w:tcW w:w="2400"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eastAsia" w:ascii="宋体" w:hAnsi="宋体" w:cs="宋体"/>
                <w:sz w:val="24"/>
                <w:szCs w:val="24"/>
                <w:lang w:val="en-US" w:eastAsia="zh-CN"/>
              </w:rPr>
            </w:pPr>
          </w:p>
        </w:tc>
        <w:tc>
          <w:tcPr>
            <w:tcW w:w="1020" w:type="dxa"/>
            <w:tcBorders>
              <w:tl2br w:val="nil"/>
              <w:tr2bl w:val="nil"/>
            </w:tcBorders>
            <w:vAlign w:val="center"/>
          </w:tcPr>
          <w:p>
            <w:pPr>
              <w:pStyle w:val="45"/>
              <w:keepNext w:val="0"/>
              <w:keepLines w:val="0"/>
              <w:suppressLineNumbers w:val="0"/>
              <w:spacing w:before="0" w:beforeAutospacing="0" w:after="0" w:afterAutospacing="0"/>
              <w:ind w:left="0" w:leftChars="0" w:right="0" w:rightChars="0" w:firstLine="0" w:firstLineChars="0"/>
              <w:rPr>
                <w:rFonts w:hint="eastAsia"/>
                <w:sz w:val="21"/>
                <w:szCs w:val="21"/>
                <w:lang w:val="en-US" w:eastAsia="zh-CN"/>
              </w:rPr>
            </w:pPr>
            <w:r>
              <w:rPr>
                <w:rFonts w:hint="eastAsia"/>
                <w:sz w:val="21"/>
                <w:szCs w:val="21"/>
                <w:lang w:val="en-US" w:eastAsia="zh-CN"/>
              </w:rPr>
              <w:t>15.18</w:t>
            </w:r>
          </w:p>
        </w:tc>
        <w:tc>
          <w:tcPr>
            <w:tcW w:w="3289" w:type="dxa"/>
            <w:tcBorders>
              <w:tl2br w:val="nil"/>
              <w:tr2bl w:val="nil"/>
            </w:tcBorders>
            <w:vAlign w:val="center"/>
          </w:tcPr>
          <w:p>
            <w:pPr>
              <w:keepNext w:val="0"/>
              <w:keepLines w:val="0"/>
              <w:suppressLineNumbers w:val="0"/>
              <w:spacing w:before="0" w:beforeLines="0" w:beforeAutospacing="0" w:after="0" w:afterLines="0" w:afterAutospacing="0"/>
              <w:ind w:left="0" w:leftChars="0" w:right="0" w:firstLine="0" w:firstLineChars="0"/>
              <w:jc w:val="center"/>
              <w:rPr>
                <w:rFonts w:hint="eastAsia" w:ascii="宋体" w:hAnsi="宋体" w:eastAsia="宋体" w:cs="宋体"/>
                <w:kern w:val="0"/>
                <w:sz w:val="21"/>
                <w:szCs w:val="21"/>
                <w:lang w:val="en-US" w:eastAsia="zh-CN" w:bidi="ar-SA"/>
              </w:rPr>
            </w:pPr>
          </w:p>
        </w:tc>
      </w:tr>
    </w:tbl>
    <w:p>
      <w:pPr>
        <w:spacing w:beforeLines="0" w:afterLines="0"/>
        <w:jc w:val="left"/>
        <w:rPr>
          <w:rFonts w:hint="eastAsia" w:ascii="宋体" w:hAnsi="宋体" w:eastAsia="宋体" w:cs="宋体"/>
          <w:color w:val="auto"/>
          <w:sz w:val="24"/>
          <w:szCs w:val="24"/>
        </w:rPr>
      </w:pPr>
      <w:r>
        <w:rPr>
          <w:rFonts w:hint="eastAsia" w:ascii="宋体" w:hAnsi="宋体" w:eastAsia="宋体" w:cs="宋体"/>
          <w:color w:val="auto"/>
          <w:sz w:val="24"/>
          <w:szCs w:val="24"/>
        </w:rPr>
        <w:t>由5-</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表可知，1类声环境功能区总共</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 xml:space="preserve"> 个区域，总面积为</w:t>
      </w:r>
      <w:r>
        <w:rPr>
          <w:rFonts w:hint="eastAsia" w:ascii="宋体" w:hAnsi="宋体" w:eastAsia="宋体" w:cs="宋体"/>
          <w:color w:val="auto"/>
          <w:sz w:val="24"/>
          <w:szCs w:val="24"/>
          <w:lang w:val="en-US" w:eastAsia="zh-CN"/>
        </w:rPr>
        <w:t>12.56</w:t>
      </w:r>
      <w:r>
        <w:rPr>
          <w:rFonts w:hint="eastAsia" w:ascii="宋体" w:hAnsi="宋体" w:eastAsia="宋体" w:cs="宋体"/>
          <w:color w:val="auto"/>
          <w:sz w:val="24"/>
          <w:szCs w:val="24"/>
        </w:rPr>
        <w:t>km</w:t>
      </w:r>
      <w:r>
        <w:rPr>
          <w:rFonts w:hint="eastAsia" w:ascii="宋体" w:hAnsi="宋体" w:eastAsia="宋体" w:cs="宋体"/>
          <w:color w:val="auto"/>
          <w:sz w:val="24"/>
          <w:szCs w:val="24"/>
          <w:vertAlign w:val="superscript"/>
          <w:lang w:val="en-US" w:eastAsia="zh-CN"/>
        </w:rPr>
        <w:t>2</w:t>
      </w:r>
      <w:r>
        <w:rPr>
          <w:rFonts w:hint="eastAsia" w:ascii="宋体" w:hAnsi="宋体" w:eastAsia="宋体" w:cs="宋体"/>
          <w:color w:val="auto"/>
          <w:sz w:val="24"/>
          <w:szCs w:val="24"/>
        </w:rPr>
        <w:t>；2类声环境功能区总共</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个区域，总面积</w:t>
      </w:r>
      <w:r>
        <w:rPr>
          <w:rFonts w:hint="eastAsia" w:ascii="宋体" w:hAnsi="宋体" w:eastAsia="宋体" w:cs="宋体"/>
          <w:color w:val="auto"/>
          <w:sz w:val="24"/>
          <w:szCs w:val="24"/>
          <w:lang w:val="en-US" w:eastAsia="zh-CN"/>
        </w:rPr>
        <w:t>2.315</w:t>
      </w:r>
      <w:r>
        <w:rPr>
          <w:rFonts w:hint="eastAsia" w:ascii="宋体" w:hAnsi="宋体" w:eastAsia="宋体" w:cs="宋体"/>
          <w:color w:val="auto"/>
          <w:sz w:val="24"/>
          <w:szCs w:val="24"/>
        </w:rPr>
        <w:t>km</w:t>
      </w:r>
      <w:r>
        <w:rPr>
          <w:rFonts w:hint="eastAsia" w:ascii="宋体" w:hAnsi="宋体" w:eastAsia="宋体" w:cs="宋体"/>
          <w:color w:val="auto"/>
          <w:sz w:val="24"/>
          <w:szCs w:val="24"/>
          <w:vertAlign w:val="superscript"/>
          <w:lang w:val="en-US" w:eastAsia="zh-CN"/>
        </w:rPr>
        <w:t>2</w:t>
      </w:r>
      <w:r>
        <w:rPr>
          <w:rFonts w:hint="eastAsia" w:ascii="宋体" w:hAnsi="宋体" w:eastAsia="宋体" w:cs="宋体"/>
          <w:color w:val="auto"/>
          <w:sz w:val="24"/>
          <w:szCs w:val="24"/>
        </w:rPr>
        <w:t>；3类声环境功能区总共1 个区域，总面积为0.</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km</w:t>
      </w:r>
      <w:r>
        <w:rPr>
          <w:rFonts w:hint="eastAsia" w:ascii="宋体" w:hAnsi="宋体" w:eastAsia="宋体" w:cs="宋体"/>
          <w:color w:val="auto"/>
          <w:sz w:val="24"/>
          <w:szCs w:val="24"/>
          <w:vertAlign w:val="superscript"/>
          <w:lang w:val="en-US" w:eastAsia="zh-CN"/>
        </w:rPr>
        <w:t>2</w:t>
      </w:r>
      <w:r>
        <w:rPr>
          <w:rFonts w:hint="eastAsia" w:ascii="宋体" w:hAnsi="宋体" w:eastAsia="宋体" w:cs="宋体"/>
          <w:color w:val="auto"/>
          <w:sz w:val="24"/>
          <w:szCs w:val="24"/>
        </w:rPr>
        <w:t>；4a类声环境功能区为交通干线两侧区域。</w:t>
      </w: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r>
        <w:rPr>
          <w:rFonts w:hint="eastAsia" w:ascii="宋体" w:hAnsi="宋体" w:eastAsia="宋体" w:cs="宋体"/>
          <w:color w:val="auto"/>
          <w:sz w:val="24"/>
          <w:szCs w:val="24"/>
          <w:lang w:eastAsia="zh-CN"/>
        </w:rPr>
        <w:drawing>
          <wp:anchor distT="0" distB="0" distL="114300" distR="114300" simplePos="0" relativeHeight="251995136" behindDoc="1" locked="0" layoutInCell="1" allowOverlap="1">
            <wp:simplePos x="0" y="0"/>
            <wp:positionH relativeFrom="column">
              <wp:posOffset>-516255</wp:posOffset>
            </wp:positionH>
            <wp:positionV relativeFrom="paragraph">
              <wp:posOffset>-195580</wp:posOffset>
            </wp:positionV>
            <wp:extent cx="6420485" cy="8658860"/>
            <wp:effectExtent l="0" t="0" r="18415" b="8890"/>
            <wp:wrapNone/>
            <wp:docPr id="21" name="图片 21" descr="附图10曲沃县城市区域声环境功能区划分结果图"/>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21" descr="附图10曲沃县城市区域声环境功能区划分结果图"/>
                    <pic:cNvPicPr>
                      <a:picLocks noChangeAspect="true"/>
                    </pic:cNvPicPr>
                  </pic:nvPicPr>
                  <pic:blipFill>
                    <a:blip r:embed="rId56"/>
                    <a:srcRect t="1916" b="2708"/>
                    <a:stretch>
                      <a:fillRect/>
                    </a:stretch>
                  </pic:blipFill>
                  <pic:spPr>
                    <a:xfrm>
                      <a:off x="0" y="0"/>
                      <a:ext cx="6420485" cy="8658860"/>
                    </a:xfrm>
                    <a:prstGeom prst="rect">
                      <a:avLst/>
                    </a:prstGeom>
                  </pic:spPr>
                </pic:pic>
              </a:graphicData>
            </a:graphic>
          </wp:anchor>
        </w:drawing>
      </w: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lang w:eastAsia="zh-CN"/>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jc w:val="left"/>
        <w:rPr>
          <w:rFonts w:hint="eastAsia" w:ascii="宋体" w:hAnsi="宋体" w:eastAsia="宋体" w:cs="宋体"/>
          <w:color w:val="auto"/>
          <w:sz w:val="24"/>
          <w:szCs w:val="24"/>
        </w:rPr>
      </w:pPr>
    </w:p>
    <w:p>
      <w:pPr>
        <w:spacing w:beforeLines="0" w:afterLines="0"/>
        <w:ind w:left="0" w:leftChars="0" w:firstLine="0" w:firstLineChars="0"/>
        <w:jc w:val="left"/>
        <w:rPr>
          <w:rFonts w:hint="eastAsia" w:ascii="宋体" w:hAnsi="宋体" w:eastAsia="宋体" w:cs="宋体"/>
          <w:color w:val="auto"/>
          <w:sz w:val="24"/>
          <w:szCs w:val="24"/>
        </w:rPr>
      </w:pPr>
    </w:p>
    <w:p>
      <w:pPr>
        <w:spacing w:beforeLines="0" w:afterLines="0"/>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图5-5  曲沃县城市区域声环境功能区划分结果图</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0B5FD1"/>
          <w:sz w:val="28"/>
          <w:szCs w:val="28"/>
          <w:lang w:val="en-US" w:eastAsia="zh-CN"/>
        </w:rPr>
      </w:pPr>
      <w:r>
        <w:rPr>
          <w:rFonts w:hint="eastAsia" w:cs="Times New Roman" w:eastAsiaTheme="minorEastAsia"/>
          <w:color w:val="0B5FD1"/>
          <w:sz w:val="28"/>
          <w:szCs w:val="28"/>
          <w:lang w:val="en-US" w:eastAsia="zh-CN"/>
        </w:rPr>
        <w:t>5.7.1 “</w:t>
      </w:r>
      <w:r>
        <w:rPr>
          <w:rFonts w:hint="default" w:cs="Times New Roman" w:eastAsiaTheme="minorEastAsia"/>
          <w:color w:val="0B5FD1"/>
          <w:sz w:val="28"/>
          <w:szCs w:val="28"/>
          <w:lang w:val="en-US" w:eastAsia="zh-CN"/>
        </w:rPr>
        <w:t>1</w:t>
      </w:r>
      <w:r>
        <w:rPr>
          <w:rFonts w:hint="eastAsia" w:cs="Times New Roman" w:eastAsiaTheme="minorEastAsia"/>
          <w:color w:val="0B5FD1"/>
          <w:sz w:val="28"/>
          <w:szCs w:val="28"/>
          <w:lang w:val="en-US" w:eastAsia="zh-CN"/>
        </w:rPr>
        <w:t>类”区</w:t>
      </w:r>
    </w:p>
    <w:p>
      <w:pPr>
        <w:numPr>
          <w:ilvl w:val="0"/>
          <w:numId w:val="3"/>
        </w:numPr>
        <w:spacing w:beforeLines="0" w:afterLines="0"/>
        <w:jc w:val="left"/>
        <w:rPr>
          <w:rFonts w:hint="eastAsia" w:ascii="宋体" w:hAnsi="宋体" w:eastAsia="宋体" w:cs="宋体"/>
          <w:color w:val="0B5FD1"/>
          <w:sz w:val="24"/>
          <w:szCs w:val="24"/>
          <w:highlight w:val="none"/>
          <w:lang w:val="en-US" w:eastAsia="zh-CN"/>
        </w:rPr>
      </w:pPr>
      <w:r>
        <w:rPr>
          <w:rFonts w:hint="eastAsia" w:ascii="宋体" w:hAnsi="宋体" w:eastAsia="宋体" w:cs="宋体"/>
          <w:color w:val="0B5FD1"/>
          <w:sz w:val="24"/>
          <w:szCs w:val="24"/>
          <w:highlight w:val="none"/>
          <w:lang w:val="en-US" w:eastAsia="zh-CN"/>
        </w:rPr>
        <w:t>Ⅰ区（1-4、5-7、9、10-26、28-36、39-40、42-51、53-65、67-73、75）总面积12.56km</w:t>
      </w:r>
      <w:r>
        <w:rPr>
          <w:rFonts w:hint="eastAsia" w:ascii="宋体" w:hAnsi="宋体" w:eastAsia="宋体" w:cs="宋体"/>
          <w:color w:val="0B5FD1"/>
          <w:sz w:val="24"/>
          <w:szCs w:val="24"/>
          <w:highlight w:val="none"/>
          <w:vertAlign w:val="superscript"/>
          <w:lang w:val="en-US" w:eastAsia="zh-CN"/>
        </w:rPr>
        <w:t>2</w:t>
      </w:r>
      <w:r>
        <w:rPr>
          <w:rFonts w:hint="eastAsia" w:ascii="宋体" w:hAnsi="宋体" w:eastAsia="宋体" w:cs="宋体"/>
          <w:color w:val="0B5FD1"/>
          <w:sz w:val="24"/>
          <w:szCs w:val="24"/>
          <w:highlight w:val="none"/>
          <w:lang w:val="en-US" w:eastAsia="zh-CN"/>
        </w:rPr>
        <w:t>，地理位置范围：北至规划一街，东至曲绛线、南至规划边界，西至规划边界，西南至古城遗址。</w:t>
      </w:r>
    </w:p>
    <w:p>
      <w:pPr>
        <w:numPr>
          <w:ilvl w:val="0"/>
          <w:numId w:val="0"/>
        </w:numPr>
        <w:spacing w:beforeLines="0" w:afterLines="0"/>
        <w:ind w:firstLine="240" w:firstLineChars="100"/>
        <w:jc w:val="left"/>
        <w:rPr>
          <w:rFonts w:hint="eastAsia" w:ascii="宋体" w:hAnsi="宋体" w:eastAsia="宋体" w:cs="宋体"/>
          <w:color w:val="0B5FD1"/>
          <w:sz w:val="24"/>
          <w:szCs w:val="24"/>
          <w:lang w:val="en-US" w:eastAsia="zh-CN"/>
        </w:rPr>
      </w:pPr>
      <w:r>
        <w:rPr>
          <w:rFonts w:hint="eastAsia" w:ascii="宋体" w:hAnsi="宋体" w:eastAsia="宋体" w:cs="宋体"/>
          <w:color w:val="0B5FD1"/>
          <w:sz w:val="24"/>
          <w:szCs w:val="24"/>
          <w:lang w:val="en-US" w:eastAsia="zh-CN"/>
        </w:rPr>
        <w:t>1-1类区总面积12.56km</w:t>
      </w:r>
      <w:r>
        <w:rPr>
          <w:rFonts w:hint="eastAsia" w:ascii="宋体" w:hAnsi="宋体" w:eastAsia="宋体" w:cs="宋体"/>
          <w:color w:val="0B5FD1"/>
          <w:sz w:val="24"/>
          <w:szCs w:val="24"/>
          <w:vertAlign w:val="superscript"/>
          <w:lang w:val="en-US" w:eastAsia="zh-CN"/>
        </w:rPr>
        <w:t>2</w:t>
      </w:r>
      <w:r>
        <w:rPr>
          <w:rFonts w:hint="eastAsia" w:ascii="宋体" w:hAnsi="宋体" w:eastAsia="宋体" w:cs="宋体"/>
          <w:color w:val="0B5FD1"/>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eastAsiaTheme="minorEastAsia"/>
          <w:b/>
          <w:bCs/>
          <w:color w:val="auto"/>
          <w:sz w:val="21"/>
          <w:szCs w:val="21"/>
          <w:lang w:val="en-US" w:eastAsia="zh-CN"/>
        </w:rPr>
      </w:pPr>
      <w:r>
        <w:rPr>
          <w:rFonts w:hint="eastAsia" w:cs="Times New Roman" w:eastAsiaTheme="minorEastAsia"/>
          <w:b/>
          <w:bCs/>
          <w:color w:val="auto"/>
          <w:sz w:val="21"/>
          <w:szCs w:val="21"/>
          <w:lang w:val="en-US" w:eastAsia="zh-CN"/>
        </w:rPr>
        <w:t xml:space="preserve">表5-11  </w:t>
      </w:r>
      <w:r>
        <w:rPr>
          <w:rFonts w:hint="default" w:cs="Times New Roman" w:eastAsiaTheme="minorEastAsia"/>
          <w:b/>
          <w:bCs/>
          <w:color w:val="auto"/>
          <w:sz w:val="21"/>
          <w:szCs w:val="21"/>
          <w:lang w:val="en-US" w:eastAsia="zh-CN"/>
        </w:rPr>
        <w:t xml:space="preserve"> </w:t>
      </w:r>
      <w:r>
        <w:rPr>
          <w:rFonts w:hint="eastAsia" w:cs="Times New Roman" w:eastAsiaTheme="minorEastAsia"/>
          <w:b/>
          <w:bCs/>
          <w:color w:val="auto"/>
          <w:sz w:val="21"/>
          <w:szCs w:val="21"/>
          <w:lang w:val="en-US" w:eastAsia="zh-CN"/>
        </w:rPr>
        <w:t>1类区拐点坐标一览表  坐标:WGS1984</w:t>
      </w:r>
    </w:p>
    <w:tbl>
      <w:tblPr>
        <w:tblStyle w:val="25"/>
        <w:tblW w:w="852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1598"/>
        <w:gridCol w:w="1500"/>
        <w:gridCol w:w="1165"/>
        <w:gridCol w:w="1422"/>
        <w:gridCol w:w="142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cs="Times New Roman" w:eastAsiaTheme="minorEastAsia"/>
                <w:b/>
                <w:bCs/>
                <w:color w:val="auto"/>
                <w:sz w:val="21"/>
                <w:szCs w:val="21"/>
                <w:vertAlign w:val="baseline"/>
                <w:lang w:val="en-US" w:eastAsia="zh-CN"/>
              </w:rPr>
            </w:pPr>
            <w:r>
              <w:rPr>
                <w:rFonts w:hint="eastAsia" w:ascii="宋体" w:hAnsi="宋体" w:eastAsia="宋体" w:cs="宋体"/>
                <w:b/>
                <w:bCs/>
                <w:sz w:val="21"/>
                <w:szCs w:val="21"/>
                <w:lang w:val="en-US" w:eastAsia="zh-CN"/>
              </w:rPr>
              <w:t>序号</w:t>
            </w:r>
          </w:p>
        </w:tc>
        <w:tc>
          <w:tcPr>
            <w:tcW w:w="1598"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cs="Times New Roman" w:eastAsiaTheme="minorEastAsia"/>
                <w:b/>
                <w:bCs/>
                <w:color w:val="auto"/>
                <w:sz w:val="21"/>
                <w:szCs w:val="21"/>
                <w:vertAlign w:val="baseline"/>
                <w:lang w:val="en-US" w:eastAsia="zh-CN"/>
              </w:rPr>
            </w:pPr>
            <w:r>
              <w:rPr>
                <w:rFonts w:hint="eastAsia" w:ascii="宋体" w:hAnsi="宋体" w:eastAsia="宋体" w:cs="宋体"/>
                <w:b/>
                <w:bCs/>
                <w:sz w:val="21"/>
                <w:szCs w:val="21"/>
                <w:lang w:val="en-US" w:eastAsia="zh-CN"/>
              </w:rPr>
              <w:t>X</w:t>
            </w:r>
          </w:p>
        </w:tc>
        <w:tc>
          <w:tcPr>
            <w:tcW w:w="1500"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cs="Times New Roman" w:eastAsiaTheme="minorEastAsia"/>
                <w:b/>
                <w:bCs/>
                <w:color w:val="auto"/>
                <w:sz w:val="21"/>
                <w:szCs w:val="21"/>
                <w:vertAlign w:val="baseline"/>
                <w:lang w:val="en-US" w:eastAsia="zh-CN"/>
              </w:rPr>
            </w:pPr>
            <w:r>
              <w:rPr>
                <w:rFonts w:hint="eastAsia" w:ascii="宋体" w:hAnsi="宋体" w:eastAsia="宋体" w:cs="宋体"/>
                <w:b/>
                <w:bCs/>
                <w:sz w:val="21"/>
                <w:szCs w:val="21"/>
                <w:lang w:val="en-US" w:eastAsia="zh-CN"/>
              </w:rPr>
              <w:t>Y</w:t>
            </w:r>
          </w:p>
        </w:tc>
        <w:tc>
          <w:tcPr>
            <w:tcW w:w="116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cs="Times New Roman" w:eastAsiaTheme="minorEastAsia"/>
                <w:b/>
                <w:bCs/>
                <w:color w:val="auto"/>
                <w:sz w:val="21"/>
                <w:szCs w:val="21"/>
                <w:vertAlign w:val="baseline"/>
                <w:lang w:val="en-US" w:eastAsia="zh-CN"/>
              </w:rPr>
            </w:pPr>
            <w:r>
              <w:rPr>
                <w:rFonts w:hint="eastAsia" w:ascii="宋体" w:hAnsi="宋体" w:eastAsia="宋体" w:cs="宋体"/>
                <w:b/>
                <w:bCs/>
                <w:sz w:val="21"/>
                <w:szCs w:val="21"/>
                <w:lang w:val="en-US" w:eastAsia="zh-CN"/>
              </w:rPr>
              <w:t>序号</w:t>
            </w:r>
          </w:p>
        </w:tc>
        <w:tc>
          <w:tcPr>
            <w:tcW w:w="1422"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cs="Times New Roman" w:eastAsiaTheme="minorEastAsia"/>
                <w:b/>
                <w:bCs/>
                <w:color w:val="auto"/>
                <w:sz w:val="21"/>
                <w:szCs w:val="21"/>
                <w:vertAlign w:val="baseline"/>
                <w:lang w:val="en-US" w:eastAsia="zh-CN"/>
              </w:rPr>
            </w:pPr>
            <w:r>
              <w:rPr>
                <w:rFonts w:hint="eastAsia" w:ascii="宋体" w:hAnsi="宋体" w:eastAsia="宋体" w:cs="宋体"/>
                <w:b/>
                <w:bCs/>
                <w:sz w:val="21"/>
                <w:szCs w:val="21"/>
                <w:lang w:val="en-US" w:eastAsia="zh-CN"/>
              </w:rPr>
              <w:t>X</w:t>
            </w:r>
          </w:p>
        </w:tc>
        <w:tc>
          <w:tcPr>
            <w:tcW w:w="1422"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cs="Times New Roman" w:eastAsiaTheme="minorEastAsia"/>
                <w:b/>
                <w:bCs/>
                <w:color w:val="auto"/>
                <w:sz w:val="21"/>
                <w:szCs w:val="21"/>
                <w:vertAlign w:val="baseline"/>
                <w:lang w:val="en-US" w:eastAsia="zh-CN"/>
              </w:rPr>
            </w:pPr>
            <w:r>
              <w:rPr>
                <w:rFonts w:hint="eastAsia" w:ascii="宋体" w:hAnsi="宋体" w:eastAsia="宋体" w:cs="宋体"/>
                <w:b/>
                <w:bCs/>
                <w:sz w:val="21"/>
                <w:szCs w:val="21"/>
                <w:lang w:val="en-US" w:eastAsia="zh-CN"/>
              </w:rPr>
              <w:t>Y</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8528" w:type="dxa"/>
            <w:gridSpan w:val="6"/>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bCs/>
                <w:sz w:val="21"/>
                <w:szCs w:val="21"/>
                <w:lang w:val="en-US" w:eastAsia="zh-CN"/>
              </w:rPr>
            </w:pPr>
            <w:r>
              <w:rPr>
                <w:rFonts w:hint="eastAsia" w:ascii="宋体" w:hAnsi="宋体" w:eastAsia="宋体" w:cs="宋体"/>
                <w:b w:val="0"/>
                <w:bCs w:val="0"/>
                <w:kern w:val="2"/>
                <w:sz w:val="21"/>
                <w:szCs w:val="21"/>
                <w:lang w:val="en-US" w:eastAsia="zh-CN" w:bidi="ar-SA"/>
              </w:rPr>
              <w:t>1-</w:t>
            </w:r>
            <w:r>
              <w:rPr>
                <w:rFonts w:hint="eastAsia" w:ascii="宋体" w:hAnsi="宋体" w:eastAsia="宋体" w:cs="宋体"/>
                <w:sz w:val="24"/>
                <w:szCs w:val="24"/>
                <w:lang w:val="en-US" w:eastAsia="zh-CN"/>
              </w:rPr>
              <w:t>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111.4815109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35.61981197</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111.465651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35.64106119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111.4806156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35.62000239</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111.465651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35.64106119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111.4799934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35.6199758</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111.4590163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35.64145645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111.4797478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35.61995715</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111.4667171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35.63565798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111.4790481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35.61987004</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111.4728611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35.63531661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111.4784517</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35.61971186</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111.4740504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35.64611861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111.4778615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35.61954462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111.4689199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35.64689284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111.4773929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35.61937084</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111.4740504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35.64611861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111.4768156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35.61919475</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111.4691471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35.65048244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111.4763258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35.61910452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111.4590163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35.64145645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111.4758888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35.61902402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111.4689199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35.64689284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111.4753949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35.61910647</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111.4691471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35.65048244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13</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111.4749623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35.61920909</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111.4948122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35.65154012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14</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111.4747338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35.61925192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111.4942125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35.6378052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15</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111.4744669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35.61965479</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111.496025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35.63770279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16</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111.4742912</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35.61988361</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111.4960598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35.63666244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17</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111.4742912</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35.61988361</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111.4941783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35.63667304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18</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111.4742253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35.62027605</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111.4940322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35.63401462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19</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111.4747454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35.6203057</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111.4956086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35.63395513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20</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111.4742253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35.62027605</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111.495679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35.63266494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21</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111.4815109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35.61981197</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111.4939613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35.63271061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22</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111.4815002</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35.62051602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111.4937267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35.63036186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23</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111.4809598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35.62076954</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111.4916183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35.62554382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24</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111.4810146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35.6216455</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111.4915597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35.62556866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25</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111.4812414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35.62168692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111.4934251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35.65159824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26</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111.4810146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35.6216455</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111.4948153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35.65161154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27</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111.4812414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35.62168692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111.4948153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35.65161154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28</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111.4813913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35.62277656</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111.4948122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35.65154012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29</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111.4839955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35.62236127</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111.4909757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35.65170082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30</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111.4813913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35.62277656</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111.4909914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35.65157491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31</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111.4747454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35.6203057</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111.4934251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35.65159824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32</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111.4750695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35.6236952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111.4908232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35.65292535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33</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111.4750695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35.6236952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111.4909757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35.65170082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34</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111.4714041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35.62433924</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111.4872425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35.65448739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111.4706245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35.62447624</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111.4879713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35.65450525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36</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111.4671201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35.62451228</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111.4879713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35.65450525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37</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111.4670358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35.62304659</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111.4885525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35.65451949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38</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111.4706245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35.62447624</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111.4900166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35.65379568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39</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111.4671201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35.62451228</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111.4905899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35.65332976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40</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111.4915597</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35.62556866</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111.4908232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35.65292535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41</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111.4903316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35.62608926</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111.4872425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35.65448739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42</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111.490007</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35.62623239</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111.4880739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35.6570365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43</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111.490007</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35.62623239</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111.4809154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35.65760103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44</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111.4892894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35.62654891</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111.4810376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35.65606129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45</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111.4839955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35.62236127</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111.482094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35.65609369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46</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111.4841171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35.62783846</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111.4829129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35.6561852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47</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111.4846111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35.62782552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111.4835494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35.65640251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48</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111.4844243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35.62781229</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111.4839589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35.65654375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49</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111.4841171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35.62783846</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111.4843724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35.65670268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50</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111.4861358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35.62793352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111.4848071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35.65705718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51</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111.4846111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35.62782552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111.4851092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35.6573036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52</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111.4871558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35.62825388</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111.4880739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35.6570365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53</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111.4864544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35.62795608</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111.4695352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35.65836499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54</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111.4861358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35.62793352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111.4691471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35.65048244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55</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111.4892894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35.62654891</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111.4691471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35.65048244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56</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111.4892429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35.6265694</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111.469151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35.65054445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57</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111.4879283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35.6273847</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111.4695352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35.65836499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58</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111.4871558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35.62825388</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111.4695352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35.65836499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59</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111.4670358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35.62304659</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111.4809154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35.65760103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60</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111.4619494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35.62357022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111.4650208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35.63578106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61</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111.4621348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35.62491484</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111.4469826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35.63671867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62</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111.464973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35.62461456</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111.4469748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35.63727708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63</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111.4661927</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35.63230635</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130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111.4485962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35.63778056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64</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111.464683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35.63261498</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131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111.4503509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35.65960836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65</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111.4649543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35.63575586</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132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111.4503529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35.65965273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66</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111.4667171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35.63565798</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133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111.4695352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35.65836499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67</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111.4650208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35.63578106</w:t>
            </w:r>
          </w:p>
        </w:tc>
        <w:tc>
          <w:tcPr>
            <w:tcW w:w="116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r>
    </w:tbl>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eastAsiaTheme="minorEastAsia"/>
          <w:b/>
          <w:bCs/>
          <w:color w:val="auto"/>
          <w:sz w:val="21"/>
          <w:szCs w:val="21"/>
          <w:lang w:val="en-US" w:eastAsia="zh-CN"/>
        </w:rPr>
      </w:pP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eastAsia" w:cs="Times New Roman" w:eastAsiaTheme="minorEastAsia"/>
          <w:color w:val="auto"/>
          <w:sz w:val="28"/>
          <w:szCs w:val="28"/>
          <w:lang w:val="en-US" w:eastAsia="zh-CN"/>
        </w:rPr>
        <w:t>5.7.2</w:t>
      </w:r>
      <w:r>
        <w:rPr>
          <w:rFonts w:hint="default" w:cs="Times New Roman" w:eastAsiaTheme="minorEastAsia"/>
          <w:color w:val="auto"/>
          <w:sz w:val="28"/>
          <w:szCs w:val="28"/>
          <w:lang w:val="en-US" w:eastAsia="zh-CN"/>
        </w:rPr>
        <w:t xml:space="preserve"> </w:t>
      </w:r>
      <w:r>
        <w:rPr>
          <w:rFonts w:hint="eastAsia" w:cs="Times New Roman" w:eastAsiaTheme="minorEastAsia"/>
          <w:color w:val="auto"/>
          <w:sz w:val="28"/>
          <w:szCs w:val="28"/>
          <w:lang w:val="en-US" w:eastAsia="zh-CN"/>
        </w:rPr>
        <w:t>“2类”区</w:t>
      </w:r>
    </w:p>
    <w:p>
      <w:pPr>
        <w:numPr>
          <w:ilvl w:val="0"/>
          <w:numId w:val="4"/>
        </w:numPr>
        <w:spacing w:beforeLines="0" w:afterLine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Ⅰ区（27、37-38、41、52-53）总面积1.36km</w:t>
      </w:r>
      <w:r>
        <w:rPr>
          <w:rFonts w:hint="eastAsia" w:ascii="宋体" w:hAnsi="宋体" w:eastAsia="宋体" w:cs="宋体"/>
          <w:sz w:val="24"/>
          <w:szCs w:val="24"/>
          <w:highlight w:val="none"/>
          <w:vertAlign w:val="superscript"/>
          <w:lang w:val="en-US" w:eastAsia="zh-CN"/>
        </w:rPr>
        <w:t>2</w:t>
      </w:r>
      <w:r>
        <w:rPr>
          <w:rFonts w:hint="eastAsia" w:ascii="宋体" w:hAnsi="宋体" w:eastAsia="宋体" w:cs="宋体"/>
          <w:sz w:val="24"/>
          <w:szCs w:val="24"/>
          <w:highlight w:val="none"/>
          <w:lang w:val="en-US" w:eastAsia="zh-CN"/>
        </w:rPr>
        <w:t>，地理位置范围：北至新华路与晋都北路交叉口，东至浍滨路、南至贡院西街，西至太和路，西南至新华路与府西街交叉口。</w:t>
      </w:r>
    </w:p>
    <w:p>
      <w:pPr>
        <w:numPr>
          <w:ilvl w:val="0"/>
          <w:numId w:val="0"/>
        </w:numPr>
        <w:spacing w:beforeLines="0" w:afterLines="0"/>
        <w:ind w:leftChars="200"/>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2-Ⅱ区（66、76）总面积0.59km</w:t>
      </w:r>
      <w:r>
        <w:rPr>
          <w:rFonts w:hint="eastAsia" w:ascii="宋体" w:hAnsi="宋体" w:eastAsia="宋体" w:cs="宋体"/>
          <w:sz w:val="24"/>
          <w:szCs w:val="24"/>
          <w:highlight w:val="none"/>
          <w:vertAlign w:val="superscript"/>
          <w:lang w:val="en-US" w:eastAsia="zh-CN"/>
        </w:rPr>
        <w:t>2</w:t>
      </w:r>
      <w:r>
        <w:rPr>
          <w:rFonts w:hint="eastAsia" w:ascii="宋体" w:hAnsi="宋体" w:eastAsia="宋体" w:cs="宋体"/>
          <w:sz w:val="24"/>
          <w:szCs w:val="24"/>
          <w:highlight w:val="none"/>
          <w:lang w:val="en-US" w:eastAsia="zh-CN"/>
        </w:rPr>
        <w:t>，地理位置范围：北至规划六街，东至曲</w:t>
      </w:r>
    </w:p>
    <w:p>
      <w:pPr>
        <w:numPr>
          <w:ilvl w:val="0"/>
          <w:numId w:val="0"/>
        </w:numPr>
        <w:spacing w:beforeLines="0" w:afterLines="0"/>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绛线、南至南环路——规划边界 ，西至绛山路。</w:t>
      </w:r>
    </w:p>
    <w:p>
      <w:pPr>
        <w:numPr>
          <w:ilvl w:val="0"/>
          <w:numId w:val="0"/>
        </w:numPr>
        <w:spacing w:beforeLines="0" w:afterLines="0"/>
        <w:ind w:leftChars="200"/>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lang w:val="en-US" w:eastAsia="zh-CN"/>
        </w:rPr>
        <w:t>2-Ⅲ</w:t>
      </w:r>
      <w:r>
        <w:rPr>
          <w:rFonts w:hint="eastAsia" w:ascii="宋体" w:hAnsi="宋体" w:eastAsia="宋体" w:cs="宋体"/>
          <w:sz w:val="24"/>
          <w:szCs w:val="24"/>
          <w:highlight w:val="none"/>
          <w:lang w:val="en-US" w:eastAsia="zh-CN"/>
        </w:rPr>
        <w:t>（74）总面积0.32km</w:t>
      </w:r>
      <w:r>
        <w:rPr>
          <w:rFonts w:hint="eastAsia" w:ascii="宋体" w:hAnsi="宋体" w:eastAsia="宋体" w:cs="宋体"/>
          <w:sz w:val="24"/>
          <w:szCs w:val="24"/>
          <w:highlight w:val="none"/>
          <w:vertAlign w:val="superscript"/>
          <w:lang w:val="en-US" w:eastAsia="zh-CN"/>
        </w:rPr>
        <w:t>2</w:t>
      </w:r>
      <w:r>
        <w:rPr>
          <w:rFonts w:hint="eastAsia" w:ascii="宋体" w:hAnsi="宋体" w:eastAsia="宋体" w:cs="宋体"/>
          <w:sz w:val="24"/>
          <w:szCs w:val="24"/>
          <w:highlight w:val="none"/>
          <w:lang w:val="en-US" w:eastAsia="zh-CN"/>
        </w:rPr>
        <w:t>，地理位置范围：北至南环路，南至规划边界，</w:t>
      </w:r>
    </w:p>
    <w:p>
      <w:pPr>
        <w:numPr>
          <w:ilvl w:val="0"/>
          <w:numId w:val="0"/>
        </w:numPr>
        <w:spacing w:beforeLines="0" w:afterLines="0"/>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西至晋都南路。</w:t>
      </w:r>
    </w:p>
    <w:p>
      <w:pPr>
        <w:widowControl w:val="0"/>
        <w:numPr>
          <w:ilvl w:val="0"/>
          <w:numId w:val="0"/>
        </w:numPr>
        <w:spacing w:beforeLines="0" w:afterLines="0" w:line="360" w:lineRule="auto"/>
        <w:ind w:firstLine="480" w:firstLineChars="200"/>
        <w:jc w:val="both"/>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2-Ⅳ（77）总面积0.01km</w:t>
      </w:r>
      <w:r>
        <w:rPr>
          <w:rFonts w:hint="eastAsia" w:ascii="宋体" w:hAnsi="宋体" w:eastAsia="宋体" w:cs="宋体"/>
          <w:sz w:val="24"/>
          <w:szCs w:val="24"/>
          <w:highlight w:val="none"/>
          <w:vertAlign w:val="superscript"/>
          <w:lang w:val="en-US" w:eastAsia="zh-CN"/>
        </w:rPr>
        <w:t>2</w:t>
      </w:r>
      <w:r>
        <w:rPr>
          <w:rFonts w:hint="eastAsia" w:ascii="宋体" w:hAnsi="宋体" w:eastAsia="宋体" w:cs="宋体"/>
          <w:sz w:val="24"/>
          <w:szCs w:val="24"/>
          <w:highlight w:val="none"/>
          <w:vertAlign w:val="baseline"/>
          <w:lang w:val="en-US" w:eastAsia="zh-CN"/>
        </w:rPr>
        <w:t>；</w:t>
      </w:r>
      <w:r>
        <w:rPr>
          <w:rFonts w:hint="eastAsia" w:ascii="宋体" w:hAnsi="宋体" w:eastAsia="宋体" w:cs="宋体"/>
          <w:sz w:val="24"/>
          <w:szCs w:val="24"/>
          <w:highlight w:val="none"/>
          <w:vertAlign w:val="superscript"/>
          <w:lang w:val="en-US" w:eastAsia="zh-CN"/>
        </w:rPr>
        <w:t xml:space="preserve"> </w:t>
      </w:r>
      <w:r>
        <w:rPr>
          <w:rFonts w:hint="eastAsia" w:ascii="宋体" w:hAnsi="宋体" w:eastAsia="宋体" w:cs="宋体"/>
          <w:sz w:val="24"/>
          <w:szCs w:val="24"/>
          <w:lang w:val="en-US" w:eastAsia="zh-CN"/>
        </w:rPr>
        <w:t>2-Ⅴ</w:t>
      </w:r>
      <w:r>
        <w:rPr>
          <w:rFonts w:hint="eastAsia" w:ascii="宋体" w:hAnsi="宋体" w:eastAsia="宋体" w:cs="宋体"/>
          <w:sz w:val="24"/>
          <w:szCs w:val="24"/>
          <w:highlight w:val="none"/>
          <w:lang w:val="en-US" w:eastAsia="zh-CN"/>
        </w:rPr>
        <w:t>（78）总面积0.03km</w:t>
      </w:r>
      <w:r>
        <w:rPr>
          <w:rFonts w:hint="eastAsia" w:ascii="宋体" w:hAnsi="宋体" w:eastAsia="宋体" w:cs="宋体"/>
          <w:sz w:val="24"/>
          <w:szCs w:val="24"/>
          <w:highlight w:val="none"/>
          <w:vertAlign w:val="superscript"/>
          <w:lang w:val="en-US" w:eastAsia="zh-CN"/>
        </w:rPr>
        <w:t>2</w:t>
      </w:r>
      <w:r>
        <w:rPr>
          <w:rFonts w:hint="eastAsia" w:ascii="宋体" w:hAnsi="宋体" w:eastAsia="宋体" w:cs="宋体"/>
          <w:sz w:val="24"/>
          <w:szCs w:val="24"/>
          <w:highlight w:val="none"/>
          <w:vertAlign w:val="baseline"/>
          <w:lang w:val="en-US" w:eastAsia="zh-CN"/>
        </w:rPr>
        <w:t>；2-Ⅵ</w:t>
      </w:r>
      <w:r>
        <w:rPr>
          <w:rFonts w:hint="eastAsia" w:ascii="宋体" w:hAnsi="宋体" w:eastAsia="宋体" w:cs="宋体"/>
          <w:sz w:val="24"/>
          <w:szCs w:val="24"/>
          <w:highlight w:val="none"/>
          <w:lang w:val="en-US" w:eastAsia="zh-CN"/>
        </w:rPr>
        <w:t>（79）总面积0.005km</w:t>
      </w:r>
      <w:r>
        <w:rPr>
          <w:rFonts w:hint="eastAsia" w:ascii="宋体" w:hAnsi="宋体" w:eastAsia="宋体" w:cs="宋体"/>
          <w:sz w:val="24"/>
          <w:szCs w:val="24"/>
          <w:highlight w:val="none"/>
          <w:vertAlign w:val="superscript"/>
          <w:lang w:val="en-US" w:eastAsia="zh-CN"/>
        </w:rPr>
        <w:t>2</w:t>
      </w:r>
      <w:r>
        <w:rPr>
          <w:rFonts w:hint="eastAsia" w:ascii="宋体" w:hAnsi="宋体" w:eastAsia="宋体" w:cs="宋体"/>
          <w:sz w:val="24"/>
          <w:szCs w:val="24"/>
          <w:highlight w:val="none"/>
          <w:vertAlign w:val="baseline"/>
          <w:lang w:val="en-US" w:eastAsia="zh-CN"/>
        </w:rPr>
        <w:t>。</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2类区总面积2.315km</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eastAsiaTheme="minorEastAsia"/>
          <w:b/>
          <w:bCs/>
          <w:color w:val="auto"/>
          <w:sz w:val="21"/>
          <w:szCs w:val="21"/>
          <w:lang w:val="en-US" w:eastAsia="zh-CN"/>
        </w:rPr>
      </w:pPr>
      <w:r>
        <w:rPr>
          <w:rFonts w:hint="eastAsia" w:cs="Times New Roman" w:eastAsiaTheme="minorEastAsia"/>
          <w:b/>
          <w:bCs/>
          <w:color w:val="auto"/>
          <w:sz w:val="21"/>
          <w:szCs w:val="21"/>
          <w:lang w:val="en-US" w:eastAsia="zh-CN"/>
        </w:rPr>
        <w:t xml:space="preserve">表5-12  </w:t>
      </w:r>
      <w:r>
        <w:rPr>
          <w:rFonts w:hint="default" w:cs="Times New Roman" w:eastAsiaTheme="minorEastAsia"/>
          <w:b/>
          <w:bCs/>
          <w:color w:val="auto"/>
          <w:sz w:val="21"/>
          <w:szCs w:val="21"/>
          <w:lang w:val="en-US" w:eastAsia="zh-CN"/>
        </w:rPr>
        <w:t xml:space="preserve"> </w:t>
      </w:r>
      <w:r>
        <w:rPr>
          <w:rFonts w:hint="eastAsia" w:cs="Times New Roman" w:eastAsiaTheme="minorEastAsia"/>
          <w:b/>
          <w:bCs/>
          <w:color w:val="auto"/>
          <w:sz w:val="21"/>
          <w:szCs w:val="21"/>
          <w:lang w:val="en-US" w:eastAsia="zh-CN"/>
        </w:rPr>
        <w:t>2类区拐点坐标一览表  坐标:WGS1984</w:t>
      </w:r>
    </w:p>
    <w:tbl>
      <w:tblPr>
        <w:tblStyle w:val="25"/>
        <w:tblW w:w="852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1613"/>
        <w:gridCol w:w="1500"/>
        <w:gridCol w:w="1150"/>
        <w:gridCol w:w="1422"/>
        <w:gridCol w:w="142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序号</w:t>
            </w:r>
          </w:p>
        </w:tc>
        <w:tc>
          <w:tcPr>
            <w:tcW w:w="1613"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X</w:t>
            </w:r>
          </w:p>
        </w:tc>
        <w:tc>
          <w:tcPr>
            <w:tcW w:w="1500"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Y</w:t>
            </w:r>
          </w:p>
        </w:tc>
        <w:tc>
          <w:tcPr>
            <w:tcW w:w="1150"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序号</w:t>
            </w:r>
          </w:p>
        </w:tc>
        <w:tc>
          <w:tcPr>
            <w:tcW w:w="1422"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X</w:t>
            </w:r>
          </w:p>
        </w:tc>
        <w:tc>
          <w:tcPr>
            <w:tcW w:w="1422"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Y</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528" w:type="dxa"/>
            <w:gridSpan w:val="6"/>
            <w:tcBorders>
              <w:tl2br w:val="nil"/>
              <w:tr2bl w:val="nil"/>
            </w:tcBorders>
          </w:tcPr>
          <w:p>
            <w:pPr>
              <w:keepNext w:val="0"/>
              <w:keepLines w:val="0"/>
              <w:suppressLineNumbers w:val="0"/>
              <w:spacing w:before="0" w:beforeLines="0" w:beforeAutospacing="0" w:after="0" w:afterLines="0" w:afterAutospacing="0"/>
              <w:ind w:left="0" w:right="0"/>
              <w:jc w:val="center"/>
              <w:rPr>
                <w:rFonts w:hint="eastAsia" w:ascii="宋体" w:hAnsi="宋体" w:eastAsia="宋体"/>
                <w:b/>
                <w:bCs/>
                <w:sz w:val="24"/>
                <w:highlight w:val="none"/>
                <w:vertAlign w:val="baseline"/>
                <w:lang w:val="en-US" w:eastAsia="zh-CN"/>
              </w:rPr>
            </w:pPr>
            <w:r>
              <w:rPr>
                <w:rFonts w:hint="eastAsia" w:ascii="宋体" w:hAnsi="宋体" w:eastAsia="宋体"/>
                <w:b/>
                <w:bCs/>
                <w:sz w:val="24"/>
                <w:highlight w:val="none"/>
                <w:vertAlign w:val="baseline"/>
                <w:lang w:val="en-US" w:eastAsia="zh-CN"/>
              </w:rPr>
              <w:t>2-Ⅰ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111.4667171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35.63565798</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111.4740942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35.646112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111.4650208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35.63578106</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111.4689199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35.64689284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111.4650208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35.63578106</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111.4740504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35.64611861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111.465651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35.64106119</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111.4590163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35.64145645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111.465651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35.64106119</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111.4589852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35.64145831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111.4590163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35.64145645</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111.4691471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35.65048244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111.4740942</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35.646112</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111.4691471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35.65048244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111.4729706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35.63520404</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111.469148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35.65048325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111.4667171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35.63565798</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111.4689199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35.64689284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111.4740504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35.64611861</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528" w:type="dxa"/>
            <w:gridSpan w:val="6"/>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sz w:val="24"/>
                <w:szCs w:val="24"/>
                <w:lang w:val="en-US" w:eastAsia="zh-CN"/>
              </w:rPr>
              <w:t>2-Ⅱ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111.4815109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35.61981197</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111.4827297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35.61813172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111.4815002</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35.62051602</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111.4825589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35.61879485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111.4809598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35.62076954</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111.4815127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35.61969769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111.4810146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35.6216455</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111.4815109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35.61981197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111.4810146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35.6216455</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111.490007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35.62623239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111.4810185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35.62170918</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111.4915657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35.6255836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111.4812414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35.62168692</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111.4915597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35.62556866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111.4812414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35.62168692</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111.4892894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35.62654891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111.4813913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35.62277656</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111.4893359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35.62651175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111.4813913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35.62277656</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111.490007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35.62623239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111.4813973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35.62282054</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111.4839955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35.62236127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111.4839955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35.62236127</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111.4841171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35.62783846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13</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111.4915597</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35.62556866</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111.4841171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35.62783846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14</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111.4901289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35.62202331</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111.4846111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35.62782552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15</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111.4877564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35.62125476</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111.4846111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35.62782552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16</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111.4856735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35.62170138</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111.4856473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35.62779836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17</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111.4850118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35.62184325</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111.4861358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35.62793352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18</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111.4856529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35.62034015</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111.4861358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35.62793352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19</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111.4853894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35.61835157</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111.4867968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35.62811641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20</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111.4851537</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35.6178052</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111.4871558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35.62825388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21</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111.4842253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35.61748479</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111.4871558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35.62825388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22</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111.4831902</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35.61719926</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111.4892894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35.62654891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528" w:type="dxa"/>
            <w:gridSpan w:val="6"/>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sz w:val="24"/>
                <w:szCs w:val="24"/>
                <w:lang w:val="en-US" w:eastAsia="zh-CN"/>
              </w:rPr>
              <w:t>2-Ⅲ</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111.4741626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35.62027248</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111.4686805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35.62287729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111.4742912</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35.61988361</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111.4670358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35.62304659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111.4742253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35.62027605</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111.4750695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35.6236952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111.4741626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35.62027248</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111.4751756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35.62367656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111.4747454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35.6203057</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111.4747454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35.6203057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111.4742253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35.62027605</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111.4706245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35.62447624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111.4742912</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35.61988361</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111.4750695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35.6236952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111.4736466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35.62019167</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111.4671201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35.62451228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111.4730654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35.62035563</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111.4705758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35.6244848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111.4724979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35.62081042</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111.4706245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35.62447624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111.4720554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35.62125612</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111.4670358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35.62304659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111.4716903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35.62141953</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111.4671197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35.62451228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13</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111.4708294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35.62158127</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111.4671201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35.62451228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14</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111.4688068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35.62232618</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528" w:type="dxa"/>
            <w:gridSpan w:val="6"/>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sz w:val="24"/>
                <w:szCs w:val="24"/>
                <w:highlight w:val="none"/>
                <w:lang w:val="en-US" w:eastAsia="zh-CN"/>
              </w:rPr>
              <w:t>2-Ⅳ</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111.4973912</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35.64469486</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111.4981243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35.64382485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111.4987875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35.64539649</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111.4973912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35.64469486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111.4993566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35.64455136</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528" w:type="dxa"/>
            <w:gridSpan w:val="6"/>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sz w:val="24"/>
                <w:szCs w:val="24"/>
                <w:lang w:val="en-US" w:eastAsia="zh-CN"/>
              </w:rPr>
              <w:t>2-Ⅴ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111.5015834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35.6352243</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111.5016726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35.6336479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111.5036654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35.63519455</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111.5015834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35.6352243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111.5035762</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35.63358842</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528" w:type="dxa"/>
            <w:gridSpan w:val="6"/>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sz w:val="24"/>
                <w:szCs w:val="24"/>
                <w:highlight w:val="none"/>
                <w:vertAlign w:val="baseline"/>
                <w:lang w:val="en-US" w:eastAsia="zh-CN"/>
              </w:rPr>
              <w:t>2-Ⅵ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111.4709966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35.66682051</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111.4709271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35.66602047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111.4717105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35.66672533</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111.4709966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35.66682051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111.4716629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35.66605908</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r>
    </w:tbl>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eastAsia" w:cs="Times New Roman" w:eastAsiaTheme="minorEastAsia"/>
          <w:color w:val="auto"/>
          <w:sz w:val="28"/>
          <w:szCs w:val="28"/>
          <w:lang w:val="en-US" w:eastAsia="zh-CN"/>
        </w:rPr>
        <w:t>5.7.3</w:t>
      </w:r>
      <w:r>
        <w:rPr>
          <w:rFonts w:hint="default" w:cs="Times New Roman" w:eastAsiaTheme="minorEastAsia"/>
          <w:color w:val="auto"/>
          <w:sz w:val="28"/>
          <w:szCs w:val="28"/>
          <w:lang w:val="en-US" w:eastAsia="zh-CN"/>
        </w:rPr>
        <w:t xml:space="preserve"> </w:t>
      </w:r>
      <w:r>
        <w:rPr>
          <w:rFonts w:hint="eastAsia" w:cs="Times New Roman" w:eastAsiaTheme="minorEastAsia"/>
          <w:color w:val="auto"/>
          <w:sz w:val="28"/>
          <w:szCs w:val="28"/>
          <w:lang w:val="en-US" w:eastAsia="zh-CN"/>
        </w:rPr>
        <w:t>“3类”区</w:t>
      </w:r>
    </w:p>
    <w:p>
      <w:pPr>
        <w:numPr>
          <w:ilvl w:val="0"/>
          <w:numId w:val="0"/>
        </w:numPr>
        <w:spacing w:beforeLines="0" w:afterLines="0"/>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3-Ⅰ区（8）总面积0.3km</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lang w:val="en-US" w:eastAsia="zh-CN"/>
        </w:rPr>
        <w:t>，地理位置范围：北至规划一街，东至曲绛线、南至城北大街，西北至吉祥路。</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3类区总面积0.3km</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eastAsiaTheme="minorEastAsia"/>
          <w:b/>
          <w:bCs/>
          <w:color w:val="auto"/>
          <w:sz w:val="21"/>
          <w:szCs w:val="21"/>
          <w:lang w:val="en-US" w:eastAsia="zh-CN"/>
        </w:rPr>
      </w:pPr>
      <w:r>
        <w:rPr>
          <w:rFonts w:hint="eastAsia" w:cs="Times New Roman" w:eastAsiaTheme="minorEastAsia"/>
          <w:b/>
          <w:bCs/>
          <w:color w:val="auto"/>
          <w:sz w:val="21"/>
          <w:szCs w:val="21"/>
          <w:lang w:val="en-US" w:eastAsia="zh-CN"/>
        </w:rPr>
        <w:t xml:space="preserve">表5-13  </w:t>
      </w:r>
      <w:r>
        <w:rPr>
          <w:rFonts w:hint="default" w:cs="Times New Roman" w:eastAsiaTheme="minorEastAsia"/>
          <w:b/>
          <w:bCs/>
          <w:color w:val="auto"/>
          <w:sz w:val="21"/>
          <w:szCs w:val="21"/>
          <w:lang w:val="en-US" w:eastAsia="zh-CN"/>
        </w:rPr>
        <w:t xml:space="preserve"> </w:t>
      </w:r>
      <w:r>
        <w:rPr>
          <w:rFonts w:hint="eastAsia" w:cs="Times New Roman" w:eastAsiaTheme="minorEastAsia"/>
          <w:b/>
          <w:bCs/>
          <w:color w:val="auto"/>
          <w:sz w:val="21"/>
          <w:szCs w:val="21"/>
          <w:lang w:val="en-US" w:eastAsia="zh-CN"/>
        </w:rPr>
        <w:t>3类区拐点坐标一览表  坐标:WGS1984</w:t>
      </w:r>
    </w:p>
    <w:tbl>
      <w:tblPr>
        <w:tblStyle w:val="25"/>
        <w:tblW w:w="852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1421"/>
        <w:gridCol w:w="1421"/>
        <w:gridCol w:w="1421"/>
        <w:gridCol w:w="1422"/>
        <w:gridCol w:w="142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序号</w:t>
            </w:r>
          </w:p>
        </w:tc>
        <w:tc>
          <w:tcPr>
            <w:tcW w:w="1421"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X</w:t>
            </w:r>
          </w:p>
        </w:tc>
        <w:tc>
          <w:tcPr>
            <w:tcW w:w="1421"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Y</w:t>
            </w:r>
          </w:p>
        </w:tc>
        <w:tc>
          <w:tcPr>
            <w:tcW w:w="1421"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序号</w:t>
            </w:r>
          </w:p>
        </w:tc>
        <w:tc>
          <w:tcPr>
            <w:tcW w:w="1422"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X</w:t>
            </w:r>
          </w:p>
        </w:tc>
        <w:tc>
          <w:tcPr>
            <w:tcW w:w="1422"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Y</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528" w:type="dxa"/>
            <w:gridSpan w:val="6"/>
            <w:tcBorders>
              <w:tl2br w:val="nil"/>
              <w:tr2bl w:val="nil"/>
            </w:tcBorders>
          </w:tcPr>
          <w:p>
            <w:pPr>
              <w:keepNext w:val="0"/>
              <w:keepLines w:val="0"/>
              <w:suppressLineNumbers w:val="0"/>
              <w:spacing w:before="0" w:beforeLines="0" w:beforeAutospacing="0" w:after="0" w:afterLines="0" w:afterAutospacing="0"/>
              <w:ind w:left="0" w:right="0"/>
              <w:jc w:val="center"/>
              <w:rPr>
                <w:rFonts w:hint="eastAsia" w:ascii="宋体" w:hAnsi="宋体" w:eastAsia="宋体"/>
                <w:b/>
                <w:bCs/>
                <w:sz w:val="24"/>
                <w:highlight w:val="none"/>
                <w:vertAlign w:val="baseline"/>
                <w:lang w:val="en-US" w:eastAsia="zh-CN"/>
              </w:rPr>
            </w:pPr>
            <w:r>
              <w:rPr>
                <w:rFonts w:hint="eastAsia" w:ascii="宋体" w:hAnsi="宋体" w:eastAsia="宋体"/>
                <w:b/>
                <w:bCs/>
                <w:sz w:val="24"/>
                <w:highlight w:val="none"/>
                <w:vertAlign w:val="baseline"/>
                <w:lang w:val="en-US" w:eastAsia="zh-CN"/>
              </w:rPr>
              <w:t>3-Ⅰ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111.490974</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35.6517019</w:t>
            </w:r>
          </w:p>
        </w:tc>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111.4905479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35.65331905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111.494807</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35.65161173</w:t>
            </w:r>
          </w:p>
        </w:tc>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111.4903481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35.65362548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111.490974</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35.6517019</w:t>
            </w:r>
          </w:p>
        </w:tc>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111.4896546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35.65405839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111.4908476</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35.65262255</w:t>
            </w:r>
          </w:p>
        </w:tc>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111.4885219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35.65455808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111.4907064</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35.65307585</w:t>
            </w:r>
          </w:p>
        </w:tc>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111.4950137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35.6564113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111.4907064</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35.65307585</w:t>
            </w:r>
          </w:p>
        </w:tc>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111.494807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35.65161173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111.4905479</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35.65331905</w:t>
            </w:r>
          </w:p>
        </w:tc>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111.4872474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35.65450659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111.4885219</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35.65455808</w:t>
            </w:r>
          </w:p>
        </w:tc>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111.4880739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35.6570365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111.4872412</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35.65448747</w:t>
            </w:r>
          </w:p>
        </w:tc>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111.4880739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35.6570365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111.4872474</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35.65450659</w:t>
            </w:r>
          </w:p>
        </w:tc>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111.4950137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35.6564113</w:t>
            </w:r>
          </w:p>
        </w:tc>
      </w:tr>
    </w:tbl>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0B5FD1"/>
          <w:sz w:val="28"/>
          <w:szCs w:val="28"/>
          <w:lang w:val="en-US" w:eastAsia="zh-CN"/>
        </w:rPr>
      </w:pPr>
      <w:r>
        <w:rPr>
          <w:rFonts w:hint="eastAsia" w:cs="Times New Roman" w:eastAsiaTheme="minorEastAsia"/>
          <w:color w:val="0B5FD1"/>
          <w:sz w:val="28"/>
          <w:szCs w:val="28"/>
          <w:lang w:val="en-US" w:eastAsia="zh-CN"/>
        </w:rPr>
        <w:t>5.7.4</w:t>
      </w:r>
      <w:r>
        <w:rPr>
          <w:rFonts w:hint="default" w:cs="Times New Roman" w:eastAsiaTheme="minorEastAsia"/>
          <w:color w:val="0B5FD1"/>
          <w:sz w:val="28"/>
          <w:szCs w:val="28"/>
          <w:lang w:val="en-US" w:eastAsia="zh-CN"/>
        </w:rPr>
        <w:t xml:space="preserve"> </w:t>
      </w:r>
      <w:r>
        <w:rPr>
          <w:rFonts w:hint="eastAsia" w:cs="Times New Roman" w:eastAsiaTheme="minorEastAsia"/>
          <w:color w:val="0B5FD1"/>
          <w:sz w:val="28"/>
          <w:szCs w:val="28"/>
          <w:lang w:val="en-US" w:eastAsia="zh-CN"/>
        </w:rPr>
        <w:t>“</w:t>
      </w:r>
      <w:r>
        <w:rPr>
          <w:rFonts w:hint="default" w:cs="Times New Roman" w:eastAsiaTheme="minorEastAsia"/>
          <w:color w:val="0B5FD1"/>
          <w:sz w:val="28"/>
          <w:szCs w:val="28"/>
          <w:lang w:val="en-US" w:eastAsia="zh-CN"/>
        </w:rPr>
        <w:t>4</w:t>
      </w:r>
      <w:r>
        <w:rPr>
          <w:rFonts w:hint="eastAsia" w:cs="Times New Roman" w:eastAsiaTheme="minorEastAsia"/>
          <w:color w:val="0B5FD1"/>
          <w:sz w:val="28"/>
          <w:szCs w:val="28"/>
          <w:lang w:val="en-US" w:eastAsia="zh-CN"/>
        </w:rPr>
        <w:t>类”区</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color w:val="0B5FD1"/>
          <w:sz w:val="24"/>
          <w:szCs w:val="24"/>
          <w:highlight w:val="none"/>
        </w:rPr>
      </w:pPr>
      <w:r>
        <w:rPr>
          <w:rFonts w:hint="default" w:ascii="宋体" w:hAnsi="宋体" w:eastAsia="宋体" w:cs="宋体"/>
          <w:color w:val="0B5FD1"/>
          <w:sz w:val="24"/>
          <w:szCs w:val="24"/>
          <w:highlight w:val="none"/>
        </w:rPr>
        <w:t xml:space="preserve">4 </w:t>
      </w:r>
      <w:r>
        <w:rPr>
          <w:rFonts w:hint="eastAsia" w:ascii="宋体" w:hAnsi="宋体" w:eastAsia="宋体" w:cs="宋体"/>
          <w:color w:val="0B5FD1"/>
          <w:sz w:val="24"/>
          <w:szCs w:val="24"/>
          <w:highlight w:val="none"/>
        </w:rPr>
        <w:t>类声环境功能区域是城市道路中交通干线两侧一定距离内区域和穿越城区的铁路用地两侧一定距离内区域。</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color w:val="0B5FD1"/>
          <w:sz w:val="24"/>
          <w:szCs w:val="24"/>
          <w:highlight w:val="none"/>
        </w:rPr>
      </w:pPr>
      <w:r>
        <w:rPr>
          <w:rFonts w:hint="eastAsia" w:ascii="宋体" w:hAnsi="宋体" w:eastAsia="宋体" w:cs="宋体"/>
          <w:color w:val="0B5FD1"/>
          <w:sz w:val="24"/>
          <w:szCs w:val="24"/>
          <w:highlight w:val="none"/>
        </w:rPr>
        <w:t>将道路红线（轨道交通用地范围、内河航道的河堤护栏或堤外坡脚）外一定距离内的区域划为</w:t>
      </w:r>
      <w:r>
        <w:rPr>
          <w:rFonts w:hint="default" w:ascii="宋体" w:hAnsi="宋体" w:eastAsia="宋体" w:cs="宋体"/>
          <w:color w:val="0B5FD1"/>
          <w:sz w:val="24"/>
          <w:szCs w:val="24"/>
          <w:highlight w:val="none"/>
        </w:rPr>
        <w:t>4a</w:t>
      </w:r>
      <w:r>
        <w:rPr>
          <w:rFonts w:hint="eastAsia" w:ascii="宋体" w:hAnsi="宋体" w:eastAsia="宋体" w:cs="宋体"/>
          <w:color w:val="0B5FD1"/>
          <w:sz w:val="24"/>
          <w:szCs w:val="24"/>
          <w:highlight w:val="none"/>
        </w:rPr>
        <w:t>类声环境功能区域。</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b/>
          <w:bCs/>
          <w:color w:val="0B5FD1"/>
          <w:sz w:val="24"/>
          <w:szCs w:val="24"/>
          <w:highlight w:val="none"/>
        </w:rPr>
      </w:pPr>
      <w:r>
        <w:rPr>
          <w:rFonts w:hint="eastAsia" w:ascii="宋体" w:hAnsi="宋体" w:eastAsia="宋体" w:cs="宋体"/>
          <w:b/>
          <w:bCs/>
          <w:color w:val="0B5FD1"/>
          <w:sz w:val="24"/>
          <w:szCs w:val="24"/>
          <w:highlight w:val="none"/>
        </w:rPr>
        <w:t>距离的确定方法如下：</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color w:val="0B5FD1"/>
          <w:sz w:val="24"/>
          <w:szCs w:val="24"/>
          <w:highlight w:val="none"/>
        </w:rPr>
      </w:pPr>
      <w:r>
        <w:rPr>
          <w:rFonts w:hint="eastAsia" w:ascii="宋体" w:hAnsi="宋体" w:eastAsia="宋体" w:cs="宋体"/>
          <w:color w:val="0B5FD1"/>
          <w:sz w:val="24"/>
          <w:szCs w:val="24"/>
          <w:highlight w:val="none"/>
        </w:rPr>
        <w:t>相邻区域为</w:t>
      </w:r>
      <w:r>
        <w:rPr>
          <w:rFonts w:hint="default" w:ascii="宋体" w:hAnsi="宋体" w:eastAsia="宋体" w:cs="宋体"/>
          <w:color w:val="0B5FD1"/>
          <w:sz w:val="24"/>
          <w:szCs w:val="24"/>
          <w:highlight w:val="none"/>
        </w:rPr>
        <w:t xml:space="preserve">1 </w:t>
      </w:r>
      <w:r>
        <w:rPr>
          <w:rFonts w:hint="eastAsia" w:ascii="宋体" w:hAnsi="宋体" w:eastAsia="宋体" w:cs="宋体"/>
          <w:color w:val="0B5FD1"/>
          <w:sz w:val="24"/>
          <w:szCs w:val="24"/>
          <w:highlight w:val="none"/>
        </w:rPr>
        <w:t>类标准适用区域，距离为</w:t>
      </w:r>
      <w:r>
        <w:rPr>
          <w:rFonts w:hint="default" w:ascii="宋体" w:hAnsi="宋体" w:eastAsia="宋体" w:cs="宋体"/>
          <w:color w:val="0B5FD1"/>
          <w:sz w:val="24"/>
          <w:szCs w:val="24"/>
          <w:highlight w:val="none"/>
        </w:rPr>
        <w:t>50m</w:t>
      </w:r>
      <w:r>
        <w:rPr>
          <w:rFonts w:hint="eastAsia" w:ascii="宋体" w:hAnsi="宋体" w:eastAsia="宋体" w:cs="宋体"/>
          <w:color w:val="0B5FD1"/>
          <w:sz w:val="24"/>
          <w:szCs w:val="24"/>
          <w:highlight w:val="none"/>
        </w:rPr>
        <w:t>；</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color w:val="0B5FD1"/>
          <w:sz w:val="24"/>
          <w:szCs w:val="24"/>
          <w:highlight w:val="none"/>
        </w:rPr>
      </w:pPr>
      <w:r>
        <w:rPr>
          <w:rFonts w:hint="eastAsia" w:ascii="宋体" w:hAnsi="宋体" w:eastAsia="宋体" w:cs="宋体"/>
          <w:color w:val="0B5FD1"/>
          <w:sz w:val="24"/>
          <w:szCs w:val="24"/>
          <w:highlight w:val="none"/>
        </w:rPr>
        <w:t>相邻区域为</w:t>
      </w:r>
      <w:r>
        <w:rPr>
          <w:rFonts w:hint="default" w:ascii="宋体" w:hAnsi="宋体" w:eastAsia="宋体" w:cs="宋体"/>
          <w:color w:val="0B5FD1"/>
          <w:sz w:val="24"/>
          <w:szCs w:val="24"/>
          <w:highlight w:val="none"/>
        </w:rPr>
        <w:t xml:space="preserve">2 </w:t>
      </w:r>
      <w:r>
        <w:rPr>
          <w:rFonts w:hint="eastAsia" w:ascii="宋体" w:hAnsi="宋体" w:eastAsia="宋体" w:cs="宋体"/>
          <w:color w:val="0B5FD1"/>
          <w:sz w:val="24"/>
          <w:szCs w:val="24"/>
          <w:highlight w:val="none"/>
        </w:rPr>
        <w:t>类标准适用区域，距离为</w:t>
      </w:r>
      <w:r>
        <w:rPr>
          <w:rFonts w:hint="default" w:ascii="宋体" w:hAnsi="宋体" w:eastAsia="宋体" w:cs="宋体"/>
          <w:color w:val="0B5FD1"/>
          <w:sz w:val="24"/>
          <w:szCs w:val="24"/>
          <w:highlight w:val="none"/>
        </w:rPr>
        <w:t>35m</w:t>
      </w:r>
      <w:r>
        <w:rPr>
          <w:rFonts w:hint="eastAsia" w:ascii="宋体" w:hAnsi="宋体" w:eastAsia="宋体" w:cs="宋体"/>
          <w:color w:val="0B5FD1"/>
          <w:sz w:val="24"/>
          <w:szCs w:val="24"/>
          <w:highlight w:val="none"/>
        </w:rPr>
        <w:t>；</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color w:val="0B5FD1"/>
          <w:sz w:val="24"/>
          <w:szCs w:val="24"/>
          <w:highlight w:val="none"/>
        </w:rPr>
      </w:pPr>
      <w:r>
        <w:rPr>
          <w:rFonts w:hint="eastAsia" w:ascii="宋体" w:hAnsi="宋体" w:eastAsia="宋体" w:cs="宋体"/>
          <w:color w:val="0B5FD1"/>
          <w:sz w:val="24"/>
          <w:szCs w:val="24"/>
          <w:highlight w:val="none"/>
        </w:rPr>
        <w:t>相邻区域为</w:t>
      </w:r>
      <w:r>
        <w:rPr>
          <w:rFonts w:hint="default" w:ascii="宋体" w:hAnsi="宋体" w:eastAsia="宋体" w:cs="宋体"/>
          <w:color w:val="0B5FD1"/>
          <w:sz w:val="24"/>
          <w:szCs w:val="24"/>
          <w:highlight w:val="none"/>
        </w:rPr>
        <w:t xml:space="preserve">3 </w:t>
      </w:r>
      <w:r>
        <w:rPr>
          <w:rFonts w:hint="eastAsia" w:ascii="宋体" w:hAnsi="宋体" w:eastAsia="宋体" w:cs="宋体"/>
          <w:color w:val="0B5FD1"/>
          <w:sz w:val="24"/>
          <w:szCs w:val="24"/>
          <w:highlight w:val="none"/>
        </w:rPr>
        <w:t>类标准适用区域，距离为</w:t>
      </w:r>
      <w:r>
        <w:rPr>
          <w:rFonts w:hint="default" w:ascii="宋体" w:hAnsi="宋体" w:eastAsia="宋体" w:cs="宋体"/>
          <w:color w:val="0B5FD1"/>
          <w:sz w:val="24"/>
          <w:szCs w:val="24"/>
          <w:highlight w:val="none"/>
        </w:rPr>
        <w:t>20m</w:t>
      </w:r>
      <w:r>
        <w:rPr>
          <w:rFonts w:hint="eastAsia" w:ascii="宋体" w:hAnsi="宋体" w:eastAsia="宋体" w:cs="宋体"/>
          <w:color w:val="0B5FD1"/>
          <w:sz w:val="24"/>
          <w:szCs w:val="24"/>
          <w:highlight w:val="none"/>
        </w:rPr>
        <w:t>。</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default" w:cs="Times New Roman" w:eastAsiaTheme="minorEastAsia"/>
          <w:color w:val="auto"/>
          <w:sz w:val="30"/>
          <w:szCs w:val="30"/>
          <w:highlight w:val="none"/>
          <w:lang w:val="en-US" w:eastAsia="zh-CN"/>
        </w:rPr>
      </w:pPr>
      <w:bookmarkStart w:id="28" w:name="_Toc24129"/>
      <w:r>
        <w:rPr>
          <w:rFonts w:hint="eastAsia" w:cs="Times New Roman" w:eastAsiaTheme="minorEastAsia"/>
          <w:color w:val="auto"/>
          <w:sz w:val="30"/>
          <w:szCs w:val="30"/>
          <w:highlight w:val="none"/>
          <w:lang w:val="en-US" w:eastAsia="zh-CN"/>
        </w:rPr>
        <w:t>5.8本次区划结果与上期区划结果对比</w:t>
      </w:r>
      <w:bookmarkEnd w:id="28"/>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上期方案区划范围总面积为1</w:t>
      </w:r>
      <w:r>
        <w:rPr>
          <w:rFonts w:hint="eastAsia" w:ascii="宋体" w:hAnsi="宋体" w:eastAsia="宋体" w:cs="宋体"/>
          <w:color w:val="auto"/>
          <w:sz w:val="24"/>
          <w:szCs w:val="24"/>
          <w:highlight w:val="none"/>
          <w:lang w:val="en-US" w:eastAsia="zh-CN"/>
        </w:rPr>
        <w:t>5.35km</w:t>
      </w:r>
      <w:r>
        <w:rPr>
          <w:rFonts w:hint="eastAsia" w:ascii="宋体" w:hAnsi="宋体" w:eastAsia="宋体" w:cs="宋体"/>
          <w:color w:val="auto"/>
          <w:sz w:val="24"/>
          <w:szCs w:val="24"/>
          <w:highlight w:val="none"/>
          <w:vertAlign w:val="superscript"/>
          <w:lang w:val="en-US" w:eastAsia="zh-CN"/>
        </w:rPr>
        <w:t>2</w:t>
      </w:r>
      <w:r>
        <w:rPr>
          <w:rFonts w:hint="eastAsia" w:ascii="宋体" w:hAnsi="宋体" w:eastAsia="宋体" w:cs="宋体"/>
          <w:color w:val="auto"/>
          <w:sz w:val="24"/>
          <w:szCs w:val="24"/>
          <w:highlight w:val="none"/>
        </w:rPr>
        <w:t>，本次区划范围总面积</w:t>
      </w:r>
      <w:r>
        <w:rPr>
          <w:rFonts w:hint="eastAsia" w:ascii="宋体" w:hAnsi="宋体" w:eastAsia="宋体" w:cs="宋体"/>
          <w:color w:val="auto"/>
          <w:sz w:val="24"/>
          <w:szCs w:val="24"/>
          <w:highlight w:val="none"/>
          <w:lang w:val="en-US" w:eastAsia="zh-CN"/>
        </w:rPr>
        <w:t>15.18m</w:t>
      </w:r>
      <w:r>
        <w:rPr>
          <w:rFonts w:hint="eastAsia" w:ascii="宋体" w:hAnsi="宋体" w:eastAsia="宋体" w:cs="宋体"/>
          <w:color w:val="auto"/>
          <w:sz w:val="24"/>
          <w:szCs w:val="24"/>
          <w:highlight w:val="none"/>
          <w:vertAlign w:val="superscript"/>
          <w:lang w:val="en-US" w:eastAsia="zh-CN"/>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面积</w:t>
      </w:r>
      <w:r>
        <w:rPr>
          <w:rFonts w:hint="eastAsia" w:ascii="宋体" w:hAnsi="宋体" w:eastAsia="宋体" w:cs="宋体"/>
          <w:color w:val="auto"/>
          <w:sz w:val="24"/>
          <w:szCs w:val="24"/>
          <w:highlight w:val="none"/>
          <w:lang w:val="en-US" w:eastAsia="zh-CN"/>
        </w:rPr>
        <w:t>减少0.17km</w:t>
      </w:r>
      <w:r>
        <w:rPr>
          <w:rFonts w:hint="eastAsia" w:ascii="宋体" w:hAnsi="宋体" w:eastAsia="宋体" w:cs="宋体"/>
          <w:color w:val="auto"/>
          <w:sz w:val="24"/>
          <w:szCs w:val="24"/>
          <w:highlight w:val="none"/>
          <w:vertAlign w:val="superscript"/>
          <w:lang w:val="en-US" w:eastAsia="zh-CN"/>
        </w:rPr>
        <w:t>2</w:t>
      </w:r>
      <w:r>
        <w:rPr>
          <w:rFonts w:hint="eastAsia" w:ascii="宋体" w:hAnsi="宋体" w:eastAsia="宋体" w:cs="宋体"/>
          <w:color w:val="auto"/>
          <w:sz w:val="24"/>
          <w:szCs w:val="24"/>
          <w:highlight w:val="none"/>
        </w:rPr>
        <w:t>。通过与原区划报告对照，</w:t>
      </w:r>
      <w:r>
        <w:rPr>
          <w:rFonts w:hint="eastAsia" w:ascii="宋体" w:hAnsi="宋体" w:eastAsia="宋体" w:cs="宋体"/>
          <w:color w:val="auto"/>
          <w:sz w:val="24"/>
          <w:szCs w:val="24"/>
          <w:highlight w:val="none"/>
          <w:lang w:val="en-US" w:eastAsia="zh-CN"/>
        </w:rPr>
        <w:t>①</w:t>
      </w:r>
      <w:r>
        <w:rPr>
          <w:rFonts w:hint="eastAsia" w:ascii="宋体" w:hAnsi="宋体" w:eastAsia="宋体" w:cs="宋体"/>
          <w:color w:val="auto"/>
          <w:sz w:val="24"/>
          <w:szCs w:val="24"/>
          <w:highlight w:val="none"/>
        </w:rPr>
        <w:t>两个</w:t>
      </w:r>
      <w:r>
        <w:rPr>
          <w:rFonts w:hint="eastAsia" w:ascii="宋体" w:hAnsi="宋体" w:eastAsia="宋体" w:cs="宋体"/>
          <w:color w:val="auto"/>
          <w:sz w:val="24"/>
          <w:szCs w:val="24"/>
          <w:highlight w:val="none"/>
          <w:lang w:val="en-US" w:eastAsia="zh-CN"/>
        </w:rPr>
        <w:t>位置</w:t>
      </w:r>
      <w:r>
        <w:rPr>
          <w:rFonts w:hint="eastAsia" w:ascii="宋体" w:hAnsi="宋体" w:eastAsia="宋体" w:cs="宋体"/>
          <w:color w:val="auto"/>
          <w:sz w:val="24"/>
          <w:szCs w:val="24"/>
          <w:highlight w:val="none"/>
        </w:rPr>
        <w:t>是由于总体规划</w:t>
      </w:r>
      <w:r>
        <w:rPr>
          <w:rFonts w:hint="eastAsia" w:ascii="宋体" w:hAnsi="宋体" w:eastAsia="宋体" w:cs="宋体"/>
          <w:color w:val="auto"/>
          <w:sz w:val="24"/>
          <w:szCs w:val="24"/>
          <w:highlight w:val="none"/>
          <w:lang w:val="en-US" w:eastAsia="zh-CN"/>
        </w:rPr>
        <w:t>范围</w:t>
      </w:r>
      <w:r>
        <w:rPr>
          <w:rFonts w:hint="eastAsia" w:ascii="宋体" w:hAnsi="宋体" w:eastAsia="宋体" w:cs="宋体"/>
          <w:color w:val="auto"/>
          <w:sz w:val="24"/>
          <w:szCs w:val="24"/>
          <w:highlight w:val="none"/>
        </w:rPr>
        <w:t>调整引起的变化</w:t>
      </w:r>
      <w:r>
        <w:rPr>
          <w:rFonts w:hint="eastAsia" w:ascii="宋体" w:hAnsi="宋体" w:eastAsia="宋体" w:cs="宋体"/>
          <w:color w:val="auto"/>
          <w:sz w:val="24"/>
          <w:szCs w:val="24"/>
          <w:highlight w:val="none"/>
          <w:lang w:val="en-US" w:eastAsia="zh-CN"/>
        </w:rPr>
        <w:t>②</w:t>
      </w:r>
      <w:r>
        <w:rPr>
          <w:rFonts w:hint="eastAsia" w:ascii="宋体" w:hAnsi="宋体" w:eastAsia="宋体" w:cs="宋体"/>
          <w:color w:val="auto"/>
          <w:sz w:val="24"/>
          <w:szCs w:val="24"/>
          <w:highlight w:val="none"/>
        </w:rPr>
        <w:t>两个</w:t>
      </w:r>
      <w:r>
        <w:rPr>
          <w:rFonts w:hint="eastAsia" w:ascii="宋体" w:hAnsi="宋体" w:eastAsia="宋体" w:cs="宋体"/>
          <w:color w:val="auto"/>
          <w:sz w:val="24"/>
          <w:szCs w:val="24"/>
          <w:highlight w:val="none"/>
          <w:lang w:val="en-US" w:eastAsia="zh-CN"/>
        </w:rPr>
        <w:t>位置</w:t>
      </w:r>
      <w:r>
        <w:rPr>
          <w:rFonts w:hint="eastAsia" w:ascii="宋体" w:hAnsi="宋体" w:eastAsia="宋体" w:cs="宋体"/>
          <w:color w:val="auto"/>
          <w:sz w:val="24"/>
          <w:szCs w:val="24"/>
          <w:highlight w:val="none"/>
        </w:rPr>
        <w:t>是由于土地利用类型调整引起的变化</w:t>
      </w:r>
      <w:r>
        <w:rPr>
          <w:rFonts w:hint="eastAsia" w:ascii="宋体" w:hAnsi="宋体" w:eastAsia="宋体" w:cs="宋体"/>
          <w:color w:val="auto"/>
          <w:sz w:val="24"/>
          <w:szCs w:val="24"/>
          <w:highlight w:val="none"/>
          <w:lang w:eastAsia="zh-CN"/>
        </w:rPr>
        <w:t>。</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cs="Times New Roman" w:eastAsiaTheme="minorEastAsia"/>
          <w:color w:val="auto"/>
          <w:sz w:val="28"/>
          <w:szCs w:val="28"/>
          <w:lang w:val="en-US" w:eastAsia="zh-CN"/>
        </w:rPr>
      </w:pPr>
      <w:r>
        <w:rPr>
          <w:rFonts w:hint="eastAsia" w:cs="Times New Roman" w:eastAsiaTheme="minorEastAsia"/>
          <w:color w:val="auto"/>
          <w:sz w:val="28"/>
          <w:szCs w:val="28"/>
          <w:lang w:val="en-US" w:eastAsia="zh-CN"/>
        </w:rPr>
        <w:t>5.8.1上期声环境功能区划结果</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（1）区划范围</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上期方案区划范围为根据《曲沃县县城总体规划（20</w:t>
      </w:r>
      <w:r>
        <w:rPr>
          <w:rFonts w:hint="eastAsia" w:ascii="宋体" w:hAnsi="宋体" w:eastAsia="宋体" w:cs="宋体"/>
          <w:color w:val="auto"/>
          <w:sz w:val="24"/>
          <w:szCs w:val="24"/>
          <w:lang w:val="en-US" w:eastAsia="zh-CN"/>
        </w:rPr>
        <w:t>07-</w:t>
      </w:r>
      <w:r>
        <w:rPr>
          <w:rFonts w:hint="eastAsia" w:ascii="宋体" w:hAnsi="宋体" w:eastAsia="宋体" w:cs="宋体"/>
          <w:color w:val="auto"/>
          <w:sz w:val="24"/>
          <w:szCs w:val="24"/>
        </w:rPr>
        <w:t>20</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0）》范围为主要依据</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最终确定此次区划总面积为15.35km</w:t>
      </w:r>
      <w:r>
        <w:rPr>
          <w:rFonts w:hint="eastAsia" w:ascii="宋体" w:hAnsi="宋体" w:eastAsia="宋体" w:cs="宋体"/>
          <w:color w:val="auto"/>
          <w:sz w:val="24"/>
          <w:szCs w:val="24"/>
          <w:vertAlign w:val="superscript"/>
        </w:rPr>
        <w:t>2</w:t>
      </w:r>
      <w:r>
        <w:rPr>
          <w:rFonts w:hint="eastAsia" w:ascii="宋体" w:hAnsi="宋体" w:eastAsia="宋体" w:cs="宋体"/>
          <w:color w:val="auto"/>
          <w:sz w:val="24"/>
          <w:szCs w:val="24"/>
        </w:rPr>
        <w:t>。具体范围为：北至宇晋路——G108——东许小学以南，西至曲郑路——</w:t>
      </w:r>
      <w:r>
        <w:rPr>
          <w:rFonts w:hint="eastAsia" w:ascii="宋体" w:hAnsi="宋体" w:eastAsia="宋体" w:cs="宋体"/>
          <w:color w:val="auto"/>
          <w:sz w:val="24"/>
          <w:szCs w:val="24"/>
          <w:lang w:eastAsia="zh-CN"/>
        </w:rPr>
        <w:t>新华北路</w:t>
      </w:r>
      <w:r>
        <w:rPr>
          <w:rFonts w:hint="eastAsia" w:ascii="宋体" w:hAnsi="宋体" w:eastAsia="宋体" w:cs="宋体"/>
          <w:color w:val="auto"/>
          <w:sz w:val="24"/>
          <w:szCs w:val="24"/>
        </w:rPr>
        <w:t>与</w:t>
      </w:r>
      <w:r>
        <w:rPr>
          <w:rFonts w:hint="eastAsia" w:ascii="宋体" w:hAnsi="宋体" w:eastAsia="宋体" w:cs="宋体"/>
          <w:color w:val="auto"/>
          <w:sz w:val="24"/>
          <w:szCs w:val="24"/>
          <w:lang w:eastAsia="zh-CN"/>
        </w:rPr>
        <w:t>新华南路</w:t>
      </w:r>
      <w:r>
        <w:rPr>
          <w:rFonts w:hint="eastAsia" w:ascii="宋体" w:hAnsi="宋体" w:eastAsia="宋体" w:cs="宋体"/>
          <w:color w:val="auto"/>
          <w:sz w:val="24"/>
          <w:szCs w:val="24"/>
        </w:rPr>
        <w:t>以西的规划区，南至三星焦化厂——吉利街——致富西街——致富东街（包括致富东街以南的规划区），东至S234及S234北沿。</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未调整之前曲沃县县城总体规划（中心城区用地现状图）见附图1</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（2）区划划分说明</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曲沃</w:t>
      </w:r>
      <w:r>
        <w:rPr>
          <w:rFonts w:hint="eastAsia" w:ascii="宋体" w:hAnsi="宋体" w:eastAsia="宋体" w:cs="宋体"/>
          <w:color w:val="auto"/>
          <w:sz w:val="24"/>
          <w:szCs w:val="24"/>
        </w:rPr>
        <w:t>县规划区划分为3类声环境功能适用区域。其中，无0类声环境功能适用区域，1类区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个，2 类区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个，沿城市道路两侧为4</w:t>
      </w:r>
      <w:r>
        <w:rPr>
          <w:rFonts w:hint="eastAsia" w:ascii="宋体" w:hAnsi="宋体" w:eastAsia="宋体" w:cs="宋体"/>
          <w:color w:val="auto"/>
          <w:sz w:val="24"/>
          <w:szCs w:val="24"/>
          <w:lang w:val="en-US" w:eastAsia="zh-CN"/>
        </w:rPr>
        <w:t>a</w:t>
      </w:r>
      <w:r>
        <w:rPr>
          <w:rFonts w:hint="eastAsia" w:ascii="宋体" w:hAnsi="宋体" w:eastAsia="宋体" w:cs="宋体"/>
          <w:color w:val="auto"/>
          <w:sz w:val="24"/>
          <w:szCs w:val="24"/>
        </w:rPr>
        <w:t>类区。</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0 类声环境功能适用区域</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无0 类区</w:t>
      </w:r>
      <w:r>
        <w:rPr>
          <w:rFonts w:hint="eastAsia" w:ascii="宋体" w:hAnsi="宋体" w:eastAsia="宋体" w:cs="宋体"/>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1 类区声环境功能适用区域 执行标准55—45dB（A）</w:t>
      </w:r>
    </w:p>
    <w:p>
      <w:pPr>
        <w:spacing w:beforeLines="0" w:afterLines="0"/>
        <w:jc w:val="left"/>
        <w:rPr>
          <w:rFonts w:hint="eastAsia" w:ascii="宋体" w:hAnsi="宋体" w:eastAsia="宋体" w:cs="宋体"/>
          <w:b/>
          <w:sz w:val="24"/>
          <w:szCs w:val="24"/>
        </w:rPr>
      </w:pPr>
      <w:r>
        <w:rPr>
          <w:rFonts w:hint="eastAsia" w:ascii="宋体" w:hAnsi="宋体" w:eastAsia="宋体" w:cs="宋体"/>
          <w:sz w:val="24"/>
          <w:szCs w:val="24"/>
        </w:rPr>
        <w:t>北至宇晋路</w:t>
      </w:r>
      <w:r>
        <w:rPr>
          <w:rFonts w:hint="eastAsia" w:ascii="宋体" w:hAnsi="宋体" w:eastAsia="宋体" w:cs="宋体"/>
          <w:sz w:val="24"/>
          <w:szCs w:val="24"/>
          <w:lang w:eastAsia="zh-CN"/>
        </w:rPr>
        <w:t>——</w:t>
      </w:r>
      <w:r>
        <w:rPr>
          <w:rFonts w:hint="eastAsia" w:ascii="宋体" w:hAnsi="宋体" w:eastAsia="宋体" w:cs="宋体"/>
          <w:sz w:val="24"/>
          <w:szCs w:val="24"/>
        </w:rPr>
        <w:t>G108——东许小学以南，西至曲郑路——</w:t>
      </w:r>
      <w:r>
        <w:rPr>
          <w:rFonts w:hint="eastAsia" w:ascii="宋体" w:hAnsi="宋体" w:eastAsia="宋体" w:cs="宋体"/>
          <w:sz w:val="24"/>
          <w:szCs w:val="24"/>
          <w:lang w:eastAsia="zh-CN"/>
        </w:rPr>
        <w:t>新华北路</w:t>
      </w:r>
      <w:r>
        <w:rPr>
          <w:rFonts w:hint="eastAsia" w:ascii="宋体" w:hAnsi="宋体" w:eastAsia="宋体" w:cs="宋体"/>
          <w:sz w:val="24"/>
          <w:szCs w:val="24"/>
        </w:rPr>
        <w:t>与</w:t>
      </w:r>
      <w:r>
        <w:rPr>
          <w:rFonts w:hint="eastAsia" w:ascii="宋体" w:hAnsi="宋体" w:eastAsia="宋体" w:cs="宋体"/>
          <w:sz w:val="24"/>
          <w:szCs w:val="24"/>
          <w:lang w:eastAsia="zh-CN"/>
        </w:rPr>
        <w:t>新华南路</w:t>
      </w:r>
      <w:r>
        <w:rPr>
          <w:rFonts w:hint="eastAsia" w:ascii="宋体" w:hAnsi="宋体" w:eastAsia="宋体" w:cs="宋体"/>
          <w:sz w:val="24"/>
          <w:szCs w:val="24"/>
        </w:rPr>
        <w:t>以西的规划区，南至三星焦化厂——吉利街——致富西街——致富东街（包括致富东街以南的规划区），东至S234及S234北沿。区域面积14.10km</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2 类声环境功能适用区域执行标准60-50dB(A)</w:t>
      </w:r>
    </w:p>
    <w:p>
      <w:pPr>
        <w:spacing w:beforeLines="0" w:afterLines="0"/>
        <w:jc w:val="left"/>
        <w:rPr>
          <w:rFonts w:hint="eastAsia" w:ascii="宋体" w:hAnsi="宋体" w:eastAsia="宋体" w:cs="宋体"/>
          <w:b/>
          <w:bCs/>
          <w:color w:val="auto"/>
          <w:sz w:val="24"/>
          <w:szCs w:val="24"/>
        </w:rPr>
      </w:pPr>
      <w:r>
        <w:rPr>
          <w:rFonts w:hint="eastAsia" w:ascii="宋体" w:hAnsi="宋体" w:eastAsia="宋体" w:cs="宋体"/>
          <w:sz w:val="24"/>
          <w:szCs w:val="24"/>
        </w:rPr>
        <w:t>城区中心区：北至</w:t>
      </w:r>
      <w:r>
        <w:rPr>
          <w:rFonts w:hint="eastAsia" w:ascii="宋体" w:hAnsi="宋体" w:eastAsia="宋体" w:cs="宋体"/>
          <w:sz w:val="24"/>
          <w:szCs w:val="24"/>
          <w:lang w:eastAsia="zh-CN"/>
        </w:rPr>
        <w:t>新华北路</w:t>
      </w:r>
      <w:r>
        <w:rPr>
          <w:rFonts w:hint="eastAsia" w:ascii="宋体" w:hAnsi="宋体" w:eastAsia="宋体" w:cs="宋体"/>
          <w:sz w:val="24"/>
          <w:szCs w:val="24"/>
        </w:rPr>
        <w:t>——晋都北路——文公大街，西至</w:t>
      </w:r>
      <w:r>
        <w:rPr>
          <w:rFonts w:hint="eastAsia" w:ascii="宋体" w:hAnsi="宋体" w:eastAsia="宋体" w:cs="宋体"/>
          <w:sz w:val="24"/>
          <w:szCs w:val="24"/>
          <w:lang w:eastAsia="zh-CN"/>
        </w:rPr>
        <w:t>新华南路</w:t>
      </w:r>
      <w:r>
        <w:rPr>
          <w:rFonts w:hint="eastAsia" w:ascii="宋体" w:hAnsi="宋体" w:eastAsia="宋体" w:cs="宋体"/>
          <w:sz w:val="24"/>
          <w:szCs w:val="24"/>
        </w:rPr>
        <w:t>——府西街——太和路，南至贡院西街——贡院东街，东至浍滨北路——文明街——五一路——府东街——浍滨南路。区域面积1.25km</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3类声环境功能适用区域 执行标准65—55dB（A）</w:t>
      </w:r>
    </w:p>
    <w:p>
      <w:pPr>
        <w:spacing w:beforeLines="0" w:afterLines="0"/>
        <w:jc w:val="left"/>
        <w:rPr>
          <w:rFonts w:hint="eastAsia" w:ascii="宋体" w:hAnsi="宋体" w:eastAsia="宋体" w:cs="宋体"/>
          <w:sz w:val="24"/>
          <w:szCs w:val="24"/>
          <w:lang w:eastAsia="zh-CN"/>
        </w:rPr>
      </w:pPr>
      <w:r>
        <w:rPr>
          <w:rFonts w:hint="eastAsia" w:ascii="宋体" w:hAnsi="宋体" w:eastAsia="宋体" w:cs="宋体"/>
          <w:sz w:val="24"/>
          <w:szCs w:val="24"/>
        </w:rPr>
        <w:t>无3 类区</w:t>
      </w:r>
      <w:r>
        <w:rPr>
          <w:rFonts w:hint="eastAsia" w:ascii="宋体" w:hAnsi="宋体" w:eastAsia="宋体" w:cs="宋体"/>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4类声环境功能区适用范围 执行标准70—55dB（A）</w:t>
      </w:r>
    </w:p>
    <w:p>
      <w:pPr>
        <w:keepNext w:val="0"/>
        <w:keepLines w:val="0"/>
        <w:pageBreakBefore w:val="0"/>
        <w:widowControl w:val="0"/>
        <w:kinsoku/>
        <w:wordWrap/>
        <w:overflowPunct/>
        <w:topLinePunct w:val="0"/>
        <w:autoSpaceDE/>
        <w:autoSpaceDN/>
        <w:bidi w:val="0"/>
        <w:adjustRightInd/>
        <w:snapToGrid/>
        <w:ind w:firstLine="56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以城市主干道及支线一定距离内的区域划为4a 类声环境功能区域。其中：</w:t>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城市主干道5条，城市次干道5条，国道2 条，省道1 条，支路2条。包括府西街、府东街、贡院西街、贡院东街、文公大街、北大街、南大街、</w:t>
      </w:r>
      <w:r>
        <w:rPr>
          <w:rFonts w:hint="eastAsia" w:ascii="宋体" w:hAnsi="宋体" w:eastAsia="宋体" w:cs="宋体"/>
          <w:color w:val="auto"/>
          <w:sz w:val="24"/>
          <w:szCs w:val="24"/>
          <w:lang w:eastAsia="zh-CN"/>
        </w:rPr>
        <w:t>新华北路</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新华南路</w:t>
      </w:r>
      <w:r>
        <w:rPr>
          <w:rFonts w:hint="eastAsia" w:ascii="宋体" w:hAnsi="宋体" w:eastAsia="宋体" w:cs="宋体"/>
          <w:color w:val="auto"/>
          <w:sz w:val="24"/>
          <w:szCs w:val="24"/>
        </w:rPr>
        <w:t>、S234、浍滨北路、浍滨南路、绛山路、兴隆东街、太和路。其中，相邻区域为1类声环境功能区域，距离为50m；相邻区域为2类声环境功能区域，距离为30m；相邻区域为3类声环境功能区域，距离为20m。</w:t>
      </w:r>
    </w:p>
    <w:p>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color w:val="auto"/>
          <w:sz w:val="24"/>
          <w:szCs w:val="24"/>
          <w:highlight w:val="red"/>
          <w:lang w:eastAsia="zh-CN"/>
        </w:rPr>
      </w:pPr>
      <w:r>
        <w:rPr>
          <w:rFonts w:hint="eastAsia" w:ascii="宋体" w:hAnsi="宋体" w:eastAsia="宋体" w:cs="宋体"/>
          <w:color w:val="auto"/>
          <w:sz w:val="24"/>
          <w:szCs w:val="24"/>
        </w:rPr>
        <w:t>上期</w:t>
      </w:r>
      <w:r>
        <w:rPr>
          <w:rFonts w:hint="eastAsia" w:ascii="宋体" w:hAnsi="宋体" w:eastAsia="宋体" w:cs="宋体"/>
          <w:color w:val="auto"/>
          <w:sz w:val="24"/>
          <w:szCs w:val="24"/>
          <w:lang w:val="en-US" w:eastAsia="zh-CN"/>
        </w:rPr>
        <w:t>曲沃县</w:t>
      </w:r>
      <w:r>
        <w:rPr>
          <w:rFonts w:hint="eastAsia" w:ascii="宋体" w:hAnsi="宋体" w:eastAsia="宋体" w:cs="宋体"/>
          <w:color w:val="auto"/>
          <w:sz w:val="24"/>
          <w:szCs w:val="24"/>
        </w:rPr>
        <w:t>城市区域声环境功能区划分结果图见附图1</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5.8.2 本期区划与上期区划差异性分析</w:t>
      </w:r>
    </w:p>
    <w:p>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曲沃县</w:t>
      </w:r>
      <w:r>
        <w:rPr>
          <w:rFonts w:hint="eastAsia" w:ascii="宋体" w:hAnsi="宋体" w:eastAsia="宋体" w:cs="宋体"/>
          <w:color w:val="auto"/>
          <w:sz w:val="24"/>
          <w:szCs w:val="24"/>
          <w:lang w:eastAsia="zh-CN"/>
        </w:rPr>
        <w:t>现行规划为《</w:t>
      </w:r>
      <w:r>
        <w:rPr>
          <w:rFonts w:hint="eastAsia" w:ascii="宋体" w:hAnsi="宋体" w:eastAsia="宋体" w:cs="宋体"/>
          <w:color w:val="auto"/>
          <w:sz w:val="24"/>
          <w:szCs w:val="24"/>
          <w:lang w:val="en-US" w:eastAsia="zh-CN"/>
        </w:rPr>
        <w:t>临汾市曲沃县县城</w:t>
      </w:r>
      <w:r>
        <w:rPr>
          <w:rFonts w:hint="eastAsia" w:ascii="宋体" w:hAnsi="宋体" w:eastAsia="宋体" w:cs="宋体"/>
          <w:color w:val="auto"/>
          <w:sz w:val="24"/>
          <w:szCs w:val="24"/>
        </w:rPr>
        <w:t>总体规划（20</w:t>
      </w:r>
      <w:r>
        <w:rPr>
          <w:rFonts w:hint="eastAsia" w:ascii="宋体" w:hAnsi="宋体" w:eastAsia="宋体" w:cs="宋体"/>
          <w:color w:val="auto"/>
          <w:sz w:val="24"/>
          <w:szCs w:val="24"/>
          <w:lang w:val="en-US" w:eastAsia="zh-CN"/>
        </w:rPr>
        <w:t>14</w:t>
      </w:r>
      <w:r>
        <w:rPr>
          <w:rFonts w:hint="eastAsia" w:ascii="宋体" w:hAnsi="宋体" w:eastAsia="宋体" w:cs="宋体"/>
          <w:color w:val="auto"/>
          <w:sz w:val="24"/>
          <w:szCs w:val="24"/>
        </w:rPr>
        <w:t>-20</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0）</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编制于2014年12月，近期规划期限为2014-2020年，</w:t>
      </w:r>
      <w:r>
        <w:rPr>
          <w:rFonts w:hint="eastAsia" w:ascii="宋体" w:hAnsi="宋体" w:eastAsia="宋体" w:cs="宋体"/>
          <w:color w:val="auto"/>
          <w:sz w:val="24"/>
          <w:szCs w:val="24"/>
          <w:lang w:eastAsia="zh-CN"/>
        </w:rPr>
        <w:t>远期规划</w:t>
      </w:r>
      <w:r>
        <w:rPr>
          <w:rFonts w:hint="eastAsia" w:ascii="宋体" w:hAnsi="宋体" w:eastAsia="宋体" w:cs="宋体"/>
          <w:color w:val="auto"/>
          <w:sz w:val="24"/>
          <w:szCs w:val="24"/>
          <w:lang w:val="en-US" w:eastAsia="zh-CN"/>
        </w:rPr>
        <w:t>为2021-2030</w:t>
      </w:r>
      <w:r>
        <w:rPr>
          <w:rFonts w:hint="eastAsia" w:ascii="宋体" w:hAnsi="宋体" w:eastAsia="宋体" w:cs="宋体"/>
          <w:color w:val="auto"/>
          <w:sz w:val="24"/>
          <w:szCs w:val="24"/>
          <w:lang w:eastAsia="zh-CN"/>
        </w:rPr>
        <w:t>年；《临汾市曲沃县县城总体规划（2014-2030）》于201</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lang w:eastAsia="zh-CN"/>
        </w:rPr>
        <w:t>年</w:t>
      </w:r>
      <w:r>
        <w:rPr>
          <w:rFonts w:hint="eastAsia" w:ascii="宋体" w:hAnsi="宋体" w:eastAsia="宋体" w:cs="宋体"/>
          <w:color w:val="auto"/>
          <w:sz w:val="24"/>
          <w:szCs w:val="24"/>
          <w:lang w:val="en-US" w:eastAsia="zh-CN"/>
        </w:rPr>
        <w:t>进行了更新</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本区划基准年为2019年，</w:t>
      </w:r>
      <w:r>
        <w:rPr>
          <w:rFonts w:hint="eastAsia" w:ascii="宋体" w:hAnsi="宋体" w:eastAsia="宋体" w:cs="宋体"/>
          <w:color w:val="auto"/>
          <w:sz w:val="24"/>
          <w:szCs w:val="24"/>
          <w:lang w:eastAsia="zh-CN"/>
        </w:rPr>
        <w:t>因此，本区划</w:t>
      </w:r>
      <w:r>
        <w:rPr>
          <w:rFonts w:hint="eastAsia" w:ascii="宋体" w:hAnsi="宋体" w:eastAsia="宋体" w:cs="宋体"/>
          <w:color w:val="auto"/>
          <w:sz w:val="24"/>
          <w:szCs w:val="24"/>
        </w:rPr>
        <w:t>根据《曲沃县城市总体规划（2014-2030年）》用地类型与现场调研核实，确定曲沃县土地利用现状，明确该地块的面积及使用功能</w:t>
      </w:r>
      <w:r>
        <w:rPr>
          <w:rFonts w:hint="eastAsia" w:ascii="宋体" w:hAnsi="宋体" w:eastAsia="宋体" w:cs="宋体"/>
          <w:color w:val="auto"/>
          <w:sz w:val="24"/>
          <w:szCs w:val="24"/>
          <w:lang w:val="en-US" w:eastAsia="zh-CN"/>
        </w:rPr>
        <w:t>为参考依据</w:t>
      </w:r>
      <w:r>
        <w:rPr>
          <w:rFonts w:hint="eastAsia" w:ascii="宋体" w:hAnsi="宋体" w:eastAsia="宋体" w:cs="宋体"/>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通过对</w:t>
      </w:r>
      <w:r>
        <w:rPr>
          <w:rFonts w:hint="eastAsia" w:ascii="宋体" w:hAnsi="宋体" w:eastAsia="宋体" w:cs="宋体"/>
          <w:color w:val="auto"/>
          <w:sz w:val="24"/>
          <w:szCs w:val="24"/>
          <w:lang w:val="en-US" w:eastAsia="zh-CN"/>
        </w:rPr>
        <w:t>总体规划范围、土地利用类型</w:t>
      </w:r>
      <w:r>
        <w:rPr>
          <w:rFonts w:hint="eastAsia" w:ascii="宋体" w:hAnsi="宋体" w:eastAsia="宋体" w:cs="宋体"/>
          <w:color w:val="auto"/>
          <w:sz w:val="24"/>
          <w:szCs w:val="24"/>
          <w:lang w:eastAsia="zh-CN"/>
        </w:rPr>
        <w:t>与现状建</w:t>
      </w:r>
      <w:r>
        <w:rPr>
          <w:rFonts w:hint="eastAsia" w:ascii="宋体" w:hAnsi="宋体" w:eastAsia="宋体" w:cs="宋体"/>
          <w:color w:val="auto"/>
          <w:sz w:val="24"/>
          <w:szCs w:val="24"/>
          <w:lang w:val="en-US" w:eastAsia="zh-CN"/>
        </w:rPr>
        <w:t>设</w:t>
      </w:r>
      <w:r>
        <w:rPr>
          <w:rFonts w:hint="eastAsia" w:ascii="宋体" w:hAnsi="宋体" w:eastAsia="宋体" w:cs="宋体"/>
          <w:color w:val="auto"/>
          <w:sz w:val="24"/>
          <w:szCs w:val="24"/>
          <w:lang w:eastAsia="zh-CN"/>
        </w:rPr>
        <w:t>情况分析比较，</w:t>
      </w:r>
      <w:r>
        <w:rPr>
          <w:rFonts w:hint="eastAsia" w:ascii="宋体" w:hAnsi="宋体" w:eastAsia="宋体" w:cs="宋体"/>
          <w:color w:val="auto"/>
          <w:sz w:val="24"/>
          <w:szCs w:val="24"/>
          <w:lang w:val="en-US" w:eastAsia="zh-CN"/>
        </w:rPr>
        <w:t>本次规划范围比上期规划范围减少0.17km</w:t>
      </w:r>
      <w:r>
        <w:rPr>
          <w:rFonts w:hint="eastAsia" w:ascii="宋体" w:hAnsi="宋体" w:eastAsia="宋体" w:cs="宋体"/>
          <w:color w:val="auto"/>
          <w:sz w:val="24"/>
          <w:szCs w:val="24"/>
          <w:vertAlign w:val="superscript"/>
          <w:lang w:val="en-US" w:eastAsia="zh-CN"/>
        </w:rPr>
        <w:t>2</w:t>
      </w:r>
      <w:r>
        <w:rPr>
          <w:rFonts w:hint="eastAsia" w:ascii="宋体" w:hAnsi="宋体" w:eastAsia="宋体" w:cs="宋体"/>
          <w:color w:val="auto"/>
          <w:sz w:val="24"/>
          <w:szCs w:val="24"/>
          <w:lang w:val="en-US" w:eastAsia="zh-CN"/>
        </w:rPr>
        <w:t>，曲沃县</w:t>
      </w:r>
      <w:r>
        <w:rPr>
          <w:rFonts w:hint="eastAsia" w:ascii="宋体" w:hAnsi="宋体" w:eastAsia="宋体" w:cs="宋体"/>
          <w:color w:val="auto"/>
          <w:sz w:val="24"/>
          <w:szCs w:val="24"/>
          <w:lang w:eastAsia="zh-CN"/>
        </w:rPr>
        <w:t>城市</w:t>
      </w:r>
      <w:r>
        <w:rPr>
          <w:rFonts w:hint="eastAsia" w:ascii="宋体" w:hAnsi="宋体" w:eastAsia="宋体" w:cs="宋体"/>
          <w:color w:val="auto"/>
          <w:sz w:val="24"/>
          <w:szCs w:val="24"/>
          <w:lang w:val="en-US" w:eastAsia="zh-CN"/>
        </w:rPr>
        <w:t>实际建设用地中</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部分地块用地类型</w:t>
      </w:r>
      <w:r>
        <w:rPr>
          <w:rFonts w:hint="eastAsia" w:ascii="宋体" w:hAnsi="宋体" w:eastAsia="宋体" w:cs="宋体"/>
          <w:color w:val="auto"/>
          <w:sz w:val="24"/>
          <w:szCs w:val="24"/>
          <w:lang w:eastAsia="zh-CN"/>
        </w:rPr>
        <w:t>与</w:t>
      </w:r>
      <w:r>
        <w:rPr>
          <w:rFonts w:hint="eastAsia" w:ascii="宋体" w:hAnsi="宋体" w:eastAsia="宋体" w:cs="宋体"/>
          <w:color w:val="auto"/>
          <w:sz w:val="24"/>
          <w:szCs w:val="24"/>
          <w:lang w:val="en-US" w:eastAsia="zh-CN"/>
        </w:rPr>
        <w:t>规划</w:t>
      </w:r>
      <w:r>
        <w:rPr>
          <w:rFonts w:hint="eastAsia" w:ascii="宋体" w:hAnsi="宋体" w:eastAsia="宋体" w:cs="宋体"/>
          <w:color w:val="auto"/>
          <w:sz w:val="24"/>
          <w:szCs w:val="24"/>
          <w:lang w:eastAsia="zh-CN"/>
        </w:rPr>
        <w:t>存在差异，针对二者存在差异的</w:t>
      </w:r>
      <w:r>
        <w:rPr>
          <w:rFonts w:hint="eastAsia" w:ascii="宋体" w:hAnsi="宋体" w:eastAsia="宋体" w:cs="宋体"/>
          <w:color w:val="auto"/>
          <w:sz w:val="24"/>
          <w:szCs w:val="24"/>
          <w:lang w:val="en-US" w:eastAsia="zh-CN"/>
        </w:rPr>
        <w:t>地块</w:t>
      </w:r>
      <w:r>
        <w:rPr>
          <w:rFonts w:hint="eastAsia" w:ascii="宋体" w:hAnsi="宋体" w:eastAsia="宋体" w:cs="宋体"/>
          <w:color w:val="auto"/>
          <w:sz w:val="24"/>
          <w:szCs w:val="24"/>
          <w:lang w:eastAsia="zh-CN"/>
        </w:rPr>
        <w:t>，本区划以</w:t>
      </w:r>
      <w:r>
        <w:rPr>
          <w:rFonts w:hint="eastAsia" w:ascii="宋体" w:hAnsi="宋体" w:eastAsia="宋体" w:cs="宋体"/>
          <w:color w:val="auto"/>
          <w:sz w:val="24"/>
          <w:szCs w:val="24"/>
          <w:lang w:val="en-US" w:eastAsia="zh-CN"/>
        </w:rPr>
        <w:t>用地类型与</w:t>
      </w:r>
      <w:r>
        <w:rPr>
          <w:rFonts w:hint="eastAsia" w:ascii="宋体" w:hAnsi="宋体" w:eastAsia="宋体" w:cs="宋体"/>
          <w:color w:val="auto"/>
          <w:sz w:val="24"/>
          <w:szCs w:val="24"/>
          <w:lang w:eastAsia="zh-CN"/>
        </w:rPr>
        <w:t>实际建设情况</w:t>
      </w:r>
      <w:r>
        <w:rPr>
          <w:rFonts w:hint="eastAsia" w:ascii="宋体" w:hAnsi="宋体" w:eastAsia="宋体" w:cs="宋体"/>
          <w:color w:val="auto"/>
          <w:sz w:val="24"/>
          <w:szCs w:val="24"/>
          <w:lang w:val="en-US" w:eastAsia="zh-CN"/>
        </w:rPr>
        <w:t>相结合</w:t>
      </w:r>
      <w:r>
        <w:rPr>
          <w:rFonts w:hint="eastAsia" w:ascii="宋体" w:hAnsi="宋体" w:eastAsia="宋体" w:cs="宋体"/>
          <w:color w:val="auto"/>
          <w:sz w:val="24"/>
          <w:szCs w:val="24"/>
          <w:lang w:eastAsia="zh-CN"/>
        </w:rPr>
        <w:t>。对于区划</w:t>
      </w:r>
      <w:r>
        <w:rPr>
          <w:rFonts w:hint="eastAsia" w:ascii="宋体" w:hAnsi="宋体" w:eastAsia="宋体" w:cs="宋体"/>
          <w:color w:val="auto"/>
          <w:sz w:val="24"/>
          <w:szCs w:val="24"/>
          <w:lang w:val="en-US" w:eastAsia="zh-CN"/>
        </w:rPr>
        <w:t>范围内</w:t>
      </w:r>
      <w:r>
        <w:rPr>
          <w:rFonts w:hint="eastAsia" w:ascii="宋体" w:hAnsi="宋体" w:eastAsia="宋体" w:cs="宋体"/>
          <w:color w:val="auto"/>
          <w:sz w:val="24"/>
          <w:szCs w:val="24"/>
          <w:lang w:eastAsia="zh-CN"/>
        </w:rPr>
        <w:t>的</w:t>
      </w:r>
      <w:r>
        <w:rPr>
          <w:rFonts w:hint="eastAsia" w:ascii="宋体" w:hAnsi="宋体" w:eastAsia="宋体" w:cs="宋体"/>
          <w:color w:val="auto"/>
          <w:sz w:val="24"/>
          <w:szCs w:val="24"/>
          <w:lang w:val="en-US" w:eastAsia="zh-CN"/>
        </w:rPr>
        <w:t>未利用</w:t>
      </w:r>
      <w:r>
        <w:rPr>
          <w:rFonts w:hint="eastAsia" w:ascii="宋体" w:hAnsi="宋体" w:eastAsia="宋体" w:cs="宋体"/>
          <w:color w:val="auto"/>
          <w:sz w:val="24"/>
          <w:szCs w:val="24"/>
          <w:lang w:eastAsia="zh-CN"/>
        </w:rPr>
        <w:t>土地，结合该</w:t>
      </w:r>
      <w:r>
        <w:rPr>
          <w:rFonts w:hint="eastAsia" w:ascii="宋体" w:hAnsi="宋体" w:eastAsia="宋体" w:cs="宋体"/>
          <w:color w:val="auto"/>
          <w:sz w:val="24"/>
          <w:szCs w:val="24"/>
          <w:lang w:val="en-US" w:eastAsia="zh-CN"/>
        </w:rPr>
        <w:t>土地</w:t>
      </w:r>
      <w:r>
        <w:rPr>
          <w:rFonts w:hint="eastAsia" w:ascii="宋体" w:hAnsi="宋体" w:eastAsia="宋体" w:cs="宋体"/>
          <w:color w:val="auto"/>
          <w:sz w:val="24"/>
          <w:szCs w:val="24"/>
          <w:lang w:eastAsia="zh-CN"/>
        </w:rPr>
        <w:t>的</w:t>
      </w:r>
      <w:r>
        <w:rPr>
          <w:rFonts w:hint="eastAsia" w:ascii="宋体" w:hAnsi="宋体" w:eastAsia="宋体" w:cs="宋体"/>
          <w:color w:val="auto"/>
          <w:sz w:val="24"/>
          <w:szCs w:val="24"/>
          <w:lang w:val="en-US" w:eastAsia="zh-CN"/>
        </w:rPr>
        <w:t>规划用地类型，综合</w:t>
      </w:r>
      <w:r>
        <w:rPr>
          <w:rFonts w:hint="eastAsia" w:ascii="宋体" w:hAnsi="宋体" w:eastAsia="宋体" w:cs="宋体"/>
          <w:color w:val="auto"/>
          <w:sz w:val="24"/>
          <w:szCs w:val="24"/>
          <w:lang w:eastAsia="zh-CN"/>
        </w:rPr>
        <w:t>考虑其后续发展</w:t>
      </w:r>
      <w:r>
        <w:rPr>
          <w:rFonts w:hint="eastAsia" w:ascii="宋体" w:hAnsi="宋体" w:eastAsia="宋体" w:cs="宋体"/>
          <w:color w:val="auto"/>
          <w:sz w:val="24"/>
          <w:szCs w:val="24"/>
          <w:lang w:val="en-US" w:eastAsia="zh-CN"/>
        </w:rPr>
        <w:t>的用地类型</w:t>
      </w:r>
      <w:r>
        <w:rPr>
          <w:rFonts w:hint="eastAsia" w:ascii="宋体" w:hAnsi="宋体" w:eastAsia="宋体" w:cs="宋体"/>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color w:val="0B5FD1"/>
          <w:sz w:val="24"/>
          <w:szCs w:val="24"/>
          <w:lang w:eastAsia="zh-CN"/>
        </w:rPr>
      </w:pPr>
      <w:r>
        <w:rPr>
          <w:rFonts w:hint="eastAsia" w:ascii="宋体" w:hAnsi="宋体" w:eastAsia="宋体" w:cs="宋体"/>
          <w:color w:val="0B5FD1"/>
          <w:sz w:val="24"/>
          <w:szCs w:val="24"/>
        </w:rPr>
        <w:t>本次声环境功能区划分完成后，区划与上次区划结果的差异性主要体现在</w:t>
      </w:r>
      <w:r>
        <w:rPr>
          <w:rFonts w:hint="eastAsia" w:ascii="宋体" w:hAnsi="宋体" w:eastAsia="宋体" w:cs="宋体"/>
          <w:color w:val="0B5FD1"/>
          <w:sz w:val="24"/>
          <w:szCs w:val="24"/>
          <w:lang w:val="en-US" w:eastAsia="zh-CN"/>
        </w:rPr>
        <w:t>三</w:t>
      </w:r>
      <w:r>
        <w:rPr>
          <w:rFonts w:hint="eastAsia" w:ascii="宋体" w:hAnsi="宋体" w:eastAsia="宋体" w:cs="宋体"/>
          <w:color w:val="0B5FD1"/>
          <w:sz w:val="24"/>
          <w:szCs w:val="24"/>
        </w:rPr>
        <w:t>个</w:t>
      </w:r>
      <w:r>
        <w:rPr>
          <w:rFonts w:hint="eastAsia" w:ascii="宋体" w:hAnsi="宋体" w:eastAsia="宋体" w:cs="宋体"/>
          <w:color w:val="0B5FD1"/>
          <w:sz w:val="24"/>
          <w:szCs w:val="24"/>
          <w:lang w:val="en-US" w:eastAsia="zh-CN"/>
        </w:rPr>
        <w:t>位置</w:t>
      </w:r>
      <w:r>
        <w:rPr>
          <w:rFonts w:hint="eastAsia" w:ascii="宋体" w:hAnsi="宋体" w:eastAsia="宋体" w:cs="宋体"/>
          <w:color w:val="0B5FD1"/>
          <w:sz w:val="24"/>
          <w:szCs w:val="24"/>
        </w:rPr>
        <w:t>，</w:t>
      </w:r>
      <w:r>
        <w:rPr>
          <w:rFonts w:hint="eastAsia" w:ascii="宋体" w:hAnsi="宋体" w:eastAsia="宋体" w:cs="宋体"/>
          <w:color w:val="0B5FD1"/>
          <w:sz w:val="24"/>
          <w:szCs w:val="24"/>
          <w:lang w:eastAsia="zh-CN"/>
        </w:rPr>
        <w:t>（</w:t>
      </w:r>
      <w:r>
        <w:rPr>
          <w:rFonts w:hint="eastAsia" w:ascii="宋体" w:hAnsi="宋体" w:eastAsia="宋体" w:cs="宋体"/>
          <w:color w:val="0B5FD1"/>
          <w:sz w:val="24"/>
          <w:szCs w:val="24"/>
          <w:lang w:val="en-US" w:eastAsia="zh-CN"/>
        </w:rPr>
        <w:t>1</w:t>
      </w:r>
      <w:r>
        <w:rPr>
          <w:rFonts w:hint="eastAsia" w:ascii="宋体" w:hAnsi="宋体" w:eastAsia="宋体" w:cs="宋体"/>
          <w:color w:val="0B5FD1"/>
          <w:sz w:val="24"/>
          <w:szCs w:val="24"/>
          <w:lang w:eastAsia="zh-CN"/>
        </w:rPr>
        <w:t>）（</w:t>
      </w:r>
      <w:r>
        <w:rPr>
          <w:rFonts w:hint="eastAsia" w:ascii="宋体" w:hAnsi="宋体" w:eastAsia="宋体" w:cs="宋体"/>
          <w:color w:val="0B5FD1"/>
          <w:sz w:val="24"/>
          <w:szCs w:val="24"/>
          <w:lang w:val="en-US" w:eastAsia="zh-CN"/>
        </w:rPr>
        <w:t>2</w:t>
      </w:r>
      <w:r>
        <w:rPr>
          <w:rFonts w:hint="eastAsia" w:ascii="宋体" w:hAnsi="宋体" w:eastAsia="宋体" w:cs="宋体"/>
          <w:color w:val="0B5FD1"/>
          <w:sz w:val="24"/>
          <w:szCs w:val="24"/>
          <w:lang w:eastAsia="zh-CN"/>
        </w:rPr>
        <w:t>）（</w:t>
      </w:r>
      <w:r>
        <w:rPr>
          <w:rFonts w:hint="eastAsia" w:ascii="宋体" w:hAnsi="宋体" w:eastAsia="宋体" w:cs="宋体"/>
          <w:color w:val="0B5FD1"/>
          <w:sz w:val="24"/>
          <w:szCs w:val="24"/>
          <w:lang w:val="en-US" w:eastAsia="zh-CN"/>
        </w:rPr>
        <w:t>3</w:t>
      </w:r>
      <w:r>
        <w:rPr>
          <w:rFonts w:hint="eastAsia" w:ascii="宋体" w:hAnsi="宋体" w:eastAsia="宋体" w:cs="宋体"/>
          <w:color w:val="0B5FD1"/>
          <w:sz w:val="24"/>
          <w:szCs w:val="24"/>
          <w:lang w:eastAsia="zh-CN"/>
        </w:rPr>
        <w:t>）</w:t>
      </w:r>
      <w:r>
        <w:rPr>
          <w:rFonts w:hint="eastAsia" w:ascii="宋体" w:hAnsi="宋体" w:eastAsia="宋体" w:cs="宋体"/>
          <w:color w:val="0B5FD1"/>
          <w:sz w:val="24"/>
          <w:szCs w:val="24"/>
        </w:rPr>
        <w:t>是由于土地利用类型的变化引起的调整</w:t>
      </w:r>
      <w:r>
        <w:rPr>
          <w:rFonts w:hint="eastAsia" w:ascii="宋体" w:hAnsi="宋体" w:eastAsia="宋体" w:cs="宋体"/>
          <w:color w:val="0B5FD1"/>
          <w:sz w:val="24"/>
          <w:szCs w:val="24"/>
          <w:lang w:eastAsia="zh-CN"/>
        </w:rPr>
        <w:t>，（</w:t>
      </w:r>
      <w:r>
        <w:rPr>
          <w:rFonts w:hint="eastAsia" w:ascii="宋体" w:hAnsi="宋体" w:eastAsia="宋体" w:cs="宋体"/>
          <w:color w:val="0B5FD1"/>
          <w:sz w:val="24"/>
          <w:szCs w:val="24"/>
          <w:lang w:val="en-US" w:eastAsia="zh-CN"/>
        </w:rPr>
        <w:t>4</w:t>
      </w:r>
      <w:r>
        <w:rPr>
          <w:rFonts w:hint="eastAsia" w:ascii="宋体" w:hAnsi="宋体" w:eastAsia="宋体" w:cs="宋体"/>
          <w:color w:val="0B5FD1"/>
          <w:sz w:val="24"/>
          <w:szCs w:val="24"/>
          <w:lang w:eastAsia="zh-CN"/>
        </w:rPr>
        <w:t>）（</w:t>
      </w:r>
      <w:r>
        <w:rPr>
          <w:rFonts w:hint="eastAsia" w:ascii="宋体" w:hAnsi="宋体" w:eastAsia="宋体" w:cs="宋体"/>
          <w:color w:val="0B5FD1"/>
          <w:sz w:val="24"/>
          <w:szCs w:val="24"/>
          <w:lang w:val="en-US" w:eastAsia="zh-CN"/>
        </w:rPr>
        <w:t>5</w:t>
      </w:r>
      <w:r>
        <w:rPr>
          <w:rFonts w:hint="eastAsia" w:ascii="宋体" w:hAnsi="宋体" w:eastAsia="宋体" w:cs="宋体"/>
          <w:color w:val="0B5FD1"/>
          <w:sz w:val="24"/>
          <w:szCs w:val="24"/>
          <w:lang w:eastAsia="zh-CN"/>
        </w:rPr>
        <w:t>）（</w:t>
      </w:r>
      <w:r>
        <w:rPr>
          <w:rFonts w:hint="eastAsia" w:ascii="宋体" w:hAnsi="宋体" w:eastAsia="宋体" w:cs="宋体"/>
          <w:color w:val="0B5FD1"/>
          <w:sz w:val="24"/>
          <w:szCs w:val="24"/>
          <w:lang w:val="en-US" w:eastAsia="zh-CN"/>
        </w:rPr>
        <w:t>6</w:t>
      </w:r>
      <w:r>
        <w:rPr>
          <w:rFonts w:hint="eastAsia" w:ascii="宋体" w:hAnsi="宋体" w:eastAsia="宋体" w:cs="宋体"/>
          <w:color w:val="0B5FD1"/>
          <w:sz w:val="24"/>
          <w:szCs w:val="24"/>
          <w:lang w:eastAsia="zh-CN"/>
        </w:rPr>
        <w:t>）（</w:t>
      </w:r>
      <w:r>
        <w:rPr>
          <w:rFonts w:hint="eastAsia" w:ascii="宋体" w:hAnsi="宋体" w:eastAsia="宋体" w:cs="宋体"/>
          <w:color w:val="0B5FD1"/>
          <w:sz w:val="24"/>
          <w:szCs w:val="24"/>
          <w:lang w:val="en-US" w:eastAsia="zh-CN"/>
        </w:rPr>
        <w:t>7</w:t>
      </w:r>
      <w:r>
        <w:rPr>
          <w:rFonts w:hint="eastAsia" w:ascii="宋体" w:hAnsi="宋体" w:eastAsia="宋体" w:cs="宋体"/>
          <w:color w:val="0B5FD1"/>
          <w:sz w:val="24"/>
          <w:szCs w:val="24"/>
          <w:lang w:eastAsia="zh-CN"/>
        </w:rPr>
        <w:t>）</w:t>
      </w:r>
      <w:r>
        <w:rPr>
          <w:rFonts w:hint="eastAsia" w:ascii="宋体" w:hAnsi="宋体" w:eastAsia="宋体" w:cs="宋体"/>
          <w:color w:val="0B5FD1"/>
          <w:sz w:val="24"/>
          <w:szCs w:val="24"/>
          <w:lang w:val="en-US" w:eastAsia="zh-CN"/>
        </w:rPr>
        <w:t>是由于上期区划未对此地块进行划分</w:t>
      </w:r>
      <w:r>
        <w:rPr>
          <w:rFonts w:hint="eastAsia" w:ascii="宋体" w:hAnsi="宋体" w:eastAsia="宋体" w:cs="宋体"/>
          <w:color w:val="0B5FD1"/>
          <w:sz w:val="24"/>
          <w:szCs w:val="24"/>
          <w:lang w:eastAsia="zh-CN"/>
        </w:rPr>
        <w:t>。</w:t>
      </w: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color w:val="0B5FD1"/>
          <w:sz w:val="24"/>
          <w:szCs w:val="24"/>
        </w:rPr>
      </w:pPr>
      <w:r>
        <w:rPr>
          <w:rFonts w:hint="eastAsia" w:ascii="宋体" w:hAnsi="宋体" w:eastAsia="宋体" w:cs="宋体"/>
          <w:color w:val="0B5FD1"/>
          <w:sz w:val="24"/>
          <w:szCs w:val="24"/>
        </w:rPr>
        <w:t>本次区划与上期区划主要变化区域见附图</w:t>
      </w:r>
      <w:r>
        <w:rPr>
          <w:rFonts w:hint="default" w:ascii="宋体" w:hAnsi="宋体" w:eastAsia="宋体" w:cs="宋体"/>
          <w:color w:val="0B5FD1"/>
          <w:sz w:val="24"/>
          <w:szCs w:val="24"/>
        </w:rPr>
        <w:t>14</w:t>
      </w:r>
      <w:r>
        <w:rPr>
          <w:rFonts w:hint="eastAsia" w:ascii="宋体" w:hAnsi="宋体" w:eastAsia="宋体" w:cs="宋体"/>
          <w:color w:val="0B5FD1"/>
          <w:sz w:val="24"/>
          <w:szCs w:val="24"/>
        </w:rPr>
        <w:t>。</w:t>
      </w:r>
    </w:p>
    <w:p>
      <w:pPr>
        <w:keepNext w:val="0"/>
        <w:keepLines w:val="0"/>
        <w:pageBreakBefore w:val="0"/>
        <w:widowControl w:val="0"/>
        <w:numPr>
          <w:ilvl w:val="0"/>
          <w:numId w:val="5"/>
        </w:numPr>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原区划划分类型为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类区，本次区划划分为</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类区。地理</w:t>
      </w:r>
      <w:r>
        <w:rPr>
          <w:rFonts w:hint="eastAsia" w:ascii="宋体" w:hAnsi="宋体" w:eastAsia="宋体" w:cs="宋体"/>
          <w:color w:val="auto"/>
          <w:sz w:val="24"/>
          <w:szCs w:val="24"/>
          <w:lang w:val="en-US" w:eastAsia="zh-CN"/>
        </w:rPr>
        <w:t>位置</w:t>
      </w:r>
      <w:r>
        <w:rPr>
          <w:rFonts w:hint="eastAsia" w:ascii="宋体" w:hAnsi="宋体" w:eastAsia="宋体" w:cs="宋体"/>
          <w:color w:val="auto"/>
          <w:sz w:val="24"/>
          <w:szCs w:val="24"/>
        </w:rPr>
        <w:t>边界范围：北至规划一街，东至曲绛线、南至城北大街，西北至吉祥路。规划调整后该部分的主要土地利用类型见下表。</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 xml:space="preserve">表 </w:t>
      </w:r>
      <w:r>
        <w:rPr>
          <w:rFonts w:hint="default" w:ascii="Times New Roman" w:hAnsi="Times New Roman" w:cs="Times New Roman" w:eastAsiaTheme="minorEastAsia"/>
          <w:b/>
          <w:bCs/>
          <w:color w:val="auto"/>
          <w:sz w:val="21"/>
          <w:szCs w:val="21"/>
          <w:lang w:val="en-US" w:eastAsia="zh-CN"/>
        </w:rPr>
        <w:t>5-</w:t>
      </w:r>
      <w:r>
        <w:rPr>
          <w:rFonts w:hint="eastAsia" w:cs="Times New Roman" w:eastAsiaTheme="minorEastAsia"/>
          <w:b/>
          <w:bCs/>
          <w:color w:val="auto"/>
          <w:sz w:val="21"/>
          <w:szCs w:val="21"/>
          <w:lang w:val="en-US" w:eastAsia="zh-CN"/>
        </w:rPr>
        <w:t>14</w:t>
      </w:r>
      <w:r>
        <w:rPr>
          <w:rFonts w:hint="eastAsia" w:ascii="Times New Roman" w:hAnsi="Times New Roman" w:cs="Times New Roman" w:eastAsiaTheme="minorEastAsia"/>
          <w:b/>
          <w:bCs/>
          <w:color w:val="auto"/>
          <w:sz w:val="21"/>
          <w:szCs w:val="21"/>
          <w:lang w:val="en-US" w:eastAsia="zh-CN"/>
        </w:rPr>
        <w:t xml:space="preserve">   </w:t>
      </w:r>
      <w:r>
        <w:rPr>
          <w:rFonts w:hint="default" w:ascii="Times New Roman" w:hAnsi="Times New Roman" w:cs="Times New Roman" w:eastAsiaTheme="minorEastAsia"/>
          <w:b/>
          <w:bCs/>
          <w:color w:val="auto"/>
          <w:sz w:val="21"/>
          <w:szCs w:val="21"/>
          <w:lang w:val="en-US" w:eastAsia="zh-CN"/>
        </w:rPr>
        <w:t xml:space="preserve"> </w:t>
      </w:r>
      <w:r>
        <w:rPr>
          <w:rFonts w:hint="eastAsia" w:ascii="Times New Roman" w:hAnsi="Times New Roman" w:cs="Times New Roman" w:eastAsiaTheme="minorEastAsia"/>
          <w:b/>
          <w:bCs/>
          <w:color w:val="auto"/>
          <w:sz w:val="21"/>
          <w:szCs w:val="21"/>
          <w:lang w:val="en-US" w:eastAsia="zh-CN"/>
        </w:rPr>
        <w:t>声环境功能区划分结果</w:t>
      </w:r>
    </w:p>
    <w:tbl>
      <w:tblPr>
        <w:tblStyle w:val="25"/>
        <w:tblW w:w="852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66"/>
        <w:gridCol w:w="1066"/>
        <w:gridCol w:w="1066"/>
        <w:gridCol w:w="1066"/>
        <w:gridCol w:w="1066"/>
        <w:gridCol w:w="1066"/>
        <w:gridCol w:w="1066"/>
        <w:gridCol w:w="106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单元号</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单元面积</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包含地块</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地块面积</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用地分类</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Ⅰ类用地比例</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Ⅱ类用地比例</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确定单元类型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291840</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29</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3835</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Ⅰ类</w:t>
            </w:r>
          </w:p>
        </w:tc>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1.65</w:t>
            </w:r>
          </w:p>
        </w:tc>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85.19</w:t>
            </w:r>
          </w:p>
        </w:tc>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default" w:ascii="宋体" w:hAnsi="宋体" w:eastAsia="宋体" w:cs="宋体"/>
                <w:sz w:val="21"/>
                <w:szCs w:val="21"/>
                <w:lang w:val="en-US" w:eastAsia="zh-CN"/>
              </w:rPr>
              <w:t>类</w:t>
            </w:r>
            <w:r>
              <w:rPr>
                <w:rFonts w:hint="eastAsia" w:ascii="宋体" w:hAnsi="宋体" w:eastAsia="宋体" w:cs="宋体"/>
                <w:sz w:val="21"/>
                <w:szCs w:val="21"/>
                <w:lang w:val="en-US" w:eastAsia="zh-CN"/>
              </w:rPr>
              <w:t>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rPr>
            </w:pP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30</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117</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其他</w:t>
            </w: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31</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8891</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其他</w:t>
            </w: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32</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197987</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Ⅱ类</w:t>
            </w: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33</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21578</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其他</w:t>
            </w: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bl>
    <w:p>
      <w:pPr>
        <w:keepNext w:val="0"/>
        <w:keepLines w:val="0"/>
        <w:pageBreakBefore w:val="0"/>
        <w:widowControl w:val="0"/>
        <w:kinsoku/>
        <w:wordWrap/>
        <w:overflowPunct/>
        <w:topLinePunct w:val="0"/>
        <w:autoSpaceDE/>
        <w:autoSpaceDN/>
        <w:bidi w:val="0"/>
        <w:adjustRightInd/>
        <w:snapToGrid/>
        <w:spacing w:line="440" w:lineRule="atLeas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根据以上统计结果，该部分Ⅱ类土地占比为</w:t>
      </w:r>
      <w:r>
        <w:rPr>
          <w:rFonts w:hint="eastAsia" w:ascii="宋体" w:hAnsi="宋体" w:eastAsia="宋体" w:cs="宋体"/>
          <w:color w:val="auto"/>
          <w:sz w:val="24"/>
          <w:szCs w:val="24"/>
          <w:lang w:val="en-US" w:eastAsia="zh-CN"/>
        </w:rPr>
        <w:t>85.19</w:t>
      </w:r>
      <w:r>
        <w:rPr>
          <w:rFonts w:hint="default" w:ascii="宋体" w:hAnsi="宋体" w:eastAsia="宋体" w:cs="宋体"/>
          <w:color w:val="auto"/>
          <w:sz w:val="24"/>
          <w:szCs w:val="24"/>
        </w:rPr>
        <w:t>%</w:t>
      </w:r>
      <w:r>
        <w:rPr>
          <w:rFonts w:hint="eastAsia" w:ascii="宋体" w:hAnsi="宋体" w:eastAsia="宋体" w:cs="宋体"/>
          <w:color w:val="auto"/>
          <w:sz w:val="24"/>
          <w:szCs w:val="24"/>
        </w:rPr>
        <w:t>，占地率大于</w:t>
      </w:r>
      <w:r>
        <w:rPr>
          <w:rFonts w:hint="default" w:ascii="宋体" w:hAnsi="宋体" w:eastAsia="宋体" w:cs="宋体"/>
          <w:color w:val="auto"/>
          <w:sz w:val="24"/>
          <w:szCs w:val="24"/>
        </w:rPr>
        <w:t>70%</w:t>
      </w:r>
      <w:r>
        <w:rPr>
          <w:rFonts w:hint="eastAsia" w:ascii="宋体" w:hAnsi="宋体" w:eastAsia="宋体" w:cs="宋体"/>
          <w:color w:val="auto"/>
          <w:sz w:val="24"/>
          <w:szCs w:val="24"/>
        </w:rPr>
        <w:t>，满足</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类声功能区划的要求，属于土地利用类型的变化。因此，本次将其划分为</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类区是合理的。</w:t>
      </w:r>
    </w:p>
    <w:p>
      <w:pPr>
        <w:keepNext w:val="0"/>
        <w:keepLines w:val="0"/>
        <w:pageBreakBefore w:val="0"/>
        <w:widowControl w:val="0"/>
        <w:numPr>
          <w:ilvl w:val="0"/>
          <w:numId w:val="5"/>
        </w:numPr>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原区划划分类型为</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类区，本次区划划分为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类区。</w:t>
      </w:r>
      <w:r>
        <w:rPr>
          <w:rFonts w:hint="eastAsia" w:ascii="宋体" w:hAnsi="宋体" w:eastAsia="宋体" w:cs="宋体"/>
          <w:color w:val="auto"/>
          <w:sz w:val="24"/>
          <w:szCs w:val="24"/>
          <w:lang w:val="en-US" w:eastAsia="zh-CN"/>
        </w:rPr>
        <w:t>原规划用地主要为居住、商业用地；本次规划用地类型为居住兼容商业，学校用地，</w:t>
      </w:r>
      <w:r>
        <w:rPr>
          <w:rFonts w:hint="eastAsia" w:ascii="宋体" w:hAnsi="宋体" w:eastAsia="宋体" w:cs="宋体"/>
          <w:sz w:val="24"/>
          <w:szCs w:val="24"/>
          <w:highlight w:val="none"/>
          <w:lang w:val="en-US" w:eastAsia="zh-CN"/>
        </w:rPr>
        <w:t>根据现状监测数据，该区域噪声满足1类区标准，</w:t>
      </w:r>
      <w:r>
        <w:rPr>
          <w:rFonts w:hint="eastAsia" w:ascii="宋体" w:hAnsi="宋体" w:eastAsia="宋体" w:cs="宋体"/>
          <w:color w:val="auto"/>
          <w:sz w:val="24"/>
          <w:szCs w:val="24"/>
          <w:lang w:val="en-US" w:eastAsia="zh-CN"/>
        </w:rPr>
        <w:t>该地块面积较小（0.04km</w:t>
      </w:r>
      <w:r>
        <w:rPr>
          <w:rFonts w:hint="eastAsia" w:ascii="宋体" w:hAnsi="宋体" w:eastAsia="宋体" w:cs="宋体"/>
          <w:color w:val="auto"/>
          <w:sz w:val="24"/>
          <w:szCs w:val="24"/>
          <w:vertAlign w:val="superscript"/>
          <w:lang w:val="en-US" w:eastAsia="zh-CN"/>
        </w:rPr>
        <w:t>2</w:t>
      </w:r>
      <w:r>
        <w:rPr>
          <w:rFonts w:hint="eastAsia" w:ascii="宋体" w:hAnsi="宋体" w:eastAsia="宋体" w:cs="宋体"/>
          <w:color w:val="auto"/>
          <w:sz w:val="24"/>
          <w:szCs w:val="24"/>
          <w:vertAlign w:val="baseline"/>
          <w:lang w:val="en-US" w:eastAsia="zh-CN"/>
        </w:rPr>
        <w:t>）</w:t>
      </w:r>
      <w:r>
        <w:rPr>
          <w:rFonts w:hint="eastAsia" w:ascii="宋体" w:hAnsi="宋体" w:eastAsia="宋体" w:cs="宋体"/>
          <w:color w:val="auto"/>
          <w:sz w:val="24"/>
          <w:szCs w:val="24"/>
          <w:lang w:val="en-US" w:eastAsia="zh-CN"/>
        </w:rPr>
        <w:t>，不进行单独划分和地块49划分为一体</w:t>
      </w:r>
      <w:r>
        <w:rPr>
          <w:rFonts w:hint="eastAsia" w:ascii="宋体" w:hAnsi="宋体" w:eastAsia="宋体" w:cs="宋体"/>
          <w:color w:val="auto"/>
          <w:sz w:val="24"/>
          <w:szCs w:val="24"/>
        </w:rPr>
        <w:t>，属于土地利用类型的变化。因此，本次将其划分为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类区是合理的。</w:t>
      </w:r>
    </w:p>
    <w:p>
      <w:pPr>
        <w:keepNext w:val="0"/>
        <w:keepLines w:val="0"/>
        <w:pageBreakBefore w:val="0"/>
        <w:widowControl w:val="0"/>
        <w:kinsoku/>
        <w:wordWrap/>
        <w:overflowPunct/>
        <w:topLinePunct w:val="0"/>
        <w:autoSpaceDE/>
        <w:autoSpaceDN/>
        <w:bidi w:val="0"/>
        <w:adjustRightInd/>
        <w:snapToGrid/>
        <w:spacing w:line="440" w:lineRule="atLeas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）原区划划分类型为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类区，本次区划划分为</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类区。地理</w:t>
      </w:r>
      <w:r>
        <w:rPr>
          <w:rFonts w:hint="eastAsia" w:ascii="宋体" w:hAnsi="宋体" w:eastAsia="宋体" w:cs="宋体"/>
          <w:color w:val="auto"/>
          <w:sz w:val="24"/>
          <w:szCs w:val="24"/>
          <w:lang w:val="en-US" w:eastAsia="zh-CN"/>
        </w:rPr>
        <w:t>位置</w:t>
      </w:r>
      <w:r>
        <w:rPr>
          <w:rFonts w:hint="eastAsia" w:ascii="宋体" w:hAnsi="宋体" w:eastAsia="宋体" w:cs="宋体"/>
          <w:color w:val="auto"/>
          <w:sz w:val="24"/>
          <w:szCs w:val="24"/>
        </w:rPr>
        <w:t>边界范围：北至规划六街，东至规划边界，南至南环路，西至吉祥南路。规划调整后该部分的主要土地利用类型见下表。</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 xml:space="preserve">表 </w:t>
      </w:r>
      <w:r>
        <w:rPr>
          <w:rFonts w:hint="default" w:ascii="Times New Roman" w:hAnsi="Times New Roman" w:cs="Times New Roman" w:eastAsiaTheme="minorEastAsia"/>
          <w:b/>
          <w:bCs/>
          <w:color w:val="auto"/>
          <w:sz w:val="21"/>
          <w:szCs w:val="21"/>
          <w:lang w:val="en-US" w:eastAsia="zh-CN"/>
        </w:rPr>
        <w:t>5-</w:t>
      </w:r>
      <w:r>
        <w:rPr>
          <w:rFonts w:hint="eastAsia" w:cs="Times New Roman" w:eastAsiaTheme="minorEastAsia"/>
          <w:b/>
          <w:bCs/>
          <w:color w:val="auto"/>
          <w:sz w:val="21"/>
          <w:szCs w:val="21"/>
          <w:lang w:val="en-US" w:eastAsia="zh-CN"/>
        </w:rPr>
        <w:t>15</w:t>
      </w:r>
      <w:r>
        <w:rPr>
          <w:rFonts w:hint="eastAsia" w:ascii="Times New Roman" w:hAnsi="Times New Roman" w:cs="Times New Roman" w:eastAsiaTheme="minorEastAsia"/>
          <w:b/>
          <w:bCs/>
          <w:color w:val="auto"/>
          <w:sz w:val="21"/>
          <w:szCs w:val="21"/>
          <w:lang w:val="en-US" w:eastAsia="zh-CN"/>
        </w:rPr>
        <w:t xml:space="preserve">   </w:t>
      </w:r>
      <w:r>
        <w:rPr>
          <w:rFonts w:hint="default" w:ascii="Times New Roman" w:hAnsi="Times New Roman" w:cs="Times New Roman" w:eastAsiaTheme="minorEastAsia"/>
          <w:b/>
          <w:bCs/>
          <w:color w:val="auto"/>
          <w:sz w:val="21"/>
          <w:szCs w:val="21"/>
          <w:lang w:val="en-US" w:eastAsia="zh-CN"/>
        </w:rPr>
        <w:t xml:space="preserve"> </w:t>
      </w:r>
      <w:r>
        <w:rPr>
          <w:rFonts w:hint="eastAsia" w:ascii="Times New Roman" w:hAnsi="Times New Roman" w:cs="Times New Roman" w:eastAsiaTheme="minorEastAsia"/>
          <w:b/>
          <w:bCs/>
          <w:color w:val="auto"/>
          <w:sz w:val="21"/>
          <w:szCs w:val="21"/>
          <w:lang w:val="en-US" w:eastAsia="zh-CN"/>
        </w:rPr>
        <w:t>声环境功能区划分结果</w:t>
      </w:r>
    </w:p>
    <w:tbl>
      <w:tblPr>
        <w:tblStyle w:val="25"/>
        <w:tblW w:w="852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66"/>
        <w:gridCol w:w="1066"/>
        <w:gridCol w:w="1066"/>
        <w:gridCol w:w="1066"/>
        <w:gridCol w:w="1066"/>
        <w:gridCol w:w="1066"/>
        <w:gridCol w:w="1066"/>
        <w:gridCol w:w="106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单元号</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单元面积</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包含地块</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地块面积</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用地分类</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Ⅰ类用地比例</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Ⅱ类用地比例</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确定单元类型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66</w:t>
            </w:r>
          </w:p>
        </w:tc>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310888</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401</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default" w:ascii="宋体" w:hAnsi="宋体" w:eastAsia="宋体" w:cs="宋体"/>
                <w:i w:val="0"/>
                <w:color w:val="000000"/>
                <w:kern w:val="0"/>
                <w:sz w:val="24"/>
                <w:szCs w:val="24"/>
                <w:u w:val="none"/>
                <w:lang w:val="en-US" w:eastAsia="zh-CN" w:bidi="ar"/>
              </w:rPr>
              <w:t>104954</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eastAsia" w:ascii="Times New Roman" w:hAnsi="Times New Roman" w:eastAsia="Times New Roman"/>
                <w:sz w:val="24"/>
                <w:szCs w:val="24"/>
                <w:lang w:val="en-US" w:eastAsia="zh-CN"/>
              </w:rPr>
              <w:t>其他</w:t>
            </w:r>
          </w:p>
        </w:tc>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1.77</w:t>
            </w:r>
          </w:p>
        </w:tc>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w:t>
            </w:r>
          </w:p>
        </w:tc>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default" w:ascii="宋体" w:hAnsi="宋体" w:eastAsia="宋体" w:cs="宋体"/>
                <w:sz w:val="21"/>
                <w:szCs w:val="21"/>
                <w:lang w:val="en-US" w:eastAsia="zh-CN"/>
              </w:rPr>
              <w:t>类</w:t>
            </w:r>
            <w:r>
              <w:rPr>
                <w:rFonts w:hint="eastAsia" w:ascii="宋体" w:hAnsi="宋体" w:eastAsia="宋体" w:cs="宋体"/>
                <w:sz w:val="21"/>
                <w:szCs w:val="21"/>
                <w:lang w:val="en-US" w:eastAsia="zh-CN"/>
              </w:rPr>
              <w:t>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402</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default" w:ascii="宋体" w:hAnsi="宋体" w:eastAsia="宋体" w:cs="宋体"/>
                <w:i w:val="0"/>
                <w:color w:val="000000"/>
                <w:kern w:val="0"/>
                <w:sz w:val="24"/>
                <w:szCs w:val="24"/>
                <w:u w:val="none"/>
                <w:lang w:val="en-US" w:eastAsia="zh-CN" w:bidi="ar"/>
              </w:rPr>
              <w:t>67919</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eastAsia" w:ascii="Times New Roman" w:hAnsi="Times New Roman" w:eastAsia="Times New Roman"/>
                <w:sz w:val="24"/>
                <w:szCs w:val="24"/>
                <w:lang w:val="en-US" w:eastAsia="zh-CN"/>
              </w:rPr>
              <w:t>其他</w:t>
            </w: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403</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default" w:ascii="宋体" w:hAnsi="宋体" w:eastAsia="宋体" w:cs="宋体"/>
                <w:i w:val="0"/>
                <w:color w:val="000000"/>
                <w:kern w:val="0"/>
                <w:sz w:val="24"/>
                <w:szCs w:val="24"/>
                <w:u w:val="none"/>
                <w:lang w:val="en-US" w:eastAsia="zh-CN" w:bidi="ar"/>
              </w:rPr>
              <w:t>5514</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eastAsia" w:ascii="Times New Roman" w:hAnsi="Times New Roman" w:eastAsia="Times New Roman"/>
                <w:sz w:val="24"/>
                <w:szCs w:val="24"/>
                <w:lang w:val="en-US" w:eastAsia="zh-CN"/>
              </w:rPr>
              <w:t>Ⅰ类</w:t>
            </w: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407</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default" w:ascii="宋体" w:hAnsi="宋体" w:eastAsia="宋体" w:cs="宋体"/>
                <w:i w:val="0"/>
                <w:color w:val="000000"/>
                <w:kern w:val="0"/>
                <w:sz w:val="24"/>
                <w:szCs w:val="24"/>
                <w:u w:val="none"/>
                <w:lang w:val="en-US" w:eastAsia="zh-CN" w:bidi="ar"/>
              </w:rPr>
              <w:t>65376</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eastAsia" w:ascii="宋体" w:hAnsi="宋体" w:eastAsia="宋体" w:cs="宋体"/>
                <w:i w:val="0"/>
                <w:color w:val="000000"/>
                <w:kern w:val="0"/>
                <w:sz w:val="24"/>
                <w:szCs w:val="24"/>
                <w:u w:val="none"/>
                <w:lang w:val="en-US" w:eastAsia="zh-CN" w:bidi="ar"/>
              </w:rPr>
              <w:t>其他</w:t>
            </w: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408</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default" w:ascii="宋体" w:hAnsi="宋体" w:eastAsia="宋体" w:cs="宋体"/>
                <w:i w:val="0"/>
                <w:color w:val="000000"/>
                <w:kern w:val="0"/>
                <w:sz w:val="24"/>
                <w:szCs w:val="24"/>
                <w:u w:val="none"/>
                <w:lang w:val="en-US" w:eastAsia="zh-CN" w:bidi="ar"/>
              </w:rPr>
              <w:t>4165</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kern w:val="0"/>
                <w:sz w:val="24"/>
                <w:szCs w:val="24"/>
                <w:u w:val="none"/>
                <w:lang w:val="en-US" w:eastAsia="zh-CN" w:bidi="ar"/>
              </w:rPr>
              <w:t>其他</w:t>
            </w: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423</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eastAsia" w:ascii="宋体" w:hAnsi="宋体" w:eastAsia="宋体" w:cs="宋体"/>
                <w:i w:val="0"/>
                <w:color w:val="000000"/>
                <w:sz w:val="24"/>
                <w:szCs w:val="24"/>
                <w:u w:val="none"/>
                <w:lang w:val="en-US" w:eastAsia="zh-CN"/>
              </w:rPr>
              <w:t>62960</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eastAsia" w:ascii="宋体" w:hAnsi="宋体" w:eastAsia="宋体" w:cs="宋体"/>
                <w:i w:val="0"/>
                <w:color w:val="000000"/>
                <w:kern w:val="0"/>
                <w:sz w:val="24"/>
                <w:szCs w:val="24"/>
                <w:u w:val="none"/>
                <w:lang w:val="en-US" w:eastAsia="zh-CN" w:bidi="ar"/>
              </w:rPr>
              <w:t>其他</w:t>
            </w: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bl>
    <w:p>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根据以上统计结果，该部分</w:t>
      </w:r>
      <w:r>
        <w:rPr>
          <w:rFonts w:hint="eastAsia" w:ascii="宋体" w:hAnsi="宋体" w:eastAsia="宋体" w:cs="宋体"/>
          <w:color w:val="auto"/>
          <w:sz w:val="24"/>
          <w:szCs w:val="24"/>
          <w:lang w:val="en-US" w:eastAsia="zh-CN"/>
        </w:rPr>
        <w:t>属于0，1，3类声环境功能区以外的居住、商业混杂区域</w:t>
      </w:r>
      <w:r>
        <w:rPr>
          <w:rFonts w:hint="eastAsia" w:ascii="宋体" w:hAnsi="宋体" w:eastAsia="宋体" w:cs="宋体"/>
          <w:color w:val="auto"/>
          <w:sz w:val="24"/>
          <w:szCs w:val="24"/>
        </w:rPr>
        <w:t>，属于土地利用类型的变化。因此，本次将其划分为</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类区是合理的。</w:t>
      </w:r>
    </w:p>
    <w:p>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上期区划未对此地块进行划分，</w:t>
      </w:r>
      <w:r>
        <w:rPr>
          <w:rFonts w:hint="eastAsia" w:ascii="宋体" w:hAnsi="宋体" w:eastAsia="宋体" w:cs="宋体"/>
          <w:color w:val="auto"/>
          <w:sz w:val="24"/>
          <w:szCs w:val="24"/>
        </w:rPr>
        <w:t>本次区划划分为</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类区。地理</w:t>
      </w:r>
      <w:r>
        <w:rPr>
          <w:rFonts w:hint="eastAsia" w:ascii="宋体" w:hAnsi="宋体" w:eastAsia="宋体" w:cs="宋体"/>
          <w:color w:val="auto"/>
          <w:sz w:val="24"/>
          <w:szCs w:val="24"/>
          <w:lang w:val="en-US" w:eastAsia="zh-CN"/>
        </w:rPr>
        <w:t>位置</w:t>
      </w:r>
      <w:r>
        <w:rPr>
          <w:rFonts w:hint="eastAsia" w:ascii="宋体" w:hAnsi="宋体" w:eastAsia="宋体" w:cs="宋体"/>
          <w:color w:val="auto"/>
          <w:sz w:val="24"/>
          <w:szCs w:val="24"/>
        </w:rPr>
        <w:t>边界范围：北至规划六街，东至曲绛线、南至南环路——规划边界 ，西至绛山路。该部分的主要土地利用类型见下表。</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 xml:space="preserve">表 </w:t>
      </w:r>
      <w:r>
        <w:rPr>
          <w:rFonts w:hint="default" w:ascii="Times New Roman" w:hAnsi="Times New Roman" w:cs="Times New Roman" w:eastAsiaTheme="minorEastAsia"/>
          <w:b/>
          <w:bCs/>
          <w:color w:val="auto"/>
          <w:sz w:val="21"/>
          <w:szCs w:val="21"/>
          <w:lang w:val="en-US" w:eastAsia="zh-CN"/>
        </w:rPr>
        <w:t>5-</w:t>
      </w:r>
      <w:r>
        <w:rPr>
          <w:rFonts w:hint="eastAsia" w:cs="Times New Roman" w:eastAsiaTheme="minorEastAsia"/>
          <w:b/>
          <w:bCs/>
          <w:color w:val="auto"/>
          <w:sz w:val="21"/>
          <w:szCs w:val="21"/>
          <w:lang w:val="en-US" w:eastAsia="zh-CN"/>
        </w:rPr>
        <w:t>16</w:t>
      </w:r>
      <w:r>
        <w:rPr>
          <w:rFonts w:hint="eastAsia" w:ascii="Times New Roman" w:hAnsi="Times New Roman" w:cs="Times New Roman" w:eastAsiaTheme="minorEastAsia"/>
          <w:b/>
          <w:bCs/>
          <w:color w:val="auto"/>
          <w:sz w:val="21"/>
          <w:szCs w:val="21"/>
          <w:lang w:val="en-US" w:eastAsia="zh-CN"/>
        </w:rPr>
        <w:t xml:space="preserve">   </w:t>
      </w:r>
      <w:r>
        <w:rPr>
          <w:rFonts w:hint="default" w:ascii="Times New Roman" w:hAnsi="Times New Roman" w:cs="Times New Roman" w:eastAsiaTheme="minorEastAsia"/>
          <w:b/>
          <w:bCs/>
          <w:color w:val="auto"/>
          <w:sz w:val="21"/>
          <w:szCs w:val="21"/>
          <w:lang w:val="en-US" w:eastAsia="zh-CN"/>
        </w:rPr>
        <w:t xml:space="preserve"> </w:t>
      </w:r>
      <w:r>
        <w:rPr>
          <w:rFonts w:hint="eastAsia" w:ascii="Times New Roman" w:hAnsi="Times New Roman" w:cs="Times New Roman" w:eastAsiaTheme="minorEastAsia"/>
          <w:b/>
          <w:bCs/>
          <w:color w:val="auto"/>
          <w:sz w:val="21"/>
          <w:szCs w:val="21"/>
          <w:lang w:val="en-US" w:eastAsia="zh-CN"/>
        </w:rPr>
        <w:t>声环境功能区划分结果</w:t>
      </w:r>
    </w:p>
    <w:tbl>
      <w:tblPr>
        <w:tblStyle w:val="25"/>
        <w:tblW w:w="852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66"/>
        <w:gridCol w:w="1066"/>
        <w:gridCol w:w="1066"/>
        <w:gridCol w:w="1066"/>
        <w:gridCol w:w="1066"/>
        <w:gridCol w:w="1066"/>
        <w:gridCol w:w="1066"/>
        <w:gridCol w:w="106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单元号</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单元面积</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包含地块</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地块面积</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用地分类</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Ⅰ类用地比例</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Ⅱ类用地比例</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确定单元类型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66</w:t>
            </w:r>
          </w:p>
        </w:tc>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310888</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401</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default" w:ascii="宋体" w:hAnsi="宋体" w:eastAsia="宋体" w:cs="宋体"/>
                <w:i w:val="0"/>
                <w:color w:val="000000"/>
                <w:kern w:val="0"/>
                <w:sz w:val="24"/>
                <w:szCs w:val="24"/>
                <w:u w:val="none"/>
                <w:lang w:val="en-US" w:eastAsia="zh-CN" w:bidi="ar"/>
              </w:rPr>
              <w:t>104954</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eastAsia" w:ascii="Times New Roman" w:hAnsi="Times New Roman" w:eastAsia="Times New Roman"/>
                <w:sz w:val="24"/>
                <w:szCs w:val="24"/>
                <w:lang w:val="en-US" w:eastAsia="zh-CN"/>
              </w:rPr>
              <w:t>其他</w:t>
            </w:r>
          </w:p>
        </w:tc>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1.77</w:t>
            </w:r>
          </w:p>
        </w:tc>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w:t>
            </w:r>
          </w:p>
        </w:tc>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default" w:ascii="宋体" w:hAnsi="宋体" w:eastAsia="宋体" w:cs="宋体"/>
                <w:sz w:val="21"/>
                <w:szCs w:val="21"/>
                <w:lang w:val="en-US" w:eastAsia="zh-CN"/>
              </w:rPr>
              <w:t>类</w:t>
            </w:r>
            <w:r>
              <w:rPr>
                <w:rFonts w:hint="eastAsia" w:ascii="宋体" w:hAnsi="宋体" w:eastAsia="宋体" w:cs="宋体"/>
                <w:sz w:val="21"/>
                <w:szCs w:val="21"/>
                <w:lang w:val="en-US" w:eastAsia="zh-CN"/>
              </w:rPr>
              <w:t>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402</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default" w:ascii="宋体" w:hAnsi="宋体" w:eastAsia="宋体" w:cs="宋体"/>
                <w:i w:val="0"/>
                <w:color w:val="000000"/>
                <w:kern w:val="0"/>
                <w:sz w:val="24"/>
                <w:szCs w:val="24"/>
                <w:u w:val="none"/>
                <w:lang w:val="en-US" w:eastAsia="zh-CN" w:bidi="ar"/>
              </w:rPr>
              <w:t>67919</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eastAsia" w:ascii="Times New Roman" w:hAnsi="Times New Roman" w:eastAsia="Times New Roman"/>
                <w:sz w:val="24"/>
                <w:szCs w:val="24"/>
                <w:lang w:val="en-US" w:eastAsia="zh-CN"/>
              </w:rPr>
              <w:t>其他</w:t>
            </w: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403</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default" w:ascii="宋体" w:hAnsi="宋体" w:eastAsia="宋体" w:cs="宋体"/>
                <w:i w:val="0"/>
                <w:color w:val="000000"/>
                <w:kern w:val="0"/>
                <w:sz w:val="24"/>
                <w:szCs w:val="24"/>
                <w:u w:val="none"/>
                <w:lang w:val="en-US" w:eastAsia="zh-CN" w:bidi="ar"/>
              </w:rPr>
              <w:t>5514</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eastAsia" w:ascii="Times New Roman" w:hAnsi="Times New Roman" w:eastAsia="Times New Roman"/>
                <w:sz w:val="24"/>
                <w:szCs w:val="24"/>
                <w:lang w:val="en-US" w:eastAsia="zh-CN"/>
              </w:rPr>
              <w:t>Ⅰ类</w:t>
            </w: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407</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default" w:ascii="宋体" w:hAnsi="宋体" w:eastAsia="宋体" w:cs="宋体"/>
                <w:i w:val="0"/>
                <w:color w:val="000000"/>
                <w:kern w:val="0"/>
                <w:sz w:val="24"/>
                <w:szCs w:val="24"/>
                <w:u w:val="none"/>
                <w:lang w:val="en-US" w:eastAsia="zh-CN" w:bidi="ar"/>
              </w:rPr>
              <w:t>65376</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eastAsia" w:ascii="宋体" w:hAnsi="宋体" w:eastAsia="宋体" w:cs="宋体"/>
                <w:i w:val="0"/>
                <w:color w:val="000000"/>
                <w:kern w:val="0"/>
                <w:sz w:val="24"/>
                <w:szCs w:val="24"/>
                <w:u w:val="none"/>
                <w:lang w:val="en-US" w:eastAsia="zh-CN" w:bidi="ar"/>
              </w:rPr>
              <w:t>其他</w:t>
            </w: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408</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default" w:ascii="宋体" w:hAnsi="宋体" w:eastAsia="宋体" w:cs="宋体"/>
                <w:i w:val="0"/>
                <w:color w:val="000000"/>
                <w:kern w:val="0"/>
                <w:sz w:val="24"/>
                <w:szCs w:val="24"/>
                <w:u w:val="none"/>
                <w:lang w:val="en-US" w:eastAsia="zh-CN" w:bidi="ar"/>
              </w:rPr>
              <w:t>4165</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kern w:val="0"/>
                <w:sz w:val="24"/>
                <w:szCs w:val="24"/>
                <w:u w:val="none"/>
                <w:lang w:val="en-US" w:eastAsia="zh-CN" w:bidi="ar"/>
              </w:rPr>
              <w:t>其他</w:t>
            </w: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423</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eastAsia" w:ascii="宋体" w:hAnsi="宋体" w:eastAsia="宋体" w:cs="宋体"/>
                <w:i w:val="0"/>
                <w:color w:val="000000"/>
                <w:sz w:val="24"/>
                <w:szCs w:val="24"/>
                <w:u w:val="none"/>
                <w:lang w:val="en-US" w:eastAsia="zh-CN"/>
              </w:rPr>
              <w:t>62960</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eastAsia" w:ascii="宋体" w:hAnsi="宋体" w:eastAsia="宋体" w:cs="宋体"/>
                <w:i w:val="0"/>
                <w:color w:val="000000"/>
                <w:kern w:val="0"/>
                <w:sz w:val="24"/>
                <w:szCs w:val="24"/>
                <w:u w:val="none"/>
                <w:lang w:val="en-US" w:eastAsia="zh-CN" w:bidi="ar"/>
              </w:rPr>
              <w:t>其他</w:t>
            </w: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bl>
    <w:p>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根据上表可知，该区域土地利用类型为</w:t>
      </w:r>
      <w:r>
        <w:rPr>
          <w:rFonts w:hint="eastAsia" w:ascii="宋体" w:hAnsi="宋体" w:eastAsia="宋体" w:cs="宋体"/>
          <w:color w:val="auto"/>
          <w:sz w:val="24"/>
          <w:szCs w:val="24"/>
          <w:lang w:val="en-US" w:eastAsia="zh-CN"/>
        </w:rPr>
        <w:t>居住兼容商业</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由于Ⅰ类用地比例占地率小于70%，</w:t>
      </w:r>
      <w:r>
        <w:rPr>
          <w:rFonts w:hint="eastAsia" w:ascii="宋体" w:hAnsi="宋体" w:eastAsia="宋体" w:cs="宋体"/>
          <w:color w:val="auto"/>
          <w:sz w:val="24"/>
          <w:szCs w:val="24"/>
        </w:rPr>
        <w:t>暂时将其划分2类区</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因此，本次将其划分为</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类区是合理的。</w:t>
      </w:r>
    </w:p>
    <w:p>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上期区划未对此地块进行划分，</w:t>
      </w:r>
      <w:r>
        <w:rPr>
          <w:rFonts w:hint="eastAsia" w:ascii="宋体" w:hAnsi="宋体" w:eastAsia="宋体" w:cs="宋体"/>
          <w:color w:val="auto"/>
          <w:sz w:val="24"/>
          <w:szCs w:val="24"/>
        </w:rPr>
        <w:t>本次区划划分为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类区。地理</w:t>
      </w:r>
      <w:r>
        <w:rPr>
          <w:rFonts w:hint="eastAsia" w:ascii="宋体" w:hAnsi="宋体" w:eastAsia="宋体" w:cs="宋体"/>
          <w:color w:val="auto"/>
          <w:sz w:val="24"/>
          <w:szCs w:val="24"/>
          <w:lang w:val="en-US" w:eastAsia="zh-CN"/>
        </w:rPr>
        <w:t>位置</w:t>
      </w:r>
      <w:r>
        <w:rPr>
          <w:rFonts w:hint="eastAsia" w:ascii="宋体" w:hAnsi="宋体" w:eastAsia="宋体" w:cs="宋体"/>
          <w:color w:val="auto"/>
          <w:sz w:val="24"/>
          <w:szCs w:val="24"/>
        </w:rPr>
        <w:t>边界范围：北至规划六街，东至曲绛线、南至南环路——规划边界 ，西至绛山路。该部分的主要土地利用类型见下表。</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 xml:space="preserve">表 </w:t>
      </w:r>
      <w:r>
        <w:rPr>
          <w:rFonts w:hint="default" w:ascii="Times New Roman" w:hAnsi="Times New Roman" w:cs="Times New Roman" w:eastAsiaTheme="minorEastAsia"/>
          <w:b/>
          <w:bCs/>
          <w:color w:val="auto"/>
          <w:sz w:val="21"/>
          <w:szCs w:val="21"/>
          <w:lang w:val="en-US" w:eastAsia="zh-CN"/>
        </w:rPr>
        <w:t>5-</w:t>
      </w:r>
      <w:r>
        <w:rPr>
          <w:rFonts w:hint="eastAsia" w:cs="Times New Roman" w:eastAsiaTheme="minorEastAsia"/>
          <w:b/>
          <w:bCs/>
          <w:color w:val="auto"/>
          <w:sz w:val="21"/>
          <w:szCs w:val="21"/>
          <w:lang w:val="en-US" w:eastAsia="zh-CN"/>
        </w:rPr>
        <w:t>17</w:t>
      </w:r>
      <w:r>
        <w:rPr>
          <w:rFonts w:hint="eastAsia" w:ascii="Times New Roman" w:hAnsi="Times New Roman" w:cs="Times New Roman" w:eastAsiaTheme="minorEastAsia"/>
          <w:b/>
          <w:bCs/>
          <w:color w:val="auto"/>
          <w:sz w:val="21"/>
          <w:szCs w:val="21"/>
          <w:lang w:val="en-US" w:eastAsia="zh-CN"/>
        </w:rPr>
        <w:t xml:space="preserve">   </w:t>
      </w:r>
      <w:r>
        <w:rPr>
          <w:rFonts w:hint="default" w:ascii="Times New Roman" w:hAnsi="Times New Roman" w:cs="Times New Roman" w:eastAsiaTheme="minorEastAsia"/>
          <w:b/>
          <w:bCs/>
          <w:color w:val="auto"/>
          <w:sz w:val="21"/>
          <w:szCs w:val="21"/>
          <w:lang w:val="en-US" w:eastAsia="zh-CN"/>
        </w:rPr>
        <w:t xml:space="preserve"> </w:t>
      </w:r>
      <w:r>
        <w:rPr>
          <w:rFonts w:hint="eastAsia" w:ascii="Times New Roman" w:hAnsi="Times New Roman" w:cs="Times New Roman" w:eastAsiaTheme="minorEastAsia"/>
          <w:b/>
          <w:bCs/>
          <w:color w:val="auto"/>
          <w:sz w:val="21"/>
          <w:szCs w:val="21"/>
          <w:lang w:val="en-US" w:eastAsia="zh-CN"/>
        </w:rPr>
        <w:t>声环境功能区划分结果</w:t>
      </w:r>
    </w:p>
    <w:tbl>
      <w:tblPr>
        <w:tblStyle w:val="25"/>
        <w:tblW w:w="852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66"/>
        <w:gridCol w:w="1066"/>
        <w:gridCol w:w="1066"/>
        <w:gridCol w:w="1066"/>
        <w:gridCol w:w="1066"/>
        <w:gridCol w:w="1066"/>
        <w:gridCol w:w="1066"/>
        <w:gridCol w:w="106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单元号</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单元面积</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包含地块</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地块面积</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用地分类</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Ⅰ类用地比例</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Ⅱ类用地比例</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确定单元类型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75</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237374</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405</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237374</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Ⅰ类</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100</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default" w:ascii="宋体" w:hAnsi="宋体" w:eastAsia="宋体" w:cs="宋体"/>
                <w:sz w:val="21"/>
                <w:szCs w:val="21"/>
                <w:lang w:val="en-US" w:eastAsia="zh-CN"/>
              </w:rPr>
              <w:t>类</w:t>
            </w:r>
            <w:r>
              <w:rPr>
                <w:rFonts w:hint="eastAsia" w:ascii="宋体" w:hAnsi="宋体" w:eastAsia="宋体" w:cs="宋体"/>
                <w:sz w:val="21"/>
                <w:szCs w:val="21"/>
                <w:lang w:val="en-US" w:eastAsia="zh-CN"/>
              </w:rPr>
              <w:t>区</w:t>
            </w:r>
          </w:p>
        </w:tc>
      </w:tr>
    </w:tbl>
    <w:p>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根据以上统计结果，该区域土地利用类型为</w:t>
      </w:r>
      <w:r>
        <w:rPr>
          <w:rFonts w:hint="eastAsia" w:ascii="宋体" w:hAnsi="宋体" w:eastAsia="宋体" w:cs="宋体"/>
          <w:color w:val="auto"/>
          <w:sz w:val="24"/>
          <w:szCs w:val="24"/>
          <w:lang w:val="en-US" w:eastAsia="zh-CN"/>
        </w:rPr>
        <w:t>公园绿地，且</w:t>
      </w:r>
      <w:r>
        <w:rPr>
          <w:rFonts w:hint="eastAsia" w:ascii="宋体" w:hAnsi="宋体" w:eastAsia="宋体" w:cs="宋体"/>
          <w:color w:val="auto"/>
          <w:sz w:val="24"/>
          <w:szCs w:val="24"/>
        </w:rPr>
        <w:t>该部分Ⅰ类土地占比为</w:t>
      </w:r>
      <w:r>
        <w:rPr>
          <w:rFonts w:hint="eastAsia" w:ascii="宋体" w:hAnsi="宋体" w:eastAsia="宋体" w:cs="宋体"/>
          <w:color w:val="auto"/>
          <w:sz w:val="24"/>
          <w:szCs w:val="24"/>
          <w:lang w:val="en-US" w:eastAsia="zh-CN"/>
        </w:rPr>
        <w:t>100</w:t>
      </w:r>
      <w:r>
        <w:rPr>
          <w:rFonts w:hint="default" w:ascii="宋体" w:hAnsi="宋体" w:eastAsia="宋体" w:cs="宋体"/>
          <w:color w:val="auto"/>
          <w:sz w:val="24"/>
          <w:szCs w:val="24"/>
        </w:rPr>
        <w:t>%</w:t>
      </w:r>
      <w:r>
        <w:rPr>
          <w:rFonts w:hint="eastAsia" w:ascii="宋体" w:hAnsi="宋体" w:eastAsia="宋体" w:cs="宋体"/>
          <w:color w:val="auto"/>
          <w:sz w:val="24"/>
          <w:szCs w:val="24"/>
        </w:rPr>
        <w:t>，占地率大于</w:t>
      </w:r>
      <w:r>
        <w:rPr>
          <w:rFonts w:hint="default" w:ascii="宋体" w:hAnsi="宋体" w:eastAsia="宋体" w:cs="宋体"/>
          <w:color w:val="auto"/>
          <w:sz w:val="24"/>
          <w:szCs w:val="24"/>
        </w:rPr>
        <w:t>70%</w:t>
      </w:r>
      <w:r>
        <w:rPr>
          <w:rFonts w:hint="eastAsia" w:ascii="宋体" w:hAnsi="宋体" w:eastAsia="宋体" w:cs="宋体"/>
          <w:color w:val="auto"/>
          <w:sz w:val="24"/>
          <w:szCs w:val="24"/>
        </w:rPr>
        <w:t>，满足</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类声功能区划的要求，因此，本次将其划分为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类区是合理的。</w:t>
      </w:r>
    </w:p>
    <w:p>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上期区划未对此地块进行划分，</w:t>
      </w:r>
      <w:r>
        <w:rPr>
          <w:rFonts w:hint="eastAsia" w:ascii="宋体" w:hAnsi="宋体" w:eastAsia="宋体" w:cs="宋体"/>
          <w:color w:val="auto"/>
          <w:sz w:val="24"/>
          <w:szCs w:val="24"/>
        </w:rPr>
        <w:t>本次区划划分为</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类区。地理</w:t>
      </w:r>
      <w:r>
        <w:rPr>
          <w:rFonts w:hint="eastAsia" w:ascii="宋体" w:hAnsi="宋体" w:eastAsia="宋体" w:cs="宋体"/>
          <w:color w:val="auto"/>
          <w:sz w:val="24"/>
          <w:szCs w:val="24"/>
          <w:lang w:val="en-US" w:eastAsia="zh-CN"/>
        </w:rPr>
        <w:t>位置</w:t>
      </w:r>
      <w:r>
        <w:rPr>
          <w:rFonts w:hint="eastAsia" w:ascii="宋体" w:hAnsi="宋体" w:eastAsia="宋体" w:cs="宋体"/>
          <w:color w:val="auto"/>
          <w:sz w:val="24"/>
          <w:szCs w:val="24"/>
        </w:rPr>
        <w:t>边界范围：北至规划六街，东至曲绛线、南至南环路——规划边界 ，西至绛山路。该部分的主要土地利用类型见下表。</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 xml:space="preserve">表 </w:t>
      </w:r>
      <w:r>
        <w:rPr>
          <w:rFonts w:hint="default" w:ascii="Times New Roman" w:hAnsi="Times New Roman" w:cs="Times New Roman" w:eastAsiaTheme="minorEastAsia"/>
          <w:b/>
          <w:bCs/>
          <w:color w:val="auto"/>
          <w:sz w:val="21"/>
          <w:szCs w:val="21"/>
          <w:lang w:val="en-US" w:eastAsia="zh-CN"/>
        </w:rPr>
        <w:t>5-</w:t>
      </w:r>
      <w:r>
        <w:rPr>
          <w:rFonts w:hint="eastAsia" w:cs="Times New Roman" w:eastAsiaTheme="minorEastAsia"/>
          <w:b/>
          <w:bCs/>
          <w:color w:val="auto"/>
          <w:sz w:val="21"/>
          <w:szCs w:val="21"/>
          <w:lang w:val="en-US" w:eastAsia="zh-CN"/>
        </w:rPr>
        <w:t>18</w:t>
      </w:r>
      <w:r>
        <w:rPr>
          <w:rFonts w:hint="eastAsia" w:ascii="Times New Roman" w:hAnsi="Times New Roman" w:cs="Times New Roman" w:eastAsiaTheme="minorEastAsia"/>
          <w:b/>
          <w:bCs/>
          <w:color w:val="auto"/>
          <w:sz w:val="21"/>
          <w:szCs w:val="21"/>
          <w:lang w:val="en-US" w:eastAsia="zh-CN"/>
        </w:rPr>
        <w:t xml:space="preserve">   </w:t>
      </w:r>
      <w:r>
        <w:rPr>
          <w:rFonts w:hint="default" w:ascii="Times New Roman" w:hAnsi="Times New Roman" w:cs="Times New Roman" w:eastAsiaTheme="minorEastAsia"/>
          <w:b/>
          <w:bCs/>
          <w:color w:val="auto"/>
          <w:sz w:val="21"/>
          <w:szCs w:val="21"/>
          <w:lang w:val="en-US" w:eastAsia="zh-CN"/>
        </w:rPr>
        <w:t xml:space="preserve"> </w:t>
      </w:r>
      <w:r>
        <w:rPr>
          <w:rFonts w:hint="eastAsia" w:ascii="Times New Roman" w:hAnsi="Times New Roman" w:cs="Times New Roman" w:eastAsiaTheme="minorEastAsia"/>
          <w:b/>
          <w:bCs/>
          <w:color w:val="auto"/>
          <w:sz w:val="21"/>
          <w:szCs w:val="21"/>
          <w:lang w:val="en-US" w:eastAsia="zh-CN"/>
        </w:rPr>
        <w:t>声环境功能区划分结果</w:t>
      </w:r>
    </w:p>
    <w:tbl>
      <w:tblPr>
        <w:tblStyle w:val="25"/>
        <w:tblW w:w="852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66"/>
        <w:gridCol w:w="1066"/>
        <w:gridCol w:w="1066"/>
        <w:gridCol w:w="1066"/>
        <w:gridCol w:w="1066"/>
        <w:gridCol w:w="1066"/>
        <w:gridCol w:w="1066"/>
        <w:gridCol w:w="106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单元号</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单元面积</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包含地块</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地块面积</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用地分类</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Ⅰ类用地比例</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Ⅱ类用地比例</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确定单元类型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74</w:t>
            </w:r>
          </w:p>
        </w:tc>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187803</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404</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eastAsia" w:ascii="宋体" w:hAnsi="宋体" w:eastAsia="宋体" w:cs="宋体"/>
                <w:i w:val="0"/>
                <w:color w:val="000000"/>
                <w:kern w:val="0"/>
                <w:sz w:val="24"/>
                <w:szCs w:val="24"/>
                <w:u w:val="none"/>
                <w:lang w:val="en-US" w:eastAsia="zh-CN" w:bidi="ar"/>
              </w:rPr>
              <w:t>58625</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eastAsia" w:ascii="Times New Roman" w:hAnsi="Times New Roman" w:eastAsia="Times New Roman"/>
                <w:sz w:val="24"/>
                <w:szCs w:val="24"/>
                <w:highlight w:val="none"/>
                <w:lang w:val="en-US" w:eastAsia="zh-CN"/>
              </w:rPr>
              <w:t>Ⅰ类</w:t>
            </w:r>
          </w:p>
        </w:tc>
        <w:tc>
          <w:tcPr>
            <w:tcW w:w="1066"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default" w:ascii="宋体" w:hAnsi="宋体" w:eastAsia="宋体" w:cs="宋体"/>
                <w:sz w:val="21"/>
                <w:szCs w:val="21"/>
                <w:lang w:val="en-US" w:eastAsia="zh-CN"/>
              </w:rPr>
            </w:pPr>
            <w:r>
              <w:rPr>
                <w:rFonts w:hint="eastAsia" w:ascii="宋体" w:hAnsi="宋体" w:eastAsia="宋体" w:cs="宋体"/>
                <w:i w:val="0"/>
                <w:color w:val="000000"/>
                <w:kern w:val="0"/>
                <w:sz w:val="24"/>
                <w:szCs w:val="24"/>
                <w:u w:val="none"/>
                <w:lang w:val="en-US" w:eastAsia="zh-CN" w:bidi="ar"/>
              </w:rPr>
              <w:t>24.72</w:t>
            </w:r>
          </w:p>
        </w:tc>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1"/>
                <w:szCs w:val="21"/>
                <w:lang w:val="en-US" w:eastAsia="zh-CN"/>
              </w:rPr>
            </w:pPr>
            <w:r>
              <w:rPr>
                <w:rFonts w:hint="eastAsia" w:cs="Times New Roman" w:eastAsiaTheme="minorEastAsia"/>
                <w:b w:val="0"/>
                <w:bCs w:val="0"/>
                <w:color w:val="auto"/>
                <w:sz w:val="24"/>
                <w:szCs w:val="24"/>
                <w:highlight w:val="none"/>
                <w:vertAlign w:val="baseline"/>
                <w:lang w:val="en-US" w:eastAsia="zh-CN"/>
              </w:rPr>
              <w:t>0</w:t>
            </w:r>
          </w:p>
        </w:tc>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1"/>
                <w:szCs w:val="21"/>
                <w:lang w:val="en-US" w:eastAsia="zh-CN"/>
              </w:rPr>
            </w:pPr>
            <w:r>
              <w:rPr>
                <w:rFonts w:hint="eastAsia" w:cs="Times New Roman" w:eastAsiaTheme="minorEastAsia"/>
                <w:b w:val="0"/>
                <w:bCs w:val="0"/>
                <w:color w:val="auto"/>
                <w:sz w:val="24"/>
                <w:szCs w:val="24"/>
                <w:highlight w:val="none"/>
                <w:vertAlign w:val="baseline"/>
                <w:lang w:val="en-US" w:eastAsia="zh-CN"/>
              </w:rPr>
              <w:t>2类区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429</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eastAsia" w:ascii="宋体" w:hAnsi="宋体" w:eastAsia="宋体" w:cs="宋体"/>
                <w:i w:val="0"/>
                <w:color w:val="000000"/>
                <w:kern w:val="0"/>
                <w:sz w:val="24"/>
                <w:szCs w:val="24"/>
                <w:u w:val="none"/>
                <w:lang w:val="en-US" w:eastAsia="zh-CN" w:bidi="ar"/>
              </w:rPr>
              <w:t>178556</w:t>
            </w:r>
          </w:p>
        </w:tc>
        <w:tc>
          <w:tcPr>
            <w:tcW w:w="106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center"/>
              <w:textAlignment w:val="top"/>
              <w:outlineLvl w:val="9"/>
              <w:rPr>
                <w:rFonts w:hint="eastAsia" w:ascii="宋体" w:hAnsi="宋体" w:eastAsia="宋体" w:cs="宋体"/>
                <w:sz w:val="21"/>
                <w:szCs w:val="21"/>
                <w:lang w:val="en-US" w:eastAsia="zh-CN"/>
              </w:rPr>
            </w:pPr>
            <w:r>
              <w:rPr>
                <w:rFonts w:hint="eastAsia" w:ascii="宋体" w:hAnsi="宋体" w:eastAsia="宋体" w:cs="宋体"/>
                <w:i w:val="0"/>
                <w:color w:val="000000"/>
                <w:sz w:val="24"/>
                <w:szCs w:val="24"/>
                <w:u w:val="none"/>
                <w:lang w:val="en-US" w:eastAsia="zh-CN"/>
              </w:rPr>
              <w:t>其他</w:t>
            </w: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bl>
    <w:p>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根据上表可知，该区域土地利用类型为</w:t>
      </w:r>
      <w:r>
        <w:rPr>
          <w:rFonts w:hint="eastAsia" w:ascii="宋体" w:hAnsi="宋体" w:eastAsia="宋体" w:cs="宋体"/>
          <w:color w:val="auto"/>
          <w:sz w:val="24"/>
          <w:szCs w:val="24"/>
          <w:lang w:val="en-US" w:eastAsia="zh-CN"/>
        </w:rPr>
        <w:t>居住兼容商业</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由于Ⅰ类用地比例占地率小于70%，</w:t>
      </w:r>
      <w:r>
        <w:rPr>
          <w:rFonts w:hint="eastAsia" w:ascii="宋体" w:hAnsi="宋体" w:eastAsia="宋体" w:cs="宋体"/>
          <w:color w:val="auto"/>
          <w:sz w:val="24"/>
          <w:szCs w:val="24"/>
        </w:rPr>
        <w:t>暂时将其划分2类区</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因此，本次将其划分为</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类区是合理的。</w:t>
      </w:r>
    </w:p>
    <w:p>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上期区划未对此地块进行划分，</w:t>
      </w:r>
      <w:r>
        <w:rPr>
          <w:rFonts w:hint="eastAsia" w:ascii="宋体" w:hAnsi="宋体" w:eastAsia="宋体" w:cs="宋体"/>
          <w:color w:val="auto"/>
          <w:sz w:val="24"/>
          <w:szCs w:val="24"/>
        </w:rPr>
        <w:t>本次区划划分为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类区。地理</w:t>
      </w:r>
      <w:r>
        <w:rPr>
          <w:rFonts w:hint="eastAsia" w:ascii="宋体" w:hAnsi="宋体" w:eastAsia="宋体" w:cs="宋体"/>
          <w:color w:val="auto"/>
          <w:sz w:val="24"/>
          <w:szCs w:val="24"/>
          <w:lang w:val="en-US" w:eastAsia="zh-CN"/>
        </w:rPr>
        <w:t>位置</w:t>
      </w:r>
      <w:r>
        <w:rPr>
          <w:rFonts w:hint="eastAsia" w:ascii="宋体" w:hAnsi="宋体" w:eastAsia="宋体" w:cs="宋体"/>
          <w:color w:val="auto"/>
          <w:sz w:val="24"/>
          <w:szCs w:val="24"/>
        </w:rPr>
        <w:t>边界范围：北至规划六街，东至曲绛线、南至南环路——规划边界 ，西至绛山路。该部分的主要土地利用类型见下表。</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b/>
          <w:bCs/>
          <w:color w:val="auto"/>
          <w:sz w:val="21"/>
          <w:szCs w:val="21"/>
          <w:lang w:val="en-US" w:eastAsia="zh-CN"/>
        </w:rPr>
      </w:pPr>
      <w:r>
        <w:rPr>
          <w:rFonts w:hint="eastAsia" w:ascii="Times New Roman" w:hAnsi="Times New Roman" w:cs="Times New Roman" w:eastAsiaTheme="minorEastAsia"/>
          <w:b/>
          <w:bCs/>
          <w:color w:val="auto"/>
          <w:sz w:val="21"/>
          <w:szCs w:val="21"/>
          <w:lang w:val="en-US" w:eastAsia="zh-CN"/>
        </w:rPr>
        <w:t xml:space="preserve">表 </w:t>
      </w:r>
      <w:r>
        <w:rPr>
          <w:rFonts w:hint="default" w:ascii="Times New Roman" w:hAnsi="Times New Roman" w:cs="Times New Roman" w:eastAsiaTheme="minorEastAsia"/>
          <w:b/>
          <w:bCs/>
          <w:color w:val="auto"/>
          <w:sz w:val="21"/>
          <w:szCs w:val="21"/>
          <w:lang w:val="en-US" w:eastAsia="zh-CN"/>
        </w:rPr>
        <w:t>5-</w:t>
      </w:r>
      <w:r>
        <w:rPr>
          <w:rFonts w:hint="eastAsia" w:cs="Times New Roman" w:eastAsiaTheme="minorEastAsia"/>
          <w:b/>
          <w:bCs/>
          <w:color w:val="auto"/>
          <w:sz w:val="21"/>
          <w:szCs w:val="21"/>
          <w:lang w:val="en-US" w:eastAsia="zh-CN"/>
        </w:rPr>
        <w:t>19</w:t>
      </w:r>
      <w:r>
        <w:rPr>
          <w:rFonts w:hint="eastAsia" w:ascii="Times New Roman" w:hAnsi="Times New Roman" w:cs="Times New Roman" w:eastAsiaTheme="minorEastAsia"/>
          <w:b/>
          <w:bCs/>
          <w:color w:val="auto"/>
          <w:sz w:val="21"/>
          <w:szCs w:val="21"/>
          <w:lang w:val="en-US" w:eastAsia="zh-CN"/>
        </w:rPr>
        <w:t xml:space="preserve">   </w:t>
      </w:r>
      <w:r>
        <w:rPr>
          <w:rFonts w:hint="default" w:ascii="Times New Roman" w:hAnsi="Times New Roman" w:cs="Times New Roman" w:eastAsiaTheme="minorEastAsia"/>
          <w:b/>
          <w:bCs/>
          <w:color w:val="auto"/>
          <w:sz w:val="21"/>
          <w:szCs w:val="21"/>
          <w:lang w:val="en-US" w:eastAsia="zh-CN"/>
        </w:rPr>
        <w:t xml:space="preserve"> </w:t>
      </w:r>
      <w:r>
        <w:rPr>
          <w:rFonts w:hint="eastAsia" w:ascii="Times New Roman" w:hAnsi="Times New Roman" w:cs="Times New Roman" w:eastAsiaTheme="minorEastAsia"/>
          <w:b/>
          <w:bCs/>
          <w:color w:val="auto"/>
          <w:sz w:val="21"/>
          <w:szCs w:val="21"/>
          <w:lang w:val="en-US" w:eastAsia="zh-CN"/>
        </w:rPr>
        <w:t>声环境功能区划分结果</w:t>
      </w:r>
    </w:p>
    <w:tbl>
      <w:tblPr>
        <w:tblStyle w:val="25"/>
        <w:tblW w:w="852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66"/>
        <w:gridCol w:w="1066"/>
        <w:gridCol w:w="1066"/>
        <w:gridCol w:w="1066"/>
        <w:gridCol w:w="1066"/>
        <w:gridCol w:w="1066"/>
        <w:gridCol w:w="1066"/>
        <w:gridCol w:w="106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单元号</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单元面积</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包含地块</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地块面积</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用地分类</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Ⅰ类用地比例</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Ⅱ类用地比例</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确定单元类型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73</w:t>
            </w:r>
          </w:p>
        </w:tc>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187803</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420</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57475</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Ⅰ类</w:t>
            </w:r>
          </w:p>
        </w:tc>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ascii="宋体" w:hAnsi="宋体" w:eastAsia="宋体" w:cs="宋体"/>
                <w:sz w:val="21"/>
                <w:szCs w:val="21"/>
                <w:lang w:val="en-US" w:eastAsia="zh-CN"/>
              </w:rPr>
            </w:pPr>
            <w:r>
              <w:rPr>
                <w:rFonts w:hint="eastAsia" w:ascii="宋体" w:hAnsi="宋体" w:eastAsia="宋体" w:cs="宋体"/>
                <w:i w:val="0"/>
                <w:color w:val="000000"/>
                <w:kern w:val="0"/>
                <w:sz w:val="24"/>
                <w:szCs w:val="24"/>
                <w:u w:val="none"/>
                <w:lang w:val="en-US" w:eastAsia="zh-CN" w:bidi="ar"/>
              </w:rPr>
              <w:t>72.90</w:t>
            </w:r>
          </w:p>
        </w:tc>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1"/>
                <w:szCs w:val="21"/>
                <w:lang w:val="en-US" w:eastAsia="zh-CN"/>
              </w:rPr>
            </w:pPr>
            <w:r>
              <w:rPr>
                <w:rFonts w:hint="eastAsia" w:cs="Times New Roman" w:eastAsiaTheme="minorEastAsia"/>
                <w:b w:val="0"/>
                <w:bCs w:val="0"/>
                <w:color w:val="auto"/>
                <w:sz w:val="24"/>
                <w:szCs w:val="24"/>
                <w:vertAlign w:val="baseline"/>
                <w:lang w:val="en-US" w:eastAsia="zh-CN"/>
              </w:rPr>
              <w:t>0</w:t>
            </w:r>
          </w:p>
        </w:tc>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sz w:val="21"/>
                <w:szCs w:val="21"/>
                <w:lang w:val="en-US" w:eastAsia="zh-CN"/>
              </w:rPr>
            </w:pPr>
            <w:r>
              <w:rPr>
                <w:rFonts w:hint="eastAsia" w:cs="Times New Roman" w:eastAsiaTheme="minorEastAsia"/>
                <w:b w:val="0"/>
                <w:bCs w:val="0"/>
                <w:color w:val="auto"/>
                <w:sz w:val="24"/>
                <w:szCs w:val="24"/>
                <w:vertAlign w:val="baseline"/>
                <w:lang w:val="en-US" w:eastAsia="zh-CN"/>
              </w:rPr>
              <w:t>1类区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default"/>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421</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79427</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Ⅰ类</w:t>
            </w: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422</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50901</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其他</w:t>
            </w: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bl>
    <w:p>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lang w:eastAsia="zh-CN"/>
        </w:rPr>
      </w:pPr>
      <w:r>
        <w:rPr>
          <w:rFonts w:hint="eastAsia" w:ascii="宋体" w:hAnsi="宋体" w:eastAsia="宋体" w:cs="宋体"/>
          <w:color w:val="auto"/>
          <w:sz w:val="24"/>
          <w:szCs w:val="24"/>
        </w:rPr>
        <w:t>根据上表可知，该区域土地利用类型为</w:t>
      </w:r>
      <w:r>
        <w:rPr>
          <w:rFonts w:hint="eastAsia" w:ascii="宋体" w:hAnsi="宋体" w:eastAsia="宋体" w:cs="宋体"/>
          <w:color w:val="auto"/>
          <w:sz w:val="24"/>
          <w:szCs w:val="24"/>
          <w:lang w:val="en-US" w:eastAsia="zh-CN"/>
        </w:rPr>
        <w:t>居住，公园绿地</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Ⅰ类用地比例占地率72.90%，</w:t>
      </w:r>
      <w:r>
        <w:rPr>
          <w:rFonts w:hint="eastAsia" w:ascii="宋体" w:hAnsi="宋体" w:eastAsia="宋体" w:cs="宋体"/>
          <w:color w:val="auto"/>
          <w:sz w:val="24"/>
          <w:szCs w:val="24"/>
        </w:rPr>
        <w:t>占地率大于</w:t>
      </w:r>
      <w:r>
        <w:rPr>
          <w:rFonts w:hint="default" w:ascii="宋体" w:hAnsi="宋体" w:eastAsia="宋体" w:cs="宋体"/>
          <w:color w:val="auto"/>
          <w:sz w:val="24"/>
          <w:szCs w:val="24"/>
        </w:rPr>
        <w:t>70%</w:t>
      </w:r>
      <w:r>
        <w:rPr>
          <w:rFonts w:hint="eastAsia" w:ascii="宋体" w:hAnsi="宋体" w:eastAsia="宋体" w:cs="宋体"/>
          <w:color w:val="auto"/>
          <w:sz w:val="24"/>
          <w:szCs w:val="24"/>
        </w:rPr>
        <w:t>，满足</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类声功能区划的要求，因此，本次将其划分为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类区是合理的。</w:t>
      </w:r>
    </w:p>
    <w:p>
      <w:pPr>
        <w:pStyle w:val="2"/>
        <w:keepNext/>
        <w:keepLines/>
        <w:pageBreakBefore w:val="0"/>
        <w:widowControl w:val="0"/>
        <w:numPr>
          <w:ilvl w:val="0"/>
          <w:numId w:val="0"/>
        </w:numPr>
        <w:kinsoku/>
        <w:wordWrap/>
        <w:overflowPunct/>
        <w:topLinePunct w:val="0"/>
        <w:autoSpaceDE/>
        <w:autoSpaceDN/>
        <w:bidi w:val="0"/>
        <w:adjustRightInd/>
        <w:snapToGrid/>
        <w:spacing w:before="0" w:beforeLines="0" w:line="360" w:lineRule="auto"/>
        <w:ind w:leftChars="0"/>
        <w:jc w:val="both"/>
        <w:textAlignment w:val="auto"/>
        <w:rPr>
          <w:rFonts w:hint="eastAsia" w:cs="Times New Roman" w:eastAsiaTheme="minorEastAsia"/>
          <w:color w:val="auto"/>
          <w:sz w:val="32"/>
          <w:szCs w:val="32"/>
          <w:highlight w:val="none"/>
          <w:lang w:val="en-US" w:eastAsia="zh-CN"/>
        </w:rPr>
      </w:pPr>
      <w:bookmarkStart w:id="29" w:name="_Toc11107"/>
      <w:r>
        <w:rPr>
          <w:rFonts w:hint="eastAsia" w:cs="Times New Roman" w:eastAsiaTheme="minorEastAsia"/>
          <w:color w:val="auto"/>
          <w:sz w:val="32"/>
          <w:szCs w:val="32"/>
          <w:highlight w:val="none"/>
          <w:lang w:val="en-US" w:eastAsia="zh-CN"/>
        </w:rPr>
        <w:t>6 声环境功能区划定结果的可行性分析</w:t>
      </w:r>
      <w:bookmarkEnd w:id="29"/>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eastAsia" w:cs="Times New Roman" w:eastAsiaTheme="minorEastAsia"/>
          <w:color w:val="auto"/>
          <w:sz w:val="30"/>
          <w:szCs w:val="30"/>
          <w:highlight w:val="none"/>
          <w:lang w:val="en-US" w:eastAsia="zh-CN"/>
        </w:rPr>
      </w:pPr>
      <w:bookmarkStart w:id="30" w:name="_Toc21783"/>
      <w:r>
        <w:rPr>
          <w:rFonts w:hint="eastAsia" w:cs="Times New Roman" w:eastAsiaTheme="minorEastAsia"/>
          <w:color w:val="auto"/>
          <w:sz w:val="30"/>
          <w:szCs w:val="30"/>
          <w:highlight w:val="none"/>
          <w:lang w:val="en-US" w:eastAsia="zh-CN"/>
        </w:rPr>
        <w:t>6.1 与县城总体规划的协调性分析</w:t>
      </w:r>
      <w:bookmarkEnd w:id="30"/>
    </w:p>
    <w:p>
      <w:pPr>
        <w:spacing w:beforeLines="0" w:afterLines="0"/>
        <w:jc w:val="left"/>
        <w:rPr>
          <w:rFonts w:hint="eastAsia" w:ascii="宋体" w:hAnsi="宋体" w:eastAsia="宋体"/>
          <w:sz w:val="24"/>
        </w:rPr>
      </w:pPr>
      <w:r>
        <w:rPr>
          <w:rFonts w:hint="eastAsia" w:ascii="宋体" w:hAnsi="宋体" w:eastAsia="宋体"/>
          <w:sz w:val="24"/>
        </w:rPr>
        <w:t>根据曲沃县城市现状布局和</w:t>
      </w:r>
      <w:r>
        <w:rPr>
          <w:rFonts w:hint="eastAsia" w:ascii="宋体" w:hAnsi="宋体" w:eastAsia="宋体"/>
          <w:sz w:val="24"/>
          <w:lang w:val="en-US" w:eastAsia="zh-CN"/>
        </w:rPr>
        <w:t>用地类型</w:t>
      </w:r>
      <w:r>
        <w:rPr>
          <w:rFonts w:hint="eastAsia" w:ascii="宋体" w:hAnsi="宋体" w:eastAsia="宋体"/>
          <w:sz w:val="24"/>
        </w:rPr>
        <w:t>相关内容，结合卫星图及实地勘察，确定曲沃县</w:t>
      </w:r>
      <w:r>
        <w:rPr>
          <w:rFonts w:hint="eastAsia" w:ascii="宋体" w:hAnsi="宋体" w:eastAsia="宋体"/>
          <w:sz w:val="24"/>
          <w:lang w:val="en-US" w:eastAsia="zh-CN"/>
        </w:rPr>
        <w:t>此次区划总面积</w:t>
      </w:r>
      <w:r>
        <w:rPr>
          <w:rFonts w:hint="eastAsia" w:ascii="宋体" w:hAnsi="宋体" w:eastAsia="宋体"/>
          <w:sz w:val="24"/>
        </w:rPr>
        <w:t>为</w:t>
      </w:r>
      <w:r>
        <w:rPr>
          <w:rFonts w:hint="eastAsia" w:ascii="TimesNewRomanPSMT" w:hAnsi="TimesNewRomanPSMT" w:eastAsia="宋体"/>
          <w:sz w:val="24"/>
          <w:lang w:val="en-US" w:eastAsia="zh-CN"/>
        </w:rPr>
        <w:t>15.18</w:t>
      </w:r>
      <w:r>
        <w:rPr>
          <w:rFonts w:hint="eastAsia" w:ascii="TimesNewRomanPSMT" w:hAnsi="TimesNewRomanPSMT" w:eastAsia="TimesNewRomanPSMT"/>
          <w:sz w:val="24"/>
        </w:rPr>
        <w:t>km</w:t>
      </w:r>
      <w:r>
        <w:rPr>
          <w:rFonts w:hint="eastAsia" w:ascii="TimesNewRomanPSMT" w:hAnsi="TimesNewRomanPSMT" w:eastAsia="宋体"/>
          <w:sz w:val="24"/>
          <w:vertAlign w:val="superscript"/>
          <w:lang w:val="en-US" w:eastAsia="zh-CN"/>
        </w:rPr>
        <w:t>2</w:t>
      </w:r>
      <w:r>
        <w:rPr>
          <w:rFonts w:hint="eastAsia" w:ascii="宋体" w:hAnsi="宋体" w:eastAsia="宋体"/>
          <w:sz w:val="24"/>
        </w:rPr>
        <w:t>，本次区划范围以《曲沃县县城总体规划（</w:t>
      </w:r>
      <w:r>
        <w:rPr>
          <w:rFonts w:hint="eastAsia" w:ascii="TimesNewRomanPSMT" w:hAnsi="TimesNewRomanPSMT" w:eastAsia="TimesNewRomanPSMT"/>
          <w:sz w:val="24"/>
        </w:rPr>
        <w:t>2014~2030</w:t>
      </w:r>
      <w:r>
        <w:rPr>
          <w:rFonts w:hint="eastAsia" w:ascii="宋体" w:hAnsi="宋体" w:eastAsia="宋体"/>
          <w:sz w:val="24"/>
        </w:rPr>
        <w:t>）》范围为主要依据，结合曲沃县建成区进行修正，最终确定此次区划总面积为</w:t>
      </w:r>
      <w:r>
        <w:rPr>
          <w:rFonts w:hint="eastAsia" w:ascii="TimesNewRomanPSMT" w:hAnsi="TimesNewRomanPSMT" w:eastAsia="TimesNewRomanPSMT"/>
          <w:sz w:val="24"/>
        </w:rPr>
        <w:t>15.</w:t>
      </w:r>
      <w:r>
        <w:rPr>
          <w:rFonts w:hint="eastAsia" w:ascii="TimesNewRomanPSMT" w:hAnsi="TimesNewRomanPSMT" w:eastAsia="宋体"/>
          <w:sz w:val="24"/>
          <w:lang w:val="en-US" w:eastAsia="zh-CN"/>
        </w:rPr>
        <w:t>18</w:t>
      </w:r>
      <w:r>
        <w:rPr>
          <w:rFonts w:hint="eastAsia" w:ascii="TimesNewRomanPSMT" w:hAnsi="TimesNewRomanPSMT" w:eastAsia="TimesNewRomanPSMT"/>
          <w:sz w:val="24"/>
        </w:rPr>
        <w:t>km</w:t>
      </w:r>
      <w:r>
        <w:rPr>
          <w:rFonts w:hint="eastAsia" w:ascii="TimesNewRomanPSMT" w:hAnsi="TimesNewRomanPSMT" w:eastAsia="宋体"/>
          <w:sz w:val="24"/>
          <w:vertAlign w:val="superscript"/>
          <w:lang w:val="en-US" w:eastAsia="zh-CN"/>
        </w:rPr>
        <w:t>2</w:t>
      </w:r>
      <w:r>
        <w:rPr>
          <w:rFonts w:hint="eastAsia" w:ascii="宋体" w:hAnsi="宋体" w:eastAsia="宋体"/>
          <w:sz w:val="24"/>
        </w:rPr>
        <w:t>。曲沃县县城总体规划的用地类型作为本次声环境功能区划的参考。</w:t>
      </w:r>
    </w:p>
    <w:p>
      <w:pPr>
        <w:spacing w:beforeLines="0" w:afterLines="0"/>
        <w:jc w:val="left"/>
        <w:rPr>
          <w:rFonts w:hint="eastAsia" w:ascii="宋体" w:hAnsi="宋体" w:eastAsia="宋体"/>
          <w:sz w:val="24"/>
        </w:rPr>
      </w:pPr>
      <w:r>
        <w:rPr>
          <w:rFonts w:hint="eastAsia" w:ascii="宋体" w:hAnsi="宋体" w:eastAsia="宋体"/>
          <w:sz w:val="24"/>
        </w:rPr>
        <w:t>曲沃县声环境功能区划分是以曲沃县县城总体规划为指导，并辅以城市现状布局和声环境质量来进行的。区划中采用的相关数据来自《曲沃县县城总体规划</w:t>
      </w:r>
    </w:p>
    <w:p>
      <w:pPr>
        <w:spacing w:beforeLines="0" w:afterLines="0"/>
        <w:ind w:left="0" w:leftChars="0" w:firstLine="0" w:firstLineChars="0"/>
        <w:jc w:val="left"/>
        <w:rPr>
          <w:rFonts w:hint="eastAsia" w:ascii="宋体" w:hAnsi="宋体" w:eastAsia="宋体"/>
          <w:sz w:val="24"/>
        </w:rPr>
      </w:pPr>
      <w:r>
        <w:rPr>
          <w:rFonts w:hint="eastAsia" w:ascii="宋体" w:hAnsi="宋体" w:eastAsia="宋体"/>
          <w:sz w:val="24"/>
        </w:rPr>
        <w:t>（</w:t>
      </w:r>
      <w:r>
        <w:rPr>
          <w:rFonts w:hint="eastAsia" w:ascii="TimesNewRomanPSMT" w:hAnsi="TimesNewRomanPSMT" w:eastAsia="TimesNewRomanPSMT"/>
          <w:sz w:val="24"/>
        </w:rPr>
        <w:t xml:space="preserve">2007~2020 </w:t>
      </w:r>
      <w:r>
        <w:rPr>
          <w:rFonts w:hint="eastAsia" w:ascii="宋体" w:hAnsi="宋体" w:eastAsia="宋体"/>
          <w:sz w:val="24"/>
        </w:rPr>
        <w:t>年）》、《曲沃县县城总体规划（</w:t>
      </w:r>
      <w:r>
        <w:rPr>
          <w:rFonts w:hint="eastAsia" w:ascii="TimesNewRomanPSMT" w:hAnsi="TimesNewRomanPSMT" w:eastAsia="TimesNewRomanPSMT"/>
          <w:sz w:val="24"/>
        </w:rPr>
        <w:t>2014~2030</w:t>
      </w:r>
      <w:r>
        <w:rPr>
          <w:rFonts w:hint="eastAsia" w:ascii="宋体" w:hAnsi="宋体" w:eastAsia="宋体"/>
          <w:sz w:val="24"/>
        </w:rPr>
        <w:t>）》中城市性质、结构特征、城市总体规划、分区规划、近期建设规划和城市规划用地现状，特别是城市的现状用地情况和近期规划作为曲沃县声环境区划的主要依据。</w:t>
      </w:r>
    </w:p>
    <w:p>
      <w:pPr>
        <w:spacing w:beforeLines="0" w:afterLines="0"/>
        <w:jc w:val="left"/>
        <w:rPr>
          <w:rFonts w:hint="eastAsia" w:ascii="宋体" w:hAnsi="宋体" w:eastAsia="宋体"/>
          <w:sz w:val="24"/>
        </w:rPr>
      </w:pPr>
      <w:r>
        <w:rPr>
          <w:rFonts w:hint="eastAsia" w:ascii="宋体" w:hAnsi="宋体" w:eastAsia="宋体"/>
          <w:sz w:val="24"/>
        </w:rPr>
        <w:t>总体来说，本次声环境功能区划结果满足曲沃县县城总体规划及发展要求，与城市总体规划目标相一致。</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eastAsia" w:cs="Times New Roman" w:eastAsiaTheme="minorEastAsia"/>
          <w:color w:val="auto"/>
          <w:sz w:val="30"/>
          <w:szCs w:val="30"/>
          <w:highlight w:val="none"/>
          <w:lang w:val="en-US" w:eastAsia="zh-CN"/>
        </w:rPr>
      </w:pPr>
      <w:bookmarkStart w:id="31" w:name="_Toc9249"/>
      <w:r>
        <w:rPr>
          <w:rFonts w:hint="eastAsia" w:cs="Times New Roman" w:eastAsiaTheme="minorEastAsia"/>
          <w:color w:val="auto"/>
          <w:sz w:val="30"/>
          <w:szCs w:val="30"/>
          <w:highlight w:val="none"/>
          <w:lang w:val="en-US" w:eastAsia="zh-CN"/>
        </w:rPr>
        <w:t>6.2 区划目标的可达性分析</w:t>
      </w:r>
      <w:bookmarkEnd w:id="31"/>
    </w:p>
    <w:p>
      <w:pPr>
        <w:spacing w:beforeLines="0" w:afterLines="0"/>
        <w:jc w:val="left"/>
        <w:rPr>
          <w:rFonts w:hint="eastAsia" w:ascii="宋体" w:hAnsi="宋体" w:eastAsia="宋体"/>
          <w:sz w:val="24"/>
        </w:rPr>
      </w:pPr>
      <w:r>
        <w:rPr>
          <w:rFonts w:hint="eastAsia" w:ascii="宋体" w:hAnsi="宋体" w:eastAsia="宋体"/>
          <w:sz w:val="24"/>
        </w:rPr>
        <w:t>根据</w:t>
      </w:r>
      <w:r>
        <w:rPr>
          <w:rFonts w:hint="eastAsia" w:ascii="宋体" w:hAnsi="宋体" w:eastAsia="宋体"/>
          <w:sz w:val="24"/>
          <w:lang w:val="en-US" w:eastAsia="zh-CN"/>
        </w:rPr>
        <w:t>曲沃</w:t>
      </w:r>
      <w:r>
        <w:rPr>
          <w:rFonts w:hint="eastAsia" w:ascii="宋体" w:hAnsi="宋体" w:eastAsia="宋体"/>
          <w:sz w:val="24"/>
        </w:rPr>
        <w:t>县城市区域噪声环境现状监测结果，结合本次区域的成果分析各类功能区的达标情况，见下表。</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eastAsiaTheme="minorEastAsia"/>
          <w:b/>
          <w:bCs/>
          <w:color w:val="0000FF"/>
          <w:sz w:val="21"/>
          <w:szCs w:val="21"/>
          <w:lang w:val="en-US" w:eastAsia="zh-CN"/>
        </w:rPr>
      </w:pPr>
      <w:r>
        <w:rPr>
          <w:rFonts w:hint="eastAsia" w:cs="Times New Roman" w:eastAsiaTheme="minorEastAsia"/>
          <w:b/>
          <w:bCs/>
          <w:color w:val="0000FF"/>
          <w:sz w:val="21"/>
          <w:szCs w:val="21"/>
          <w:lang w:val="en-US" w:eastAsia="zh-CN"/>
        </w:rPr>
        <w:t xml:space="preserve">表6-1   </w:t>
      </w:r>
      <w:r>
        <w:rPr>
          <w:rFonts w:hint="default" w:cs="Times New Roman" w:eastAsiaTheme="minorEastAsia"/>
          <w:b/>
          <w:bCs/>
          <w:color w:val="0000FF"/>
          <w:sz w:val="21"/>
          <w:szCs w:val="21"/>
          <w:lang w:val="en-US" w:eastAsia="zh-CN"/>
        </w:rPr>
        <w:t xml:space="preserve"> </w:t>
      </w:r>
      <w:r>
        <w:rPr>
          <w:rFonts w:hint="eastAsia" w:cs="Times New Roman" w:eastAsiaTheme="minorEastAsia"/>
          <w:b/>
          <w:bCs/>
          <w:color w:val="0000FF"/>
          <w:sz w:val="21"/>
          <w:szCs w:val="21"/>
          <w:lang w:val="en-US" w:eastAsia="zh-CN"/>
        </w:rPr>
        <w:t>曲沃县声</w:t>
      </w:r>
      <w:r>
        <w:rPr>
          <w:rFonts w:hint="default" w:cs="Times New Roman" w:eastAsiaTheme="minorEastAsia"/>
          <w:b/>
          <w:bCs/>
          <w:color w:val="0000FF"/>
          <w:sz w:val="21"/>
          <w:szCs w:val="21"/>
          <w:lang w:val="en-US" w:eastAsia="zh-CN"/>
        </w:rPr>
        <w:t>功能区噪声达标情况</w:t>
      </w:r>
    </w:p>
    <w:tbl>
      <w:tblPr>
        <w:tblStyle w:val="25"/>
        <w:tblW w:w="852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66"/>
        <w:gridCol w:w="1066"/>
        <w:gridCol w:w="1066"/>
        <w:gridCol w:w="1066"/>
        <w:gridCol w:w="1066"/>
        <w:gridCol w:w="1066"/>
        <w:gridCol w:w="1066"/>
        <w:gridCol w:w="106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功能区</w:t>
            </w:r>
          </w:p>
        </w:tc>
        <w:tc>
          <w:tcPr>
            <w:tcW w:w="1066" w:type="dxa"/>
            <w:vMerge w:val="restart"/>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网格数</w:t>
            </w:r>
          </w:p>
        </w:tc>
        <w:tc>
          <w:tcPr>
            <w:tcW w:w="3198" w:type="dxa"/>
            <w:gridSpan w:val="3"/>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昼间</w:t>
            </w:r>
          </w:p>
        </w:tc>
        <w:tc>
          <w:tcPr>
            <w:tcW w:w="3198" w:type="dxa"/>
            <w:gridSpan w:val="3"/>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夜间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eastAsia" w:ascii="宋体" w:hAnsi="宋体" w:eastAsia="宋体" w:cs="宋体"/>
                <w:color w:val="0000FF"/>
                <w:sz w:val="21"/>
                <w:szCs w:val="21"/>
                <w:lang w:val="en-US" w:eastAsia="zh-CN"/>
              </w:rPr>
            </w:pPr>
          </w:p>
        </w:tc>
        <w:tc>
          <w:tcPr>
            <w:tcW w:w="1066" w:type="dxa"/>
            <w:vMerge w:val="continue"/>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eastAsia" w:ascii="宋体" w:hAnsi="宋体" w:eastAsia="宋体" w:cs="宋体"/>
                <w:color w:val="0000FF"/>
                <w:sz w:val="21"/>
                <w:szCs w:val="21"/>
                <w:lang w:val="en-US" w:eastAsia="zh-CN"/>
              </w:rPr>
            </w:pP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标准值</w:t>
            </w:r>
          </w:p>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(dB)</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达标网格数</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达标率</w:t>
            </w:r>
          </w:p>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标准值</w:t>
            </w:r>
          </w:p>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(dB)</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达标网格数</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达标率</w:t>
            </w:r>
          </w:p>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1类区</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default"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86</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default"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55</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73</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84.88</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firstLine="0" w:firstLineChars="0"/>
              <w:jc w:val="center"/>
              <w:textAlignment w:val="auto"/>
              <w:outlineLvl w:val="9"/>
              <w:rPr>
                <w:rFonts w:hint="default"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45</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63</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73.26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jc w:val="center"/>
        </w:trPr>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2类区</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default"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23</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default"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60</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20</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86.96</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firstLine="0" w:firstLineChars="0"/>
              <w:jc w:val="center"/>
              <w:textAlignment w:val="auto"/>
              <w:outlineLvl w:val="9"/>
              <w:rPr>
                <w:rFonts w:hint="default"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50</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firstLine="0" w:firstLineChars="0"/>
              <w:jc w:val="center"/>
              <w:textAlignment w:val="auto"/>
              <w:outlineLvl w:val="9"/>
              <w:rPr>
                <w:rFonts w:hint="eastAsia" w:ascii="宋体" w:hAnsi="宋体" w:eastAsia="宋体" w:cs="宋体"/>
                <w:color w:val="0000FF"/>
                <w:sz w:val="21"/>
                <w:szCs w:val="21"/>
                <w:highlight w:val="red"/>
                <w:lang w:val="en-US" w:eastAsia="zh-CN"/>
              </w:rPr>
            </w:pPr>
            <w:r>
              <w:rPr>
                <w:rFonts w:hint="eastAsia" w:ascii="宋体" w:hAnsi="宋体" w:eastAsia="宋体" w:cs="宋体"/>
                <w:color w:val="0000FF"/>
                <w:sz w:val="21"/>
                <w:szCs w:val="21"/>
                <w:lang w:val="en-US" w:eastAsia="zh-CN"/>
              </w:rPr>
              <w:t>21</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firstLine="0" w:firstLineChars="0"/>
              <w:jc w:val="center"/>
              <w:textAlignment w:val="auto"/>
              <w:outlineLvl w:val="9"/>
              <w:rPr>
                <w:rFonts w:hint="eastAsia" w:ascii="宋体" w:hAnsi="宋体" w:eastAsia="宋体" w:cs="宋体"/>
                <w:color w:val="0000FF"/>
                <w:sz w:val="21"/>
                <w:szCs w:val="21"/>
                <w:highlight w:val="red"/>
                <w:lang w:val="en-US" w:eastAsia="zh-CN"/>
              </w:rPr>
            </w:pPr>
            <w:r>
              <w:rPr>
                <w:rFonts w:hint="eastAsia" w:ascii="宋体" w:hAnsi="宋体" w:eastAsia="宋体" w:cs="宋体"/>
                <w:color w:val="0000FF"/>
                <w:sz w:val="21"/>
                <w:szCs w:val="21"/>
                <w:lang w:val="en-US" w:eastAsia="zh-CN"/>
              </w:rPr>
              <w:t>91.30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eastAsia"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3类区</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default"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1</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default"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65</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default"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1</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default"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100</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default"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55</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default"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1</w:t>
            </w:r>
          </w:p>
        </w:tc>
        <w:tc>
          <w:tcPr>
            <w:tcW w:w="1066"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firstLine="0" w:firstLineChars="0"/>
              <w:jc w:val="center"/>
              <w:textAlignment w:val="auto"/>
              <w:outlineLvl w:val="9"/>
              <w:rPr>
                <w:rFonts w:hint="default" w:ascii="宋体" w:hAnsi="宋体" w:eastAsia="宋体" w:cs="宋体"/>
                <w:color w:val="0000FF"/>
                <w:sz w:val="21"/>
                <w:szCs w:val="21"/>
                <w:lang w:val="en-US" w:eastAsia="zh-CN"/>
              </w:rPr>
            </w:pPr>
            <w:r>
              <w:rPr>
                <w:rFonts w:hint="eastAsia" w:ascii="宋体" w:hAnsi="宋体" w:eastAsia="宋体" w:cs="宋体"/>
                <w:color w:val="0000FF"/>
                <w:sz w:val="21"/>
                <w:szCs w:val="21"/>
                <w:lang w:val="en-US" w:eastAsia="zh-CN"/>
              </w:rPr>
              <w:t>100</w:t>
            </w:r>
          </w:p>
        </w:tc>
      </w:tr>
    </w:tbl>
    <w:p>
      <w:pPr>
        <w:spacing w:beforeLines="0" w:afterLines="0"/>
        <w:jc w:val="left"/>
        <w:rPr>
          <w:rFonts w:hint="eastAsia" w:ascii="宋体" w:hAnsi="宋体" w:eastAsia="宋体"/>
          <w:color w:val="0000FF"/>
          <w:sz w:val="24"/>
        </w:rPr>
      </w:pPr>
      <w:r>
        <w:rPr>
          <w:rFonts w:hint="eastAsia" w:ascii="宋体" w:hAnsi="宋体" w:eastAsia="宋体"/>
          <w:color w:val="0000FF"/>
          <w:sz w:val="24"/>
          <w:lang w:val="en-US" w:eastAsia="zh-CN"/>
        </w:rPr>
        <w:t>曲沃</w:t>
      </w:r>
      <w:r>
        <w:rPr>
          <w:rFonts w:hint="eastAsia" w:ascii="宋体" w:hAnsi="宋体" w:eastAsia="宋体"/>
          <w:color w:val="0000FF"/>
          <w:sz w:val="24"/>
        </w:rPr>
        <w:t>县功能区的环境噪声达标情况可知，</w:t>
      </w:r>
      <w:r>
        <w:rPr>
          <w:rFonts w:hint="default" w:ascii="宋体" w:hAnsi="宋体" w:eastAsia="宋体"/>
          <w:color w:val="0000FF"/>
          <w:sz w:val="24"/>
        </w:rPr>
        <w:t>1</w:t>
      </w:r>
      <w:r>
        <w:rPr>
          <w:rFonts w:hint="eastAsia" w:ascii="宋体" w:hAnsi="宋体" w:eastAsia="宋体"/>
          <w:color w:val="0000FF"/>
          <w:sz w:val="24"/>
        </w:rPr>
        <w:t>类区、</w:t>
      </w:r>
      <w:r>
        <w:rPr>
          <w:rFonts w:hint="default" w:ascii="宋体" w:hAnsi="宋体" w:eastAsia="宋体"/>
          <w:color w:val="0000FF"/>
          <w:sz w:val="24"/>
        </w:rPr>
        <w:t>2</w:t>
      </w:r>
      <w:r>
        <w:rPr>
          <w:rFonts w:hint="eastAsia" w:ascii="宋体" w:hAnsi="宋体" w:eastAsia="宋体"/>
          <w:color w:val="0000FF"/>
          <w:sz w:val="24"/>
        </w:rPr>
        <w:t>类区</w:t>
      </w:r>
      <w:r>
        <w:rPr>
          <w:rFonts w:hint="eastAsia" w:ascii="宋体" w:hAnsi="宋体" w:eastAsia="宋体"/>
          <w:color w:val="0000FF"/>
          <w:sz w:val="24"/>
          <w:lang w:eastAsia="zh-CN"/>
        </w:rPr>
        <w:t>、</w:t>
      </w:r>
      <w:r>
        <w:rPr>
          <w:rFonts w:hint="eastAsia" w:ascii="宋体" w:hAnsi="宋体" w:eastAsia="宋体"/>
          <w:color w:val="0000FF"/>
          <w:sz w:val="24"/>
          <w:lang w:val="en-US" w:eastAsia="zh-CN"/>
        </w:rPr>
        <w:t>3类区</w:t>
      </w:r>
      <w:r>
        <w:rPr>
          <w:rFonts w:hint="eastAsia" w:ascii="宋体" w:hAnsi="宋体" w:eastAsia="宋体"/>
          <w:color w:val="0000FF"/>
          <w:sz w:val="24"/>
        </w:rPr>
        <w:t>昼间声环境网格达标率分别为</w:t>
      </w:r>
      <w:r>
        <w:rPr>
          <w:rFonts w:hint="eastAsia" w:ascii="宋体" w:hAnsi="宋体" w:eastAsia="宋体"/>
          <w:color w:val="0000FF"/>
          <w:sz w:val="24"/>
          <w:lang w:val="en-US" w:eastAsia="zh-CN"/>
        </w:rPr>
        <w:t>84.88%，86.96</w:t>
      </w:r>
      <w:r>
        <w:rPr>
          <w:rFonts w:hint="default" w:ascii="宋体" w:hAnsi="宋体" w:eastAsia="宋体"/>
          <w:color w:val="0000FF"/>
          <w:sz w:val="24"/>
        </w:rPr>
        <w:t>%</w:t>
      </w:r>
      <w:r>
        <w:rPr>
          <w:rFonts w:hint="eastAsia" w:ascii="宋体" w:hAnsi="宋体" w:eastAsia="宋体"/>
          <w:color w:val="0000FF"/>
          <w:sz w:val="24"/>
          <w:lang w:eastAsia="zh-CN"/>
        </w:rPr>
        <w:t>，</w:t>
      </w:r>
      <w:r>
        <w:rPr>
          <w:rFonts w:hint="eastAsia" w:ascii="宋体" w:hAnsi="宋体" w:eastAsia="宋体"/>
          <w:color w:val="0000FF"/>
          <w:sz w:val="24"/>
          <w:lang w:val="en-US" w:eastAsia="zh-CN"/>
        </w:rPr>
        <w:t>100%</w:t>
      </w:r>
      <w:r>
        <w:rPr>
          <w:rFonts w:hint="eastAsia" w:ascii="宋体" w:hAnsi="宋体" w:eastAsia="宋体"/>
          <w:color w:val="0000FF"/>
          <w:sz w:val="24"/>
        </w:rPr>
        <w:t>；</w:t>
      </w:r>
      <w:r>
        <w:rPr>
          <w:rFonts w:hint="default" w:ascii="宋体" w:hAnsi="宋体" w:eastAsia="宋体"/>
          <w:color w:val="0000FF"/>
          <w:sz w:val="24"/>
        </w:rPr>
        <w:t>1</w:t>
      </w:r>
      <w:r>
        <w:rPr>
          <w:rFonts w:hint="eastAsia" w:ascii="宋体" w:hAnsi="宋体" w:eastAsia="宋体"/>
          <w:color w:val="0000FF"/>
          <w:sz w:val="24"/>
        </w:rPr>
        <w:t>类区、</w:t>
      </w:r>
      <w:r>
        <w:rPr>
          <w:rFonts w:hint="eastAsia" w:ascii="宋体" w:hAnsi="宋体" w:eastAsia="宋体"/>
          <w:color w:val="0000FF"/>
          <w:sz w:val="24"/>
          <w:lang w:val="en-US" w:eastAsia="zh-CN"/>
        </w:rPr>
        <w:t>2</w:t>
      </w:r>
      <w:r>
        <w:rPr>
          <w:rFonts w:hint="eastAsia" w:ascii="宋体" w:hAnsi="宋体" w:eastAsia="宋体"/>
          <w:color w:val="0000FF"/>
          <w:sz w:val="24"/>
        </w:rPr>
        <w:t>类区</w:t>
      </w:r>
      <w:r>
        <w:rPr>
          <w:rFonts w:hint="eastAsia" w:ascii="宋体" w:hAnsi="宋体" w:eastAsia="宋体"/>
          <w:color w:val="0000FF"/>
          <w:sz w:val="24"/>
          <w:lang w:eastAsia="zh-CN"/>
        </w:rPr>
        <w:t>、</w:t>
      </w:r>
      <w:r>
        <w:rPr>
          <w:rFonts w:hint="eastAsia" w:ascii="宋体" w:hAnsi="宋体" w:eastAsia="宋体"/>
          <w:color w:val="0000FF"/>
          <w:sz w:val="24"/>
          <w:lang w:val="en-US" w:eastAsia="zh-CN"/>
        </w:rPr>
        <w:t>3类区</w:t>
      </w:r>
      <w:r>
        <w:rPr>
          <w:rFonts w:hint="eastAsia" w:ascii="宋体" w:hAnsi="宋体" w:eastAsia="宋体"/>
          <w:color w:val="0000FF"/>
          <w:sz w:val="24"/>
        </w:rPr>
        <w:t>夜间声环境网格达标率分别为</w:t>
      </w:r>
      <w:r>
        <w:rPr>
          <w:rFonts w:hint="eastAsia" w:ascii="宋体" w:hAnsi="宋体" w:eastAsia="宋体"/>
          <w:color w:val="0000FF"/>
          <w:sz w:val="24"/>
          <w:lang w:val="en-US" w:eastAsia="zh-CN"/>
        </w:rPr>
        <w:t>73.26</w:t>
      </w:r>
      <w:r>
        <w:rPr>
          <w:rFonts w:hint="default" w:ascii="宋体" w:hAnsi="宋体" w:eastAsia="宋体"/>
          <w:color w:val="0000FF"/>
          <w:sz w:val="24"/>
        </w:rPr>
        <w:t>%</w:t>
      </w:r>
      <w:r>
        <w:rPr>
          <w:rFonts w:hint="eastAsia" w:ascii="宋体" w:hAnsi="宋体" w:eastAsia="宋体"/>
          <w:color w:val="0000FF"/>
          <w:sz w:val="24"/>
        </w:rPr>
        <w:t>、</w:t>
      </w:r>
      <w:r>
        <w:rPr>
          <w:rFonts w:hint="eastAsia" w:ascii="宋体" w:hAnsi="宋体" w:eastAsia="宋体"/>
          <w:color w:val="0000FF"/>
          <w:sz w:val="24"/>
          <w:lang w:val="en-US" w:eastAsia="zh-CN"/>
        </w:rPr>
        <w:t>91.30%、100%</w:t>
      </w:r>
      <w:r>
        <w:rPr>
          <w:rFonts w:hint="eastAsia" w:ascii="宋体" w:hAnsi="宋体" w:eastAsia="宋体"/>
          <w:color w:val="0000FF"/>
          <w:sz w:val="24"/>
        </w:rPr>
        <w:t>。</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eastAsia" w:cs="Times New Roman" w:eastAsiaTheme="minorEastAsia"/>
          <w:color w:val="auto"/>
          <w:sz w:val="28"/>
          <w:szCs w:val="28"/>
          <w:lang w:val="en-US" w:eastAsia="zh-CN"/>
        </w:rPr>
        <w:t>6.2.1  1类区区划目标可达性分析</w:t>
      </w:r>
    </w:p>
    <w:p>
      <w:pPr>
        <w:keepNext w:val="0"/>
        <w:keepLines w:val="0"/>
        <w:pageBreakBefore w:val="0"/>
        <w:widowControl w:val="0"/>
        <w:kinsoku/>
        <w:wordWrap/>
        <w:overflowPunct/>
        <w:topLinePunct w:val="0"/>
        <w:autoSpaceDE/>
        <w:autoSpaceDN/>
        <w:bidi w:val="0"/>
        <w:adjustRightInd/>
        <w:snapToGrid/>
        <w:spacing w:beforeLines="0" w:afterLines="0" w:line="460" w:lineRule="exact"/>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1类区涉及的监测点位为</w:t>
      </w:r>
      <w:r>
        <w:rPr>
          <w:rFonts w:hint="eastAsia" w:ascii="宋体" w:hAnsi="宋体" w:eastAsia="宋体" w:cs="宋体"/>
          <w:sz w:val="24"/>
          <w:szCs w:val="24"/>
          <w:lang w:val="en-US" w:eastAsia="zh-CN"/>
        </w:rPr>
        <w:t>86个</w:t>
      </w:r>
      <w:r>
        <w:rPr>
          <w:rFonts w:hint="eastAsia" w:ascii="宋体" w:hAnsi="宋体" w:eastAsia="宋体" w:cs="宋体"/>
          <w:sz w:val="24"/>
          <w:szCs w:val="24"/>
        </w:rPr>
        <w:t>，昼间达标点位为</w:t>
      </w:r>
      <w:r>
        <w:rPr>
          <w:rFonts w:hint="eastAsia" w:ascii="宋体" w:hAnsi="宋体" w:eastAsia="宋体" w:cs="宋体"/>
          <w:sz w:val="24"/>
          <w:szCs w:val="24"/>
          <w:lang w:val="en-US" w:eastAsia="zh-CN"/>
        </w:rPr>
        <w:t>73</w:t>
      </w:r>
      <w:r>
        <w:rPr>
          <w:rFonts w:hint="eastAsia" w:ascii="宋体" w:hAnsi="宋体" w:eastAsia="宋体" w:cs="宋体"/>
          <w:sz w:val="24"/>
          <w:szCs w:val="24"/>
        </w:rPr>
        <w:t>个，超标点位为</w:t>
      </w:r>
      <w:r>
        <w:rPr>
          <w:rFonts w:hint="eastAsia" w:ascii="宋体" w:hAnsi="宋体" w:eastAsia="宋体" w:cs="宋体"/>
          <w:sz w:val="24"/>
          <w:szCs w:val="24"/>
          <w:lang w:val="en-US" w:eastAsia="zh-CN"/>
        </w:rPr>
        <w:t>13</w:t>
      </w:r>
      <w:r>
        <w:rPr>
          <w:rFonts w:hint="eastAsia" w:ascii="宋体" w:hAnsi="宋体" w:eastAsia="宋体" w:cs="宋体"/>
          <w:sz w:val="24"/>
          <w:szCs w:val="24"/>
        </w:rPr>
        <w:t>个，达标率为</w:t>
      </w:r>
      <w:r>
        <w:rPr>
          <w:rFonts w:hint="eastAsia" w:ascii="宋体" w:hAnsi="宋体" w:eastAsia="宋体" w:cs="宋体"/>
          <w:sz w:val="24"/>
          <w:szCs w:val="24"/>
          <w:lang w:val="en-US" w:eastAsia="zh-CN"/>
        </w:rPr>
        <w:t>84.88</w:t>
      </w:r>
      <w:r>
        <w:rPr>
          <w:rFonts w:hint="eastAsia" w:ascii="宋体" w:hAnsi="宋体" w:eastAsia="宋体" w:cs="宋体"/>
          <w:sz w:val="24"/>
          <w:szCs w:val="24"/>
        </w:rPr>
        <w:t>%；夜间达标点位</w:t>
      </w:r>
      <w:r>
        <w:rPr>
          <w:rFonts w:hint="eastAsia" w:ascii="宋体" w:hAnsi="宋体" w:eastAsia="宋体" w:cs="宋体"/>
          <w:sz w:val="24"/>
          <w:szCs w:val="24"/>
          <w:lang w:val="en-US" w:eastAsia="zh-CN"/>
        </w:rPr>
        <w:t>63</w:t>
      </w:r>
      <w:r>
        <w:rPr>
          <w:rFonts w:hint="eastAsia" w:ascii="宋体" w:hAnsi="宋体" w:eastAsia="宋体" w:cs="宋体"/>
          <w:sz w:val="24"/>
          <w:szCs w:val="24"/>
        </w:rPr>
        <w:t>个，超标点位</w:t>
      </w:r>
      <w:r>
        <w:rPr>
          <w:rFonts w:hint="eastAsia" w:ascii="宋体" w:hAnsi="宋体" w:eastAsia="宋体" w:cs="宋体"/>
          <w:sz w:val="24"/>
          <w:szCs w:val="24"/>
          <w:lang w:val="en-US" w:eastAsia="zh-CN"/>
        </w:rPr>
        <w:t>23</w:t>
      </w:r>
      <w:r>
        <w:rPr>
          <w:rFonts w:hint="eastAsia" w:ascii="宋体" w:hAnsi="宋体" w:eastAsia="宋体" w:cs="宋体"/>
          <w:sz w:val="24"/>
          <w:szCs w:val="24"/>
        </w:rPr>
        <w:t>个，达标率为</w:t>
      </w:r>
      <w:r>
        <w:rPr>
          <w:rFonts w:hint="eastAsia" w:ascii="宋体" w:hAnsi="宋体" w:eastAsia="宋体" w:cs="宋体"/>
          <w:sz w:val="24"/>
          <w:szCs w:val="24"/>
          <w:lang w:val="en-US" w:eastAsia="zh-CN"/>
        </w:rPr>
        <w:t>73.26</w:t>
      </w:r>
      <w:r>
        <w:rPr>
          <w:rFonts w:hint="eastAsia" w:ascii="宋体" w:hAnsi="宋体" w:eastAsia="宋体" w:cs="宋体"/>
          <w:sz w:val="24"/>
          <w:szCs w:val="24"/>
        </w:rPr>
        <w:t>%。超标点位统计情况见下表。</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eastAsiaTheme="minorEastAsia"/>
          <w:b/>
          <w:bCs/>
          <w:color w:val="auto"/>
          <w:sz w:val="21"/>
          <w:szCs w:val="21"/>
          <w:lang w:val="en-US" w:eastAsia="zh-CN"/>
        </w:rPr>
      </w:pPr>
      <w:r>
        <w:rPr>
          <w:rFonts w:hint="eastAsia" w:cs="Times New Roman" w:eastAsiaTheme="minorEastAsia"/>
          <w:b/>
          <w:bCs/>
          <w:color w:val="auto"/>
          <w:sz w:val="21"/>
          <w:szCs w:val="21"/>
          <w:lang w:val="en-US" w:eastAsia="zh-CN"/>
        </w:rPr>
        <w:t>表6-2  曲沃县1类声环境功能区超标点位状况分析统计表（昼间）</w:t>
      </w:r>
    </w:p>
    <w:tbl>
      <w:tblPr>
        <w:tblStyle w:val="25"/>
        <w:tblW w:w="852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735"/>
        <w:gridCol w:w="1087"/>
        <w:gridCol w:w="913"/>
        <w:gridCol w:w="1275"/>
        <w:gridCol w:w="1725"/>
        <w:gridCol w:w="96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网格代码</w:t>
            </w:r>
          </w:p>
        </w:tc>
        <w:tc>
          <w:tcPr>
            <w:tcW w:w="17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测点名称</w:t>
            </w:r>
          </w:p>
        </w:tc>
        <w:tc>
          <w:tcPr>
            <w:tcW w:w="108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噪声值</w:t>
            </w:r>
          </w:p>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dB(A)</w:t>
            </w:r>
          </w:p>
        </w:tc>
        <w:tc>
          <w:tcPr>
            <w:tcW w:w="9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标准值</w:t>
            </w:r>
          </w:p>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dB(A)</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超标分贝数dB(A)</w:t>
            </w:r>
          </w:p>
        </w:tc>
        <w:tc>
          <w:tcPr>
            <w:tcW w:w="17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超标原因</w:t>
            </w:r>
          </w:p>
        </w:tc>
        <w:tc>
          <w:tcPr>
            <w:tcW w:w="96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17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席村水塔东50m</w:t>
            </w:r>
          </w:p>
        </w:tc>
        <w:tc>
          <w:tcPr>
            <w:tcW w:w="108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60.4</w:t>
            </w:r>
          </w:p>
        </w:tc>
        <w:tc>
          <w:tcPr>
            <w:tcW w:w="9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5.4</w:t>
            </w:r>
          </w:p>
        </w:tc>
        <w:tc>
          <w:tcPr>
            <w:tcW w:w="17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道路、工业企业影响</w:t>
            </w:r>
          </w:p>
        </w:tc>
        <w:tc>
          <w:tcPr>
            <w:tcW w:w="96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w:t>
            </w:r>
          </w:p>
        </w:tc>
        <w:tc>
          <w:tcPr>
            <w:tcW w:w="17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曲沃县消防大队南</w:t>
            </w:r>
          </w:p>
        </w:tc>
        <w:tc>
          <w:tcPr>
            <w:tcW w:w="108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60.3</w:t>
            </w:r>
          </w:p>
        </w:tc>
        <w:tc>
          <w:tcPr>
            <w:tcW w:w="9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5.3</w:t>
            </w:r>
          </w:p>
        </w:tc>
        <w:tc>
          <w:tcPr>
            <w:tcW w:w="17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广场人员</w:t>
            </w:r>
          </w:p>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活动影响</w:t>
            </w:r>
          </w:p>
        </w:tc>
        <w:tc>
          <w:tcPr>
            <w:tcW w:w="96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w:t>
            </w:r>
          </w:p>
        </w:tc>
        <w:tc>
          <w:tcPr>
            <w:tcW w:w="17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清俊装潢材料批发城北院墙外</w:t>
            </w:r>
          </w:p>
        </w:tc>
        <w:tc>
          <w:tcPr>
            <w:tcW w:w="108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61.7</w:t>
            </w:r>
          </w:p>
        </w:tc>
        <w:tc>
          <w:tcPr>
            <w:tcW w:w="9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6.7</w:t>
            </w:r>
          </w:p>
        </w:tc>
        <w:tc>
          <w:tcPr>
            <w:tcW w:w="17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96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w:t>
            </w:r>
          </w:p>
        </w:tc>
        <w:tc>
          <w:tcPr>
            <w:tcW w:w="17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美世界酒店楼后</w:t>
            </w:r>
          </w:p>
        </w:tc>
        <w:tc>
          <w:tcPr>
            <w:tcW w:w="108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65.3</w:t>
            </w:r>
          </w:p>
        </w:tc>
        <w:tc>
          <w:tcPr>
            <w:tcW w:w="9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10.3</w:t>
            </w:r>
          </w:p>
        </w:tc>
        <w:tc>
          <w:tcPr>
            <w:tcW w:w="17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96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w:t>
            </w:r>
          </w:p>
        </w:tc>
        <w:tc>
          <w:tcPr>
            <w:tcW w:w="17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苏村小巷中段</w:t>
            </w:r>
          </w:p>
        </w:tc>
        <w:tc>
          <w:tcPr>
            <w:tcW w:w="108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61.5</w:t>
            </w:r>
          </w:p>
        </w:tc>
        <w:tc>
          <w:tcPr>
            <w:tcW w:w="9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6.5</w:t>
            </w:r>
          </w:p>
        </w:tc>
        <w:tc>
          <w:tcPr>
            <w:tcW w:w="17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96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w:t>
            </w:r>
          </w:p>
        </w:tc>
        <w:tc>
          <w:tcPr>
            <w:tcW w:w="17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山西双翔服饰有限公司门前</w:t>
            </w:r>
          </w:p>
        </w:tc>
        <w:tc>
          <w:tcPr>
            <w:tcW w:w="108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61.5</w:t>
            </w:r>
          </w:p>
        </w:tc>
        <w:tc>
          <w:tcPr>
            <w:tcW w:w="9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6.5</w:t>
            </w:r>
          </w:p>
        </w:tc>
        <w:tc>
          <w:tcPr>
            <w:tcW w:w="17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道路、工业企业影响</w:t>
            </w:r>
          </w:p>
        </w:tc>
        <w:tc>
          <w:tcPr>
            <w:tcW w:w="96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54</w:t>
            </w:r>
          </w:p>
        </w:tc>
        <w:tc>
          <w:tcPr>
            <w:tcW w:w="17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曲沃县自然资源局后院</w:t>
            </w:r>
          </w:p>
        </w:tc>
        <w:tc>
          <w:tcPr>
            <w:tcW w:w="108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65.8</w:t>
            </w:r>
          </w:p>
        </w:tc>
        <w:tc>
          <w:tcPr>
            <w:tcW w:w="9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10.8</w:t>
            </w:r>
          </w:p>
        </w:tc>
        <w:tc>
          <w:tcPr>
            <w:tcW w:w="17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96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79</w:t>
            </w:r>
          </w:p>
        </w:tc>
        <w:tc>
          <w:tcPr>
            <w:tcW w:w="17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马庄村变压器</w:t>
            </w:r>
          </w:p>
        </w:tc>
        <w:tc>
          <w:tcPr>
            <w:tcW w:w="108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60.1</w:t>
            </w:r>
          </w:p>
        </w:tc>
        <w:tc>
          <w:tcPr>
            <w:tcW w:w="9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5.1</w:t>
            </w:r>
          </w:p>
        </w:tc>
        <w:tc>
          <w:tcPr>
            <w:tcW w:w="17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96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80</w:t>
            </w:r>
          </w:p>
        </w:tc>
        <w:tc>
          <w:tcPr>
            <w:tcW w:w="17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城西加油站北院墙外</w:t>
            </w:r>
          </w:p>
        </w:tc>
        <w:tc>
          <w:tcPr>
            <w:tcW w:w="108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63.4</w:t>
            </w:r>
          </w:p>
        </w:tc>
        <w:tc>
          <w:tcPr>
            <w:tcW w:w="9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8.4</w:t>
            </w:r>
          </w:p>
        </w:tc>
        <w:tc>
          <w:tcPr>
            <w:tcW w:w="17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96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81</w:t>
            </w:r>
          </w:p>
        </w:tc>
        <w:tc>
          <w:tcPr>
            <w:tcW w:w="17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鑫悦汽车维修中心后墙外</w:t>
            </w:r>
          </w:p>
        </w:tc>
        <w:tc>
          <w:tcPr>
            <w:tcW w:w="108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61.5</w:t>
            </w:r>
          </w:p>
        </w:tc>
        <w:tc>
          <w:tcPr>
            <w:tcW w:w="9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6.5</w:t>
            </w:r>
          </w:p>
        </w:tc>
        <w:tc>
          <w:tcPr>
            <w:tcW w:w="17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96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86</w:t>
            </w:r>
          </w:p>
        </w:tc>
        <w:tc>
          <w:tcPr>
            <w:tcW w:w="17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西南街村村委会</w:t>
            </w:r>
          </w:p>
        </w:tc>
        <w:tc>
          <w:tcPr>
            <w:tcW w:w="108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55.8</w:t>
            </w:r>
          </w:p>
        </w:tc>
        <w:tc>
          <w:tcPr>
            <w:tcW w:w="9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0.8</w:t>
            </w:r>
          </w:p>
        </w:tc>
        <w:tc>
          <w:tcPr>
            <w:tcW w:w="17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人员活动影响</w:t>
            </w:r>
          </w:p>
        </w:tc>
        <w:tc>
          <w:tcPr>
            <w:tcW w:w="96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90</w:t>
            </w:r>
          </w:p>
        </w:tc>
        <w:tc>
          <w:tcPr>
            <w:tcW w:w="17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东关车巷92号住宅房前</w:t>
            </w:r>
          </w:p>
        </w:tc>
        <w:tc>
          <w:tcPr>
            <w:tcW w:w="108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60.9</w:t>
            </w:r>
          </w:p>
        </w:tc>
        <w:tc>
          <w:tcPr>
            <w:tcW w:w="9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5.9</w:t>
            </w:r>
          </w:p>
        </w:tc>
        <w:tc>
          <w:tcPr>
            <w:tcW w:w="17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人员活动影响</w:t>
            </w:r>
          </w:p>
        </w:tc>
        <w:tc>
          <w:tcPr>
            <w:tcW w:w="96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126</w:t>
            </w:r>
          </w:p>
        </w:tc>
        <w:tc>
          <w:tcPr>
            <w:tcW w:w="173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公路养护段北墙外</w:t>
            </w:r>
          </w:p>
        </w:tc>
        <w:tc>
          <w:tcPr>
            <w:tcW w:w="108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65.5</w:t>
            </w:r>
          </w:p>
        </w:tc>
        <w:tc>
          <w:tcPr>
            <w:tcW w:w="9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10.5</w:t>
            </w:r>
          </w:p>
        </w:tc>
        <w:tc>
          <w:tcPr>
            <w:tcW w:w="17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96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9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bl>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eastAsiaTheme="minorEastAsia"/>
          <w:b/>
          <w:bCs/>
          <w:color w:val="auto"/>
          <w:sz w:val="21"/>
          <w:szCs w:val="21"/>
          <w:lang w:val="en-US" w:eastAsia="zh-CN"/>
        </w:rPr>
      </w:pPr>
      <w:r>
        <w:rPr>
          <w:rFonts w:hint="eastAsia" w:cs="Times New Roman" w:eastAsiaTheme="minorEastAsia"/>
          <w:b/>
          <w:bCs/>
          <w:color w:val="auto"/>
          <w:sz w:val="21"/>
          <w:szCs w:val="21"/>
          <w:lang w:val="en-US" w:eastAsia="zh-CN"/>
        </w:rPr>
        <w:t>表6-3  曲沃县1类声环境功能区超标点位状况分析统计表（夜间）</w:t>
      </w:r>
    </w:p>
    <w:tbl>
      <w:tblPr>
        <w:tblStyle w:val="25"/>
        <w:tblW w:w="852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747"/>
        <w:gridCol w:w="1125"/>
        <w:gridCol w:w="1075"/>
        <w:gridCol w:w="1258"/>
        <w:gridCol w:w="1440"/>
        <w:gridCol w:w="105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网格代码</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测点名称</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噪声值</w:t>
            </w:r>
          </w:p>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dB(A)</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标准值</w:t>
            </w:r>
          </w:p>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dB(A)</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超标分贝数dB(A)</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超标原因</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席村水塔东50m</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55.6</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10.6</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道路、工业企业影响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清俊装潢材料批发城北院墙外</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45.3</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0.3</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美世界酒店楼后</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55.1</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10.1</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24</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丰惠新姐妹饭店房前</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56.4</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11.4</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山西双翔服饰有限公司门前</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46.1</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道路、工业企业影响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32</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农机小区2号楼1单元楼前</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50.1</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5.1</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49</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曲沃县公安局</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55.6</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10.6</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工业企业影响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52</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晋华印刷厂西院墙外</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46.1</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工业企业影响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54</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曲沃县自然资源局后院</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50.1</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5.1</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60</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曲沃县人民医院</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45.6</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0.6</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施工影响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66</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西南街村鑫源汽修</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45.5</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0.5</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67</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临汾市生态环境局曲沃分局后院</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46.1</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79</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兰乔圣菲小区1号楼东</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45.8</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0.8</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80</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城西加油站北院墙外</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45.3</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0.3</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81</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鑫悦汽车维修中心后墙外</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46.1</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89</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东关113号住宅房前</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45.4</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0.4</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人员活动噪声影响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90</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东关车巷92号住宅房前</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46.7</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1.7</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人员活动噪声影响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100</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武道示范基地</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45.5</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0.5</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人员活动噪声影响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101</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黄河医院后院</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45.7</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0.7</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人员活动噪声影响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102</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东关吉祥巷25号住宅房前</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45.3</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0.3</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124</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华鑫砂石厂院内</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45.8</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0.8</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工业企业影响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126</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公路养护段北墙外</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55.2</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10.2</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127</w:t>
            </w:r>
          </w:p>
        </w:tc>
        <w:tc>
          <w:tcPr>
            <w:tcW w:w="174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城东便民市场管理办公室房前</w:t>
            </w:r>
          </w:p>
        </w:tc>
        <w:tc>
          <w:tcPr>
            <w:tcW w:w="112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46.7</w:t>
            </w:r>
          </w:p>
        </w:tc>
        <w:tc>
          <w:tcPr>
            <w:tcW w:w="10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25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1.7</w:t>
            </w:r>
          </w:p>
        </w:tc>
        <w:tc>
          <w:tcPr>
            <w:tcW w:w="144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工业企业影响</w:t>
            </w:r>
          </w:p>
        </w:tc>
        <w:tc>
          <w:tcPr>
            <w:tcW w:w="1054"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bl>
    <w:p>
      <w:pPr>
        <w:spacing w:beforeLines="0" w:afterLines="0"/>
        <w:jc w:val="left"/>
        <w:rPr>
          <w:rFonts w:hint="eastAsia" w:ascii="宋体" w:hAnsi="宋体" w:eastAsia="宋体" w:cs="宋体"/>
          <w:sz w:val="24"/>
          <w:szCs w:val="24"/>
        </w:rPr>
      </w:pPr>
      <w:r>
        <w:rPr>
          <w:rFonts w:hint="eastAsia" w:ascii="宋体" w:hAnsi="宋体" w:eastAsia="宋体" w:cs="宋体"/>
          <w:sz w:val="24"/>
          <w:szCs w:val="24"/>
        </w:rPr>
        <w:t>根据以上统计情况分析，产生超标的原因主要为受道路交通</w:t>
      </w:r>
      <w:bookmarkStart w:id="41" w:name="_GoBack"/>
      <w:bookmarkEnd w:id="41"/>
      <w:r>
        <w:rPr>
          <w:rFonts w:hint="eastAsia" w:ascii="宋体" w:hAnsi="宋体" w:eastAsia="宋体" w:cs="宋体"/>
          <w:sz w:val="24"/>
          <w:szCs w:val="24"/>
          <w:lang w:eastAsia="zh-CN"/>
        </w:rPr>
        <w:t>以及</w:t>
      </w:r>
      <w:r>
        <w:rPr>
          <w:rFonts w:hint="eastAsia" w:ascii="宋体" w:hAnsi="宋体" w:eastAsia="宋体" w:cs="宋体"/>
          <w:sz w:val="24"/>
          <w:szCs w:val="24"/>
        </w:rPr>
        <w:t>工业企业、人员活动的影响。</w:t>
      </w:r>
    </w:p>
    <w:p>
      <w:pPr>
        <w:spacing w:beforeLines="0" w:afterLines="0"/>
        <w:jc w:val="left"/>
        <w:rPr>
          <w:rFonts w:hint="eastAsia" w:ascii="宋体" w:hAnsi="宋体" w:eastAsia="宋体" w:cs="宋体"/>
          <w:sz w:val="24"/>
          <w:szCs w:val="24"/>
        </w:rPr>
      </w:pPr>
      <w:r>
        <w:rPr>
          <w:rFonts w:hint="eastAsia" w:ascii="宋体" w:hAnsi="宋体" w:eastAsia="宋体" w:cs="宋体"/>
          <w:sz w:val="24"/>
          <w:szCs w:val="24"/>
          <w:lang w:val="en-US" w:eastAsia="zh-CN"/>
        </w:rPr>
        <w:t>曲沃</w:t>
      </w:r>
      <w:r>
        <w:rPr>
          <w:rFonts w:hint="eastAsia" w:ascii="宋体" w:hAnsi="宋体" w:eastAsia="宋体" w:cs="宋体"/>
          <w:sz w:val="24"/>
          <w:szCs w:val="24"/>
        </w:rPr>
        <w:t>县通过加强交通管制，改善路况，道路两侧建设绿化隔离带，</w:t>
      </w:r>
      <w:r>
        <w:rPr>
          <w:rFonts w:hint="eastAsia" w:ascii="宋体" w:hAnsi="宋体" w:eastAsia="宋体" w:cs="宋体"/>
          <w:sz w:val="24"/>
          <w:szCs w:val="24"/>
          <w:lang w:val="en-US" w:eastAsia="zh-CN"/>
        </w:rPr>
        <w:t>设置</w:t>
      </w:r>
      <w:r>
        <w:rPr>
          <w:rFonts w:hint="eastAsia" w:ascii="宋体" w:hAnsi="宋体" w:eastAsia="宋体" w:cs="宋体"/>
          <w:sz w:val="24"/>
          <w:szCs w:val="24"/>
        </w:rPr>
        <w:t>车辆禁鸣区，加强对村庄及居民区的管理，加强对施工工地的监管，以及随着居民素质的提高，未来几年城市的声环境质量较目前来说应当会持续改善，使得本次声环境功能区划的目标具有可达性。</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eastAsia" w:cs="Times New Roman" w:eastAsiaTheme="minorEastAsia"/>
          <w:color w:val="auto"/>
          <w:sz w:val="28"/>
          <w:szCs w:val="28"/>
          <w:lang w:val="en-US" w:eastAsia="zh-CN"/>
        </w:rPr>
        <w:t>6.2.2  2类区区划目标可达性分析</w:t>
      </w:r>
    </w:p>
    <w:p>
      <w:pPr>
        <w:spacing w:beforeLines="0" w:afterLines="0"/>
        <w:jc w:val="left"/>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类区涉及的监测点位为</w:t>
      </w:r>
      <w:r>
        <w:rPr>
          <w:rFonts w:hint="eastAsia" w:ascii="宋体" w:hAnsi="宋体" w:eastAsia="宋体" w:cs="宋体"/>
          <w:sz w:val="24"/>
          <w:szCs w:val="24"/>
          <w:lang w:val="en-US" w:eastAsia="zh-CN"/>
        </w:rPr>
        <w:t>23个</w:t>
      </w:r>
      <w:r>
        <w:rPr>
          <w:rFonts w:hint="eastAsia" w:ascii="宋体" w:hAnsi="宋体" w:eastAsia="宋体" w:cs="宋体"/>
          <w:sz w:val="24"/>
          <w:szCs w:val="24"/>
        </w:rPr>
        <w:t>，昼间达标点位为</w:t>
      </w:r>
      <w:r>
        <w:rPr>
          <w:rFonts w:hint="eastAsia" w:ascii="宋体" w:hAnsi="宋体" w:eastAsia="宋体" w:cs="宋体"/>
          <w:sz w:val="24"/>
          <w:szCs w:val="24"/>
          <w:lang w:val="en-US" w:eastAsia="zh-CN"/>
        </w:rPr>
        <w:t>20</w:t>
      </w:r>
      <w:r>
        <w:rPr>
          <w:rFonts w:hint="eastAsia" w:ascii="宋体" w:hAnsi="宋体" w:eastAsia="宋体" w:cs="宋体"/>
          <w:sz w:val="24"/>
          <w:szCs w:val="24"/>
        </w:rPr>
        <w:t>个，超标点位为</w:t>
      </w:r>
      <w:r>
        <w:rPr>
          <w:rFonts w:hint="eastAsia" w:ascii="宋体" w:hAnsi="宋体" w:eastAsia="宋体" w:cs="宋体"/>
          <w:sz w:val="24"/>
          <w:szCs w:val="24"/>
          <w:lang w:val="en-US" w:eastAsia="zh-CN"/>
        </w:rPr>
        <w:t>3</w:t>
      </w:r>
      <w:r>
        <w:rPr>
          <w:rFonts w:hint="eastAsia" w:ascii="宋体" w:hAnsi="宋体" w:eastAsia="宋体" w:cs="宋体"/>
          <w:sz w:val="24"/>
          <w:szCs w:val="24"/>
        </w:rPr>
        <w:t>个，达标率</w:t>
      </w:r>
      <w:r>
        <w:rPr>
          <w:rFonts w:hint="eastAsia" w:ascii="宋体" w:hAnsi="宋体" w:eastAsia="宋体" w:cs="宋体"/>
          <w:color w:val="0000FF"/>
          <w:sz w:val="24"/>
          <w:szCs w:val="24"/>
        </w:rPr>
        <w:t>为</w:t>
      </w:r>
      <w:r>
        <w:rPr>
          <w:rFonts w:hint="eastAsia" w:ascii="宋体" w:hAnsi="宋体" w:eastAsia="宋体" w:cs="宋体"/>
          <w:color w:val="0000FF"/>
          <w:sz w:val="24"/>
          <w:szCs w:val="24"/>
          <w:lang w:val="en-US" w:eastAsia="zh-CN"/>
        </w:rPr>
        <w:t>86.96%</w:t>
      </w:r>
      <w:r>
        <w:rPr>
          <w:rFonts w:hint="eastAsia" w:ascii="宋体" w:hAnsi="宋体" w:eastAsia="宋体" w:cs="宋体"/>
          <w:color w:val="0000FF"/>
          <w:sz w:val="24"/>
          <w:szCs w:val="24"/>
        </w:rPr>
        <w:t>；</w:t>
      </w:r>
      <w:r>
        <w:rPr>
          <w:rFonts w:hint="eastAsia" w:ascii="宋体" w:hAnsi="宋体" w:eastAsia="宋体" w:cs="宋体"/>
          <w:sz w:val="24"/>
          <w:szCs w:val="24"/>
        </w:rPr>
        <w:t>夜间达标点位</w:t>
      </w:r>
      <w:r>
        <w:rPr>
          <w:rFonts w:hint="eastAsia" w:ascii="宋体" w:hAnsi="宋体" w:eastAsia="宋体" w:cs="宋体"/>
          <w:sz w:val="24"/>
          <w:szCs w:val="24"/>
          <w:lang w:val="en-US" w:eastAsia="zh-CN"/>
        </w:rPr>
        <w:t>21</w:t>
      </w:r>
      <w:r>
        <w:rPr>
          <w:rFonts w:hint="eastAsia" w:ascii="宋体" w:hAnsi="宋体" w:eastAsia="宋体" w:cs="宋体"/>
          <w:sz w:val="24"/>
          <w:szCs w:val="24"/>
        </w:rPr>
        <w:t>个，超标点位</w:t>
      </w:r>
      <w:r>
        <w:rPr>
          <w:rFonts w:hint="eastAsia" w:ascii="宋体" w:hAnsi="宋体" w:eastAsia="宋体" w:cs="宋体"/>
          <w:sz w:val="24"/>
          <w:szCs w:val="24"/>
          <w:lang w:val="en-US" w:eastAsia="zh-CN"/>
        </w:rPr>
        <w:t>2</w:t>
      </w:r>
      <w:r>
        <w:rPr>
          <w:rFonts w:hint="eastAsia" w:ascii="宋体" w:hAnsi="宋体" w:eastAsia="宋体" w:cs="宋体"/>
          <w:sz w:val="24"/>
          <w:szCs w:val="24"/>
        </w:rPr>
        <w:t>个，达</w:t>
      </w:r>
      <w:r>
        <w:rPr>
          <w:rFonts w:hint="eastAsia" w:ascii="宋体" w:hAnsi="宋体" w:eastAsia="宋体" w:cs="宋体"/>
          <w:color w:val="0000FF"/>
          <w:sz w:val="24"/>
          <w:szCs w:val="24"/>
        </w:rPr>
        <w:t>标率为</w:t>
      </w:r>
      <w:r>
        <w:rPr>
          <w:rFonts w:hint="eastAsia" w:ascii="宋体" w:hAnsi="宋体" w:eastAsia="宋体" w:cs="宋体"/>
          <w:color w:val="0000FF"/>
          <w:sz w:val="24"/>
          <w:szCs w:val="24"/>
          <w:lang w:val="en-US" w:eastAsia="zh-CN"/>
        </w:rPr>
        <w:t>91.30</w:t>
      </w:r>
      <w:r>
        <w:rPr>
          <w:rFonts w:hint="eastAsia" w:ascii="宋体" w:hAnsi="宋体" w:eastAsia="宋体" w:cs="宋体"/>
          <w:color w:val="0000FF"/>
          <w:sz w:val="24"/>
          <w:szCs w:val="24"/>
        </w:rPr>
        <w:t>%</w:t>
      </w:r>
      <w:r>
        <w:rPr>
          <w:rFonts w:hint="eastAsia" w:ascii="宋体" w:hAnsi="宋体" w:eastAsia="宋体" w:cs="宋体"/>
          <w:sz w:val="24"/>
          <w:szCs w:val="24"/>
        </w:rPr>
        <w:t>。超标点位统计情况见下表。</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eastAsiaTheme="minorEastAsia"/>
          <w:b/>
          <w:bCs/>
          <w:color w:val="auto"/>
          <w:sz w:val="21"/>
          <w:szCs w:val="21"/>
          <w:lang w:val="en-US" w:eastAsia="zh-CN"/>
        </w:rPr>
      </w:pPr>
      <w:r>
        <w:rPr>
          <w:rFonts w:hint="eastAsia" w:cs="Times New Roman" w:eastAsiaTheme="minorEastAsia"/>
          <w:b/>
          <w:bCs/>
          <w:color w:val="auto"/>
          <w:sz w:val="21"/>
          <w:szCs w:val="21"/>
          <w:lang w:val="en-US" w:eastAsia="zh-CN"/>
        </w:rPr>
        <w:t>表6-4  曲沃县2类声环境功能区超标点位状况分析统计表（昼间）</w:t>
      </w:r>
    </w:p>
    <w:tbl>
      <w:tblPr>
        <w:tblStyle w:val="25"/>
        <w:tblW w:w="852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522"/>
        <w:gridCol w:w="1275"/>
        <w:gridCol w:w="1063"/>
        <w:gridCol w:w="1337"/>
        <w:gridCol w:w="1283"/>
        <w:gridCol w:w="121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网格代码</w:t>
            </w:r>
          </w:p>
        </w:tc>
        <w:tc>
          <w:tcPr>
            <w:tcW w:w="15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测点名称</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噪声值</w:t>
            </w:r>
          </w:p>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dB(A)</w:t>
            </w:r>
          </w:p>
        </w:tc>
        <w:tc>
          <w:tcPr>
            <w:tcW w:w="106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标准值</w:t>
            </w:r>
          </w:p>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dB(A)</w:t>
            </w:r>
          </w:p>
        </w:tc>
        <w:tc>
          <w:tcPr>
            <w:tcW w:w="133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超标分贝数dB(A)</w:t>
            </w:r>
          </w:p>
        </w:tc>
        <w:tc>
          <w:tcPr>
            <w:tcW w:w="128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超标原因</w:t>
            </w:r>
          </w:p>
        </w:tc>
        <w:tc>
          <w:tcPr>
            <w:tcW w:w="121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w:t>
            </w:r>
          </w:p>
        </w:tc>
        <w:tc>
          <w:tcPr>
            <w:tcW w:w="15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山西双翔服饰有限公司门前</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61.5</w:t>
            </w:r>
          </w:p>
        </w:tc>
        <w:tc>
          <w:tcPr>
            <w:tcW w:w="106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60</w:t>
            </w:r>
          </w:p>
        </w:tc>
        <w:tc>
          <w:tcPr>
            <w:tcW w:w="133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w:t>
            </w:r>
          </w:p>
        </w:tc>
        <w:tc>
          <w:tcPr>
            <w:tcW w:w="128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121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32</w:t>
            </w:r>
          </w:p>
        </w:tc>
        <w:tc>
          <w:tcPr>
            <w:tcW w:w="15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农机小区2号楼1单元楼前</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60.8</w:t>
            </w:r>
          </w:p>
        </w:tc>
        <w:tc>
          <w:tcPr>
            <w:tcW w:w="106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60</w:t>
            </w:r>
          </w:p>
        </w:tc>
        <w:tc>
          <w:tcPr>
            <w:tcW w:w="133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0.8</w:t>
            </w:r>
          </w:p>
        </w:tc>
        <w:tc>
          <w:tcPr>
            <w:tcW w:w="128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121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54</w:t>
            </w:r>
          </w:p>
        </w:tc>
        <w:tc>
          <w:tcPr>
            <w:tcW w:w="15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曲沃县自然资源局后院</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65.8</w:t>
            </w:r>
          </w:p>
        </w:tc>
        <w:tc>
          <w:tcPr>
            <w:tcW w:w="106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60</w:t>
            </w:r>
          </w:p>
        </w:tc>
        <w:tc>
          <w:tcPr>
            <w:tcW w:w="133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5.8</w:t>
            </w:r>
          </w:p>
        </w:tc>
        <w:tc>
          <w:tcPr>
            <w:tcW w:w="128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121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bl>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eastAsiaTheme="minorEastAsia"/>
          <w:b/>
          <w:bCs/>
          <w:color w:val="auto"/>
          <w:sz w:val="21"/>
          <w:szCs w:val="21"/>
          <w:lang w:val="en-US" w:eastAsia="zh-CN"/>
        </w:rPr>
      </w:pPr>
      <w:r>
        <w:rPr>
          <w:rFonts w:hint="eastAsia" w:cs="Times New Roman" w:eastAsiaTheme="minorEastAsia"/>
          <w:b/>
          <w:bCs/>
          <w:color w:val="auto"/>
          <w:sz w:val="21"/>
          <w:szCs w:val="21"/>
          <w:lang w:val="en-US" w:eastAsia="zh-CN"/>
        </w:rPr>
        <w:t>表6-5  曲沃县2类声环境功能区超标点位状况分析统计表（夜间）</w:t>
      </w:r>
    </w:p>
    <w:tbl>
      <w:tblPr>
        <w:tblStyle w:val="25"/>
        <w:tblW w:w="852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5"/>
        <w:gridCol w:w="1320"/>
        <w:gridCol w:w="1110"/>
        <w:gridCol w:w="1275"/>
        <w:gridCol w:w="1470"/>
        <w:gridCol w:w="121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网格代码</w:t>
            </w:r>
          </w:p>
        </w:tc>
        <w:tc>
          <w:tcPr>
            <w:tcW w:w="130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测点名称</w:t>
            </w:r>
          </w:p>
        </w:tc>
        <w:tc>
          <w:tcPr>
            <w:tcW w:w="132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噪声值</w:t>
            </w:r>
          </w:p>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dB(A)</w:t>
            </w:r>
          </w:p>
        </w:tc>
        <w:tc>
          <w:tcPr>
            <w:tcW w:w="111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标准值</w:t>
            </w:r>
          </w:p>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dB(A)</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超标分贝数dB(A)</w:t>
            </w:r>
          </w:p>
        </w:tc>
        <w:tc>
          <w:tcPr>
            <w:tcW w:w="14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超标原因</w:t>
            </w:r>
          </w:p>
        </w:tc>
        <w:tc>
          <w:tcPr>
            <w:tcW w:w="121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32</w:t>
            </w:r>
          </w:p>
        </w:tc>
        <w:tc>
          <w:tcPr>
            <w:tcW w:w="130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山西曲沃乐华快捷酒店东侧</w:t>
            </w:r>
          </w:p>
        </w:tc>
        <w:tc>
          <w:tcPr>
            <w:tcW w:w="132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50.1</w:t>
            </w:r>
          </w:p>
        </w:tc>
        <w:tc>
          <w:tcPr>
            <w:tcW w:w="111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50</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0.1</w:t>
            </w:r>
          </w:p>
        </w:tc>
        <w:tc>
          <w:tcPr>
            <w:tcW w:w="14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121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54</w:t>
            </w:r>
          </w:p>
        </w:tc>
        <w:tc>
          <w:tcPr>
            <w:tcW w:w="130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曲沃县自然资源局后院</w:t>
            </w:r>
          </w:p>
        </w:tc>
        <w:tc>
          <w:tcPr>
            <w:tcW w:w="132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50.1</w:t>
            </w:r>
          </w:p>
        </w:tc>
        <w:tc>
          <w:tcPr>
            <w:tcW w:w="111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50</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0.1</w:t>
            </w:r>
          </w:p>
        </w:tc>
        <w:tc>
          <w:tcPr>
            <w:tcW w:w="147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道路影响</w:t>
            </w:r>
          </w:p>
        </w:tc>
        <w:tc>
          <w:tcPr>
            <w:tcW w:w="121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bl>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default" w:cs="Times New Roman" w:eastAsiaTheme="minorEastAsia"/>
          <w:color w:val="auto"/>
          <w:sz w:val="28"/>
          <w:szCs w:val="28"/>
          <w:lang w:val="en-US" w:eastAsia="zh-CN"/>
        </w:rPr>
        <w:t xml:space="preserve">6.2.1.3 </w:t>
      </w:r>
      <w:r>
        <w:rPr>
          <w:rFonts w:hint="eastAsia" w:cs="Times New Roman" w:eastAsiaTheme="minorEastAsia"/>
          <w:color w:val="auto"/>
          <w:sz w:val="28"/>
          <w:szCs w:val="28"/>
          <w:lang w:val="en-US" w:eastAsia="zh-CN"/>
        </w:rPr>
        <w:t xml:space="preserve"> </w:t>
      </w:r>
      <w:r>
        <w:rPr>
          <w:rFonts w:hint="default" w:cs="Times New Roman" w:eastAsiaTheme="minorEastAsia"/>
          <w:color w:val="auto"/>
          <w:sz w:val="28"/>
          <w:szCs w:val="28"/>
          <w:lang w:val="en-US" w:eastAsia="zh-CN"/>
        </w:rPr>
        <w:t>3</w:t>
      </w:r>
      <w:r>
        <w:rPr>
          <w:rFonts w:hint="eastAsia" w:cs="Times New Roman" w:eastAsiaTheme="minorEastAsia"/>
          <w:color w:val="auto"/>
          <w:sz w:val="28"/>
          <w:szCs w:val="28"/>
          <w:lang w:val="en-US" w:eastAsia="zh-CN"/>
        </w:rPr>
        <w:t>类区区划目标可达性分析</w:t>
      </w:r>
    </w:p>
    <w:p>
      <w:pPr>
        <w:spacing w:beforeLines="0" w:afterLines="0"/>
        <w:jc w:val="left"/>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类区涉及的监测点位为</w:t>
      </w:r>
      <w:r>
        <w:rPr>
          <w:rFonts w:hint="eastAsia" w:ascii="宋体" w:hAnsi="宋体" w:eastAsia="宋体" w:cs="宋体"/>
          <w:sz w:val="24"/>
          <w:szCs w:val="24"/>
          <w:lang w:val="en-US" w:eastAsia="zh-CN"/>
        </w:rPr>
        <w:t>1个</w:t>
      </w:r>
      <w:r>
        <w:rPr>
          <w:rFonts w:hint="eastAsia" w:ascii="宋体" w:hAnsi="宋体" w:eastAsia="宋体" w:cs="宋体"/>
          <w:sz w:val="24"/>
          <w:szCs w:val="24"/>
        </w:rPr>
        <w:t>，</w:t>
      </w:r>
      <w:r>
        <w:rPr>
          <w:rFonts w:hint="eastAsia" w:ascii="宋体" w:hAnsi="宋体" w:eastAsia="宋体" w:cs="宋体"/>
          <w:sz w:val="24"/>
          <w:szCs w:val="24"/>
          <w:lang w:val="en-US" w:eastAsia="zh-CN"/>
        </w:rPr>
        <w:t>昼间</w:t>
      </w:r>
      <w:r>
        <w:rPr>
          <w:rFonts w:hint="eastAsia" w:ascii="宋体" w:hAnsi="宋体" w:eastAsia="宋体" w:cs="宋体"/>
          <w:sz w:val="24"/>
          <w:szCs w:val="24"/>
        </w:rPr>
        <w:t>超标点位为</w:t>
      </w:r>
      <w:r>
        <w:rPr>
          <w:rFonts w:hint="eastAsia" w:ascii="宋体" w:hAnsi="宋体" w:eastAsia="宋体" w:cs="宋体"/>
          <w:sz w:val="24"/>
          <w:szCs w:val="24"/>
          <w:lang w:val="en-US" w:eastAsia="zh-CN"/>
        </w:rPr>
        <w:t>1</w:t>
      </w:r>
      <w:r>
        <w:rPr>
          <w:rFonts w:hint="eastAsia" w:ascii="宋体" w:hAnsi="宋体" w:eastAsia="宋体" w:cs="宋体"/>
          <w:sz w:val="24"/>
          <w:szCs w:val="24"/>
        </w:rPr>
        <w:t>个</w:t>
      </w:r>
      <w:r>
        <w:rPr>
          <w:rFonts w:hint="eastAsia" w:ascii="宋体" w:hAnsi="宋体" w:eastAsia="宋体" w:cs="宋体"/>
          <w:color w:val="0000FF"/>
          <w:sz w:val="24"/>
          <w:szCs w:val="24"/>
        </w:rPr>
        <w:t>；</w:t>
      </w:r>
      <w:r>
        <w:rPr>
          <w:rFonts w:hint="eastAsia" w:ascii="宋体" w:hAnsi="宋体" w:eastAsia="宋体" w:cs="宋体"/>
          <w:sz w:val="24"/>
          <w:szCs w:val="24"/>
        </w:rPr>
        <w:t>夜间达标点位</w:t>
      </w:r>
      <w:r>
        <w:rPr>
          <w:rFonts w:hint="eastAsia" w:ascii="宋体" w:hAnsi="宋体" w:eastAsia="宋体" w:cs="宋体"/>
          <w:sz w:val="24"/>
          <w:szCs w:val="24"/>
          <w:lang w:val="en-US" w:eastAsia="zh-CN"/>
        </w:rPr>
        <w:t>1</w:t>
      </w:r>
      <w:r>
        <w:rPr>
          <w:rFonts w:hint="eastAsia" w:ascii="宋体" w:hAnsi="宋体" w:eastAsia="宋体" w:cs="宋体"/>
          <w:sz w:val="24"/>
          <w:szCs w:val="24"/>
        </w:rPr>
        <w:t>个，达</w:t>
      </w:r>
      <w:r>
        <w:rPr>
          <w:rFonts w:hint="eastAsia" w:ascii="宋体" w:hAnsi="宋体" w:eastAsia="宋体" w:cs="宋体"/>
          <w:color w:val="0000FF"/>
          <w:sz w:val="24"/>
          <w:szCs w:val="24"/>
        </w:rPr>
        <w:t>标率为</w:t>
      </w:r>
      <w:r>
        <w:rPr>
          <w:rFonts w:hint="eastAsia" w:ascii="宋体" w:hAnsi="宋体" w:eastAsia="宋体" w:cs="宋体"/>
          <w:color w:val="0000FF"/>
          <w:sz w:val="24"/>
          <w:szCs w:val="24"/>
          <w:lang w:val="en-US" w:eastAsia="zh-CN"/>
        </w:rPr>
        <w:t>100</w:t>
      </w:r>
      <w:r>
        <w:rPr>
          <w:rFonts w:hint="eastAsia" w:ascii="宋体" w:hAnsi="宋体" w:eastAsia="宋体" w:cs="宋体"/>
          <w:color w:val="0000FF"/>
          <w:sz w:val="24"/>
          <w:szCs w:val="24"/>
        </w:rPr>
        <w:t>%</w:t>
      </w:r>
      <w:r>
        <w:rPr>
          <w:rFonts w:hint="eastAsia" w:ascii="宋体" w:hAnsi="宋体" w:eastAsia="宋体" w:cs="宋体"/>
          <w:sz w:val="24"/>
          <w:szCs w:val="24"/>
        </w:rPr>
        <w:t>。超标点位统计情况见下表。</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eastAsiaTheme="minorEastAsia"/>
          <w:b/>
          <w:bCs/>
          <w:color w:val="auto"/>
          <w:sz w:val="21"/>
          <w:szCs w:val="21"/>
          <w:lang w:val="en-US" w:eastAsia="zh-CN"/>
        </w:rPr>
      </w:pPr>
      <w:r>
        <w:rPr>
          <w:rFonts w:hint="eastAsia" w:cs="Times New Roman" w:eastAsiaTheme="minorEastAsia"/>
          <w:b/>
          <w:bCs/>
          <w:color w:val="auto"/>
          <w:sz w:val="21"/>
          <w:szCs w:val="21"/>
          <w:lang w:val="en-US" w:eastAsia="zh-CN"/>
        </w:rPr>
        <w:t>表6-4  曲沃县2类声环境功能区超标点位状况分析统计表（昼间）</w:t>
      </w:r>
    </w:p>
    <w:tbl>
      <w:tblPr>
        <w:tblStyle w:val="25"/>
        <w:tblW w:w="852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522"/>
        <w:gridCol w:w="1275"/>
        <w:gridCol w:w="1063"/>
        <w:gridCol w:w="1337"/>
        <w:gridCol w:w="1622"/>
        <w:gridCol w:w="88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网格代码</w:t>
            </w:r>
          </w:p>
        </w:tc>
        <w:tc>
          <w:tcPr>
            <w:tcW w:w="15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测点名称</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噪声值</w:t>
            </w:r>
          </w:p>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dB(A)</w:t>
            </w:r>
          </w:p>
        </w:tc>
        <w:tc>
          <w:tcPr>
            <w:tcW w:w="106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标准值</w:t>
            </w:r>
          </w:p>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dB(A)</w:t>
            </w:r>
          </w:p>
        </w:tc>
        <w:tc>
          <w:tcPr>
            <w:tcW w:w="133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超标分贝数dB(A)</w:t>
            </w:r>
          </w:p>
        </w:tc>
        <w:tc>
          <w:tcPr>
            <w:tcW w:w="16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超标原因</w:t>
            </w:r>
          </w:p>
        </w:tc>
        <w:tc>
          <w:tcPr>
            <w:tcW w:w="88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132</w:t>
            </w:r>
          </w:p>
        </w:tc>
        <w:tc>
          <w:tcPr>
            <w:tcW w:w="15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养鸡场门口</w:t>
            </w:r>
          </w:p>
        </w:tc>
        <w:tc>
          <w:tcPr>
            <w:tcW w:w="127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66.5</w:t>
            </w:r>
          </w:p>
        </w:tc>
        <w:tc>
          <w:tcPr>
            <w:tcW w:w="106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65</w:t>
            </w:r>
          </w:p>
        </w:tc>
        <w:tc>
          <w:tcPr>
            <w:tcW w:w="1337"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16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车辆行驶影响</w:t>
            </w:r>
          </w:p>
        </w:tc>
        <w:tc>
          <w:tcPr>
            <w:tcW w:w="88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20" w:lineRule="exact"/>
              <w:ind w:left="0" w:leftChars="0" w:right="0" w:firstLine="0" w:firstLineChars="0"/>
              <w:jc w:val="center"/>
              <w:textAlignment w:val="auto"/>
              <w:outlineLvl w:val="9"/>
              <w:rPr>
                <w:rFonts w:hint="eastAsia" w:ascii="宋体" w:hAnsi="宋体" w:eastAsia="宋体" w:cs="宋体"/>
                <w:sz w:val="21"/>
                <w:szCs w:val="21"/>
                <w:lang w:val="en-US" w:eastAsia="zh-CN"/>
              </w:rPr>
            </w:pPr>
          </w:p>
        </w:tc>
      </w:tr>
    </w:tbl>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default" w:cs="Times New Roman" w:eastAsiaTheme="minorEastAsia"/>
          <w:color w:val="auto"/>
          <w:sz w:val="28"/>
          <w:szCs w:val="28"/>
          <w:lang w:val="en-US" w:eastAsia="zh-CN"/>
        </w:rPr>
        <w:t xml:space="preserve">6.2.1.4 </w:t>
      </w:r>
      <w:r>
        <w:rPr>
          <w:rFonts w:hint="eastAsia" w:cs="Times New Roman" w:eastAsiaTheme="minorEastAsia"/>
          <w:color w:val="auto"/>
          <w:sz w:val="28"/>
          <w:szCs w:val="28"/>
          <w:lang w:val="en-US" w:eastAsia="zh-CN"/>
        </w:rPr>
        <w:t xml:space="preserve"> </w:t>
      </w:r>
      <w:r>
        <w:rPr>
          <w:rFonts w:hint="default" w:cs="Times New Roman" w:eastAsiaTheme="minorEastAsia"/>
          <w:color w:val="auto"/>
          <w:sz w:val="28"/>
          <w:szCs w:val="28"/>
          <w:lang w:val="en-US" w:eastAsia="zh-CN"/>
        </w:rPr>
        <w:t>4</w:t>
      </w:r>
      <w:r>
        <w:rPr>
          <w:rFonts w:hint="eastAsia" w:cs="Times New Roman" w:eastAsiaTheme="minorEastAsia"/>
          <w:color w:val="auto"/>
          <w:sz w:val="28"/>
          <w:szCs w:val="28"/>
          <w:lang w:val="en-US" w:eastAsia="zh-CN"/>
        </w:rPr>
        <w:t>类区目标可达性分析</w:t>
      </w:r>
    </w:p>
    <w:p>
      <w:pPr>
        <w:spacing w:beforeLines="0" w:afterLines="0"/>
        <w:jc w:val="left"/>
        <w:rPr>
          <w:rFonts w:hint="eastAsia" w:ascii="宋体" w:hAnsi="宋体" w:eastAsia="宋体" w:cs="宋体"/>
          <w:sz w:val="24"/>
          <w:szCs w:val="24"/>
        </w:rPr>
      </w:pPr>
      <w:r>
        <w:rPr>
          <w:rFonts w:hint="eastAsia" w:ascii="宋体" w:hAnsi="宋体" w:eastAsia="宋体" w:cs="宋体"/>
          <w:sz w:val="24"/>
          <w:szCs w:val="24"/>
        </w:rPr>
        <w:t>城区道路交通噪声所监测的</w:t>
      </w:r>
      <w:r>
        <w:rPr>
          <w:rFonts w:hint="default" w:ascii="宋体" w:hAnsi="宋体" w:eastAsia="宋体" w:cs="宋体"/>
          <w:sz w:val="24"/>
          <w:szCs w:val="24"/>
        </w:rPr>
        <w:t>15</w:t>
      </w:r>
      <w:r>
        <w:rPr>
          <w:rFonts w:hint="eastAsia" w:ascii="宋体" w:hAnsi="宋体" w:eastAsia="宋体" w:cs="宋体"/>
          <w:sz w:val="24"/>
          <w:szCs w:val="24"/>
        </w:rPr>
        <w:t>条主要交通干线，共监测</w:t>
      </w:r>
      <w:r>
        <w:rPr>
          <w:rFonts w:hint="eastAsia" w:ascii="宋体" w:hAnsi="宋体" w:eastAsia="宋体" w:cs="宋体"/>
          <w:sz w:val="24"/>
          <w:szCs w:val="24"/>
          <w:lang w:val="en-US" w:eastAsia="zh-CN"/>
        </w:rPr>
        <w:t>44</w:t>
      </w:r>
      <w:r>
        <w:rPr>
          <w:rFonts w:hint="eastAsia" w:ascii="宋体" w:hAnsi="宋体" w:eastAsia="宋体" w:cs="宋体"/>
          <w:sz w:val="24"/>
          <w:szCs w:val="24"/>
        </w:rPr>
        <w:t>个点位，交通噪声昼、夜间达标率为</w:t>
      </w:r>
      <w:r>
        <w:rPr>
          <w:rFonts w:hint="default" w:ascii="宋体" w:hAnsi="宋体" w:eastAsia="宋体" w:cs="宋体"/>
          <w:sz w:val="24"/>
          <w:szCs w:val="24"/>
        </w:rPr>
        <w:t>100%</w:t>
      </w:r>
      <w:r>
        <w:rPr>
          <w:rFonts w:hint="eastAsia" w:ascii="宋体" w:hAnsi="宋体" w:eastAsia="宋体" w:cs="宋体"/>
          <w:sz w:val="24"/>
          <w:szCs w:val="24"/>
        </w:rPr>
        <w:t>。主要是由于白天大中型货车的禁行的实施，使得中心城区的道路交通噪声能够满足限值的要求。</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eastAsia" w:cs="Times New Roman" w:eastAsiaTheme="minorEastAsia"/>
          <w:color w:val="auto"/>
          <w:sz w:val="30"/>
          <w:szCs w:val="30"/>
          <w:highlight w:val="none"/>
          <w:lang w:val="en-US" w:eastAsia="zh-CN"/>
        </w:rPr>
      </w:pPr>
      <w:bookmarkStart w:id="32" w:name="_Toc5189"/>
      <w:r>
        <w:rPr>
          <w:rFonts w:hint="eastAsia" w:cs="Times New Roman" w:eastAsiaTheme="minorEastAsia"/>
          <w:color w:val="auto"/>
          <w:sz w:val="30"/>
          <w:szCs w:val="30"/>
          <w:highlight w:val="none"/>
          <w:lang w:val="en-US" w:eastAsia="zh-CN"/>
        </w:rPr>
        <w:t>6.3 环境管理的可操作性分析</w:t>
      </w:r>
      <w:bookmarkEnd w:id="32"/>
    </w:p>
    <w:p>
      <w:pPr>
        <w:spacing w:beforeLines="0" w:afterLines="0"/>
        <w:jc w:val="left"/>
        <w:rPr>
          <w:rFonts w:hint="eastAsia" w:ascii="宋体" w:hAnsi="宋体" w:eastAsia="宋体" w:cs="宋体"/>
          <w:sz w:val="24"/>
          <w:szCs w:val="24"/>
        </w:rPr>
      </w:pPr>
      <w:r>
        <w:rPr>
          <w:rFonts w:hint="eastAsia" w:ascii="宋体" w:hAnsi="宋体" w:eastAsia="宋体" w:cs="宋体"/>
          <w:sz w:val="24"/>
          <w:szCs w:val="24"/>
        </w:rPr>
        <w:t>本次声环境功能区划分是对</w:t>
      </w:r>
      <w:r>
        <w:rPr>
          <w:rFonts w:hint="eastAsia" w:ascii="宋体" w:hAnsi="宋体" w:eastAsia="宋体" w:cs="宋体"/>
          <w:sz w:val="24"/>
          <w:szCs w:val="24"/>
          <w:lang w:val="en-US" w:eastAsia="zh-CN"/>
        </w:rPr>
        <w:t>曲沃</w:t>
      </w:r>
      <w:r>
        <w:rPr>
          <w:rFonts w:hint="eastAsia" w:ascii="宋体" w:hAnsi="宋体" w:eastAsia="宋体" w:cs="宋体"/>
          <w:sz w:val="24"/>
          <w:szCs w:val="24"/>
        </w:rPr>
        <w:t>县城区进行区划，划分以保证区域内声环境质量、确保区域内的人群健康为目的。其结果与</w:t>
      </w:r>
      <w:r>
        <w:rPr>
          <w:rFonts w:hint="eastAsia" w:ascii="宋体" w:hAnsi="宋体" w:eastAsia="宋体" w:cs="宋体"/>
          <w:sz w:val="24"/>
          <w:szCs w:val="24"/>
          <w:lang w:val="en-US" w:eastAsia="zh-CN"/>
        </w:rPr>
        <w:t>曲沃</w:t>
      </w:r>
      <w:r>
        <w:rPr>
          <w:rFonts w:hint="eastAsia" w:ascii="宋体" w:hAnsi="宋体" w:eastAsia="宋体" w:cs="宋体"/>
          <w:sz w:val="24"/>
          <w:szCs w:val="24"/>
        </w:rPr>
        <w:t>县环境管理目标基本一致，范围明确，图件资料完善，可以直观有效的应用于日常环境管理中，能够满足环境管理要求的深度，具有较强的可</w:t>
      </w:r>
      <w:r>
        <w:rPr>
          <w:rFonts w:hint="eastAsia" w:ascii="宋体" w:hAnsi="宋体" w:eastAsia="宋体" w:cs="宋体"/>
          <w:sz w:val="24"/>
          <w:szCs w:val="24"/>
          <w:lang w:val="en-US" w:eastAsia="zh-CN"/>
        </w:rPr>
        <w:t>操作性</w:t>
      </w:r>
      <w:r>
        <w:rPr>
          <w:rFonts w:hint="eastAsia" w:ascii="宋体" w:hAnsi="宋体" w:eastAsia="宋体" w:cs="宋体"/>
          <w:sz w:val="24"/>
          <w:szCs w:val="24"/>
        </w:rPr>
        <w:t>。</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eastAsia" w:cs="Times New Roman" w:eastAsiaTheme="minorEastAsia"/>
          <w:color w:val="auto"/>
          <w:sz w:val="30"/>
          <w:szCs w:val="30"/>
          <w:highlight w:val="none"/>
          <w:lang w:val="en-US" w:eastAsia="zh-CN"/>
        </w:rPr>
      </w:pPr>
      <w:bookmarkStart w:id="33" w:name="_Toc9987"/>
      <w:r>
        <w:rPr>
          <w:rFonts w:hint="eastAsia" w:cs="Times New Roman" w:eastAsiaTheme="minorEastAsia"/>
          <w:color w:val="auto"/>
          <w:sz w:val="30"/>
          <w:szCs w:val="30"/>
          <w:highlight w:val="none"/>
          <w:lang w:val="en-US" w:eastAsia="zh-CN"/>
        </w:rPr>
        <w:t>6.3.1可行性分析的结论</w:t>
      </w:r>
      <w:bookmarkEnd w:id="33"/>
    </w:p>
    <w:p>
      <w:pPr>
        <w:keepNext w:val="0"/>
        <w:keepLines w:val="0"/>
        <w:pageBreakBefore w:val="0"/>
        <w:widowControl w:val="0"/>
        <w:kinsoku/>
        <w:wordWrap/>
        <w:overflowPunct/>
        <w:topLinePunct w:val="0"/>
        <w:autoSpaceDE/>
        <w:autoSpaceDN/>
        <w:bidi w:val="0"/>
        <w:adjustRightInd/>
        <w:snapToGrid/>
        <w:spacing w:beforeLines="0" w:afterLines="0" w:line="500" w:lineRule="exact"/>
        <w:jc w:val="left"/>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rPr>
        <w:t>随着人们对声环境质量的重视、人文素质的提高，以及声环境治理水平的持续提高和声环境管理手段不断加强，交通干线两侧</w:t>
      </w:r>
      <w:r>
        <w:rPr>
          <w:rFonts w:hint="eastAsia" w:ascii="宋体" w:hAnsi="宋体" w:eastAsia="宋体" w:cs="宋体"/>
          <w:sz w:val="24"/>
          <w:szCs w:val="24"/>
          <w:lang w:val="en-US" w:eastAsia="zh-CN"/>
        </w:rPr>
        <w:t>设置</w:t>
      </w:r>
      <w:r>
        <w:rPr>
          <w:rFonts w:hint="eastAsia" w:ascii="宋体" w:hAnsi="宋体" w:eastAsia="宋体" w:cs="宋体"/>
          <w:sz w:val="24"/>
          <w:szCs w:val="24"/>
        </w:rPr>
        <w:t>绿化隔离带，降低了交通噪声的影响，建筑施工机械要求</w:t>
      </w:r>
      <w:r>
        <w:rPr>
          <w:rFonts w:hint="eastAsia" w:ascii="宋体" w:hAnsi="宋体" w:eastAsia="宋体" w:cs="宋体"/>
          <w:sz w:val="24"/>
          <w:szCs w:val="24"/>
          <w:lang w:eastAsia="zh-CN"/>
        </w:rPr>
        <w:t>设置</w:t>
      </w:r>
      <w:r>
        <w:rPr>
          <w:rFonts w:hint="eastAsia" w:ascii="宋体" w:hAnsi="宋体" w:eastAsia="宋体" w:cs="宋体"/>
          <w:sz w:val="24"/>
          <w:szCs w:val="24"/>
        </w:rPr>
        <w:t>降噪设备，</w:t>
      </w:r>
      <w:r>
        <w:rPr>
          <w:rFonts w:hint="eastAsia" w:ascii="宋体" w:hAnsi="宋体" w:eastAsia="宋体" w:cs="宋体"/>
          <w:sz w:val="24"/>
          <w:szCs w:val="24"/>
          <w:lang w:eastAsia="zh-CN"/>
        </w:rPr>
        <w:t>设置</w:t>
      </w:r>
      <w:r>
        <w:rPr>
          <w:rFonts w:hint="eastAsia" w:ascii="宋体" w:hAnsi="宋体" w:eastAsia="宋体" w:cs="宋体"/>
          <w:sz w:val="24"/>
          <w:szCs w:val="24"/>
        </w:rPr>
        <w:t>挡墙和绿化隔离带等措施，都能有效控制噪声对居民生活的影响。</w:t>
      </w:r>
    </w:p>
    <w:p>
      <w:pPr>
        <w:keepNext w:val="0"/>
        <w:keepLines w:val="0"/>
        <w:pageBreakBefore w:val="0"/>
        <w:widowControl w:val="0"/>
        <w:kinsoku/>
        <w:wordWrap/>
        <w:overflowPunct/>
        <w:topLinePunct w:val="0"/>
        <w:autoSpaceDE/>
        <w:autoSpaceDN/>
        <w:bidi w:val="0"/>
        <w:adjustRightInd/>
        <w:snapToGrid/>
        <w:spacing w:beforeLines="0" w:afterLines="0" w:line="500" w:lineRule="exact"/>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对于部分不达标情况，交通以及环保部门联合控制，贯彻落实居住以及学校区域禁鸣喇叭和夜间施工的规定，可有效降低噪声对居生活、工作的影响。因此，本次声环境功能区划的目标实现是可行的。</w:t>
      </w:r>
    </w:p>
    <w:p>
      <w:pPr>
        <w:keepNext w:val="0"/>
        <w:keepLines w:val="0"/>
        <w:pageBreakBefore w:val="0"/>
        <w:widowControl w:val="0"/>
        <w:kinsoku/>
        <w:wordWrap/>
        <w:overflowPunct/>
        <w:topLinePunct w:val="0"/>
        <w:autoSpaceDE/>
        <w:autoSpaceDN/>
        <w:bidi w:val="0"/>
        <w:adjustRightInd/>
        <w:snapToGrid/>
        <w:spacing w:beforeLines="0" w:afterLines="0" w:line="500" w:lineRule="exact"/>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w:t>
      </w:r>
      <w:r>
        <w:rPr>
          <w:rFonts w:hint="default" w:ascii="宋体" w:hAnsi="宋体" w:eastAsia="宋体" w:cs="宋体"/>
          <w:sz w:val="24"/>
          <w:szCs w:val="24"/>
        </w:rPr>
        <w:t>1</w:t>
      </w:r>
      <w:r>
        <w:rPr>
          <w:rFonts w:hint="eastAsia" w:ascii="宋体" w:hAnsi="宋体" w:eastAsia="宋体" w:cs="宋体"/>
          <w:sz w:val="24"/>
          <w:szCs w:val="24"/>
        </w:rPr>
        <w:t>）</w:t>
      </w:r>
      <w:r>
        <w:rPr>
          <w:rFonts w:hint="default" w:ascii="宋体" w:hAnsi="宋体" w:eastAsia="宋体" w:cs="宋体"/>
          <w:sz w:val="24"/>
          <w:szCs w:val="24"/>
        </w:rPr>
        <w:t>1</w:t>
      </w:r>
      <w:r>
        <w:rPr>
          <w:rFonts w:hint="eastAsia" w:ascii="宋体" w:hAnsi="宋体" w:eastAsia="宋体" w:cs="宋体"/>
          <w:sz w:val="24"/>
          <w:szCs w:val="24"/>
        </w:rPr>
        <w:t>类区</w:t>
      </w:r>
    </w:p>
    <w:p>
      <w:pPr>
        <w:keepNext w:val="0"/>
        <w:keepLines w:val="0"/>
        <w:pageBreakBefore w:val="0"/>
        <w:widowControl w:val="0"/>
        <w:kinsoku/>
        <w:wordWrap/>
        <w:overflowPunct/>
        <w:topLinePunct w:val="0"/>
        <w:autoSpaceDE/>
        <w:autoSpaceDN/>
        <w:bidi w:val="0"/>
        <w:adjustRightInd/>
        <w:snapToGrid/>
        <w:spacing w:beforeLines="0" w:afterLines="0" w:line="500" w:lineRule="exact"/>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本次区划共有</w:t>
      </w:r>
      <w:r>
        <w:rPr>
          <w:rFonts w:hint="eastAsia" w:ascii="宋体" w:hAnsi="宋体" w:eastAsia="宋体" w:cs="宋体"/>
          <w:sz w:val="24"/>
          <w:szCs w:val="24"/>
          <w:lang w:val="en-US" w:eastAsia="zh-CN"/>
        </w:rPr>
        <w:t>1</w:t>
      </w:r>
      <w:r>
        <w:rPr>
          <w:rFonts w:hint="eastAsia" w:ascii="宋体" w:hAnsi="宋体" w:eastAsia="宋体" w:cs="宋体"/>
          <w:sz w:val="24"/>
          <w:szCs w:val="24"/>
        </w:rPr>
        <w:t>类区</w:t>
      </w:r>
      <w:r>
        <w:rPr>
          <w:rFonts w:hint="eastAsia" w:ascii="宋体" w:hAnsi="宋体" w:eastAsia="宋体" w:cs="宋体"/>
          <w:sz w:val="24"/>
          <w:szCs w:val="24"/>
          <w:lang w:val="en-US" w:eastAsia="zh-CN"/>
        </w:rPr>
        <w:t>1</w:t>
      </w:r>
      <w:r>
        <w:rPr>
          <w:rFonts w:hint="eastAsia" w:ascii="宋体" w:hAnsi="宋体" w:eastAsia="宋体" w:cs="宋体"/>
          <w:sz w:val="24"/>
          <w:szCs w:val="24"/>
        </w:rPr>
        <w:t>个，主要是村庄、学校、医院、行政办公和居住区，没有工业企业和其他较大的噪声源，随着居民素质的提高，以及通过严格管控，</w:t>
      </w:r>
      <w:r>
        <w:rPr>
          <w:rFonts w:hint="default" w:ascii="宋体" w:hAnsi="宋体" w:eastAsia="宋体" w:cs="宋体"/>
          <w:sz w:val="24"/>
          <w:szCs w:val="24"/>
        </w:rPr>
        <w:t>1</w:t>
      </w:r>
      <w:r>
        <w:rPr>
          <w:rFonts w:hint="eastAsia" w:ascii="宋体" w:hAnsi="宋体" w:eastAsia="宋体" w:cs="宋体"/>
          <w:sz w:val="24"/>
          <w:szCs w:val="24"/>
        </w:rPr>
        <w:t>类区可以达标。</w:t>
      </w:r>
    </w:p>
    <w:p>
      <w:pPr>
        <w:keepNext w:val="0"/>
        <w:keepLines w:val="0"/>
        <w:pageBreakBefore w:val="0"/>
        <w:widowControl w:val="0"/>
        <w:kinsoku/>
        <w:wordWrap/>
        <w:overflowPunct/>
        <w:topLinePunct w:val="0"/>
        <w:autoSpaceDE/>
        <w:autoSpaceDN/>
        <w:bidi w:val="0"/>
        <w:adjustRightInd/>
        <w:snapToGrid/>
        <w:spacing w:beforeLines="0" w:afterLines="0" w:line="500" w:lineRule="exact"/>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w:t>
      </w:r>
      <w:r>
        <w:rPr>
          <w:rFonts w:hint="default" w:ascii="宋体" w:hAnsi="宋体" w:eastAsia="宋体" w:cs="宋体"/>
          <w:sz w:val="24"/>
          <w:szCs w:val="24"/>
        </w:rPr>
        <w:t>2</w:t>
      </w:r>
      <w:r>
        <w:rPr>
          <w:rFonts w:hint="eastAsia" w:ascii="宋体" w:hAnsi="宋体" w:eastAsia="宋体" w:cs="宋体"/>
          <w:sz w:val="24"/>
          <w:szCs w:val="24"/>
        </w:rPr>
        <w:t>）</w:t>
      </w:r>
      <w:r>
        <w:rPr>
          <w:rFonts w:hint="default" w:ascii="宋体" w:hAnsi="宋体" w:eastAsia="宋体" w:cs="宋体"/>
          <w:sz w:val="24"/>
          <w:szCs w:val="24"/>
        </w:rPr>
        <w:t>2</w:t>
      </w:r>
      <w:r>
        <w:rPr>
          <w:rFonts w:hint="eastAsia" w:ascii="宋体" w:hAnsi="宋体" w:eastAsia="宋体" w:cs="宋体"/>
          <w:sz w:val="24"/>
          <w:szCs w:val="24"/>
        </w:rPr>
        <w:t>类区</w:t>
      </w:r>
    </w:p>
    <w:p>
      <w:pPr>
        <w:keepNext w:val="0"/>
        <w:keepLines w:val="0"/>
        <w:pageBreakBefore w:val="0"/>
        <w:widowControl w:val="0"/>
        <w:kinsoku/>
        <w:wordWrap/>
        <w:overflowPunct/>
        <w:topLinePunct w:val="0"/>
        <w:autoSpaceDE/>
        <w:autoSpaceDN/>
        <w:bidi w:val="0"/>
        <w:adjustRightInd/>
        <w:snapToGrid/>
        <w:spacing w:beforeLines="0" w:afterLines="0" w:line="500" w:lineRule="exact"/>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本次区划共有</w:t>
      </w:r>
      <w:r>
        <w:rPr>
          <w:rFonts w:hint="eastAsia" w:ascii="宋体" w:hAnsi="宋体" w:eastAsia="宋体" w:cs="宋体"/>
          <w:sz w:val="24"/>
          <w:szCs w:val="24"/>
          <w:lang w:val="en-US" w:eastAsia="zh-CN"/>
        </w:rPr>
        <w:t>2</w:t>
      </w:r>
      <w:r>
        <w:rPr>
          <w:rFonts w:hint="eastAsia" w:ascii="宋体" w:hAnsi="宋体" w:eastAsia="宋体" w:cs="宋体"/>
          <w:sz w:val="24"/>
          <w:szCs w:val="24"/>
        </w:rPr>
        <w:t>类区</w:t>
      </w:r>
      <w:r>
        <w:rPr>
          <w:rFonts w:hint="eastAsia" w:ascii="宋体" w:hAnsi="宋体" w:eastAsia="宋体" w:cs="宋体"/>
          <w:sz w:val="24"/>
          <w:szCs w:val="24"/>
          <w:lang w:val="en-US" w:eastAsia="zh-CN"/>
        </w:rPr>
        <w:t>6</w:t>
      </w:r>
      <w:r>
        <w:rPr>
          <w:rFonts w:hint="eastAsia" w:ascii="宋体" w:hAnsi="宋体" w:eastAsia="宋体" w:cs="宋体"/>
          <w:sz w:val="24"/>
          <w:szCs w:val="24"/>
        </w:rPr>
        <w:t>个</w:t>
      </w:r>
      <w:r>
        <w:rPr>
          <w:rFonts w:hint="eastAsia" w:ascii="宋体" w:hAnsi="宋体" w:eastAsia="宋体" w:cs="宋体"/>
          <w:sz w:val="24"/>
          <w:szCs w:val="24"/>
          <w:lang w:eastAsia="zh-CN"/>
        </w:rPr>
        <w:t>，</w:t>
      </w:r>
      <w:r>
        <w:rPr>
          <w:rFonts w:hint="eastAsia" w:ascii="宋体" w:hAnsi="宋体" w:eastAsia="宋体" w:cs="宋体"/>
          <w:sz w:val="24"/>
          <w:szCs w:val="24"/>
        </w:rPr>
        <w:t>以居住功能为主，兼有商业金融区，</w:t>
      </w:r>
      <w:r>
        <w:rPr>
          <w:rFonts w:hint="eastAsia" w:ascii="宋体" w:hAnsi="宋体" w:eastAsia="宋体" w:cs="宋体"/>
          <w:sz w:val="24"/>
          <w:szCs w:val="24"/>
          <w:lang w:val="en-US" w:eastAsia="zh-CN"/>
        </w:rPr>
        <w:t>市政用地、</w:t>
      </w:r>
      <w:r>
        <w:rPr>
          <w:rFonts w:hint="eastAsia" w:ascii="宋体" w:hAnsi="宋体" w:eastAsia="宋体" w:cs="宋体"/>
          <w:sz w:val="24"/>
          <w:szCs w:val="24"/>
        </w:rPr>
        <w:t>按城市总体规划这些区域街道要加强绿化，所以规划的</w:t>
      </w:r>
      <w:r>
        <w:rPr>
          <w:rFonts w:hint="default" w:ascii="宋体" w:hAnsi="宋体" w:eastAsia="宋体" w:cs="宋体"/>
          <w:sz w:val="24"/>
          <w:szCs w:val="24"/>
        </w:rPr>
        <w:t>2</w:t>
      </w:r>
      <w:r>
        <w:rPr>
          <w:rFonts w:hint="eastAsia" w:ascii="宋体" w:hAnsi="宋体" w:eastAsia="宋体" w:cs="宋体"/>
          <w:sz w:val="24"/>
          <w:szCs w:val="24"/>
        </w:rPr>
        <w:t>类区可以实现达标。</w:t>
      </w:r>
    </w:p>
    <w:p>
      <w:pPr>
        <w:keepNext w:val="0"/>
        <w:keepLines w:val="0"/>
        <w:pageBreakBefore w:val="0"/>
        <w:widowControl w:val="0"/>
        <w:kinsoku/>
        <w:wordWrap/>
        <w:overflowPunct/>
        <w:topLinePunct w:val="0"/>
        <w:autoSpaceDE/>
        <w:autoSpaceDN/>
        <w:bidi w:val="0"/>
        <w:adjustRightInd/>
        <w:snapToGrid/>
        <w:spacing w:beforeLines="0" w:afterLines="0" w:line="500" w:lineRule="exact"/>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w:t>
      </w:r>
      <w:r>
        <w:rPr>
          <w:rFonts w:hint="default" w:ascii="宋体" w:hAnsi="宋体" w:eastAsia="宋体" w:cs="宋体"/>
          <w:sz w:val="24"/>
          <w:szCs w:val="24"/>
        </w:rPr>
        <w:t>3</w:t>
      </w:r>
      <w:r>
        <w:rPr>
          <w:rFonts w:hint="eastAsia" w:ascii="宋体" w:hAnsi="宋体" w:eastAsia="宋体" w:cs="宋体"/>
          <w:sz w:val="24"/>
          <w:szCs w:val="24"/>
        </w:rPr>
        <w:t>）</w:t>
      </w:r>
      <w:r>
        <w:rPr>
          <w:rFonts w:hint="default" w:ascii="宋体" w:hAnsi="宋体" w:eastAsia="宋体" w:cs="宋体"/>
          <w:sz w:val="24"/>
          <w:szCs w:val="24"/>
        </w:rPr>
        <w:t>3</w:t>
      </w:r>
      <w:r>
        <w:rPr>
          <w:rFonts w:hint="eastAsia" w:ascii="宋体" w:hAnsi="宋体" w:eastAsia="宋体" w:cs="宋体"/>
          <w:sz w:val="24"/>
          <w:szCs w:val="24"/>
        </w:rPr>
        <w:t>类区</w:t>
      </w:r>
    </w:p>
    <w:p>
      <w:pPr>
        <w:keepNext w:val="0"/>
        <w:keepLines w:val="0"/>
        <w:pageBreakBefore w:val="0"/>
        <w:widowControl w:val="0"/>
        <w:kinsoku/>
        <w:wordWrap/>
        <w:overflowPunct/>
        <w:topLinePunct w:val="0"/>
        <w:autoSpaceDE/>
        <w:autoSpaceDN/>
        <w:bidi w:val="0"/>
        <w:adjustRightInd/>
        <w:snapToGrid/>
        <w:spacing w:beforeLines="0" w:afterLines="0" w:line="500" w:lineRule="exact"/>
        <w:jc w:val="left"/>
        <w:textAlignment w:val="auto"/>
        <w:outlineLvl w:val="9"/>
        <w:rPr>
          <w:rFonts w:hint="eastAsia" w:ascii="宋体" w:hAnsi="宋体" w:eastAsia="宋体" w:cs="宋体"/>
          <w:sz w:val="24"/>
          <w:szCs w:val="24"/>
        </w:rPr>
      </w:pPr>
      <w:r>
        <w:rPr>
          <w:rFonts w:hint="default" w:ascii="宋体" w:hAnsi="宋体" w:eastAsia="宋体" w:cs="宋体"/>
          <w:color w:val="0000FF"/>
          <w:sz w:val="24"/>
          <w:szCs w:val="24"/>
        </w:rPr>
        <w:t>3</w:t>
      </w:r>
      <w:r>
        <w:rPr>
          <w:rFonts w:hint="eastAsia" w:ascii="宋体" w:hAnsi="宋体" w:eastAsia="宋体" w:cs="宋体"/>
          <w:color w:val="0000FF"/>
          <w:sz w:val="24"/>
          <w:szCs w:val="24"/>
        </w:rPr>
        <w:t>类区</w:t>
      </w:r>
      <w:r>
        <w:rPr>
          <w:rFonts w:hint="eastAsia" w:ascii="宋体" w:hAnsi="宋体" w:eastAsia="宋体" w:cs="宋体"/>
          <w:color w:val="0000FF"/>
          <w:sz w:val="24"/>
          <w:szCs w:val="24"/>
          <w:lang w:val="en-US" w:eastAsia="zh-CN"/>
        </w:rPr>
        <w:t>1个，用地性质为物流仓储，现状为养鸡场，布设1个监测网格，昼夜噪声均能满足声环境质量标准3类标准限值要</w:t>
      </w:r>
      <w:r>
        <w:rPr>
          <w:rFonts w:hint="eastAsia" w:ascii="宋体" w:hAnsi="宋体" w:eastAsia="宋体" w:cs="宋体"/>
          <w:sz w:val="24"/>
          <w:szCs w:val="24"/>
          <w:lang w:val="en-US" w:eastAsia="zh-CN"/>
        </w:rPr>
        <w:t>求</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beforeLines="0" w:afterLines="0" w:line="500" w:lineRule="exact"/>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w:t>
      </w:r>
      <w:r>
        <w:rPr>
          <w:rFonts w:hint="default" w:ascii="宋体" w:hAnsi="宋体" w:eastAsia="宋体" w:cs="宋体"/>
          <w:sz w:val="24"/>
          <w:szCs w:val="24"/>
        </w:rPr>
        <w:t>4</w:t>
      </w:r>
      <w:r>
        <w:rPr>
          <w:rFonts w:hint="eastAsia" w:ascii="宋体" w:hAnsi="宋体" w:eastAsia="宋体" w:cs="宋体"/>
          <w:sz w:val="24"/>
          <w:szCs w:val="24"/>
        </w:rPr>
        <w:t>）</w:t>
      </w:r>
      <w:r>
        <w:rPr>
          <w:rFonts w:hint="default" w:ascii="宋体" w:hAnsi="宋体" w:eastAsia="宋体" w:cs="宋体"/>
          <w:sz w:val="24"/>
          <w:szCs w:val="24"/>
        </w:rPr>
        <w:t>4</w:t>
      </w:r>
      <w:r>
        <w:rPr>
          <w:rFonts w:hint="eastAsia" w:ascii="宋体" w:hAnsi="宋体" w:eastAsia="宋体" w:cs="宋体"/>
          <w:sz w:val="24"/>
          <w:szCs w:val="24"/>
        </w:rPr>
        <w:t>类区</w:t>
      </w:r>
    </w:p>
    <w:p>
      <w:pPr>
        <w:keepNext w:val="0"/>
        <w:keepLines w:val="0"/>
        <w:pageBreakBefore w:val="0"/>
        <w:widowControl w:val="0"/>
        <w:kinsoku/>
        <w:wordWrap/>
        <w:overflowPunct/>
        <w:topLinePunct w:val="0"/>
        <w:autoSpaceDE/>
        <w:autoSpaceDN/>
        <w:bidi w:val="0"/>
        <w:adjustRightInd/>
        <w:snapToGrid/>
        <w:spacing w:beforeLines="0" w:afterLines="0" w:line="500" w:lineRule="exact"/>
        <w:jc w:val="left"/>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rPr>
        <w:t>通过在道路两侧</w:t>
      </w:r>
      <w:r>
        <w:rPr>
          <w:rFonts w:hint="eastAsia" w:ascii="宋体" w:hAnsi="宋体" w:eastAsia="宋体" w:cs="宋体"/>
          <w:sz w:val="24"/>
          <w:szCs w:val="24"/>
          <w:lang w:eastAsia="zh-CN"/>
        </w:rPr>
        <w:t>设置</w:t>
      </w:r>
      <w:r>
        <w:rPr>
          <w:rFonts w:hint="eastAsia" w:ascii="宋体" w:hAnsi="宋体" w:eastAsia="宋体" w:cs="宋体"/>
          <w:sz w:val="24"/>
          <w:szCs w:val="24"/>
        </w:rPr>
        <w:t>绿化带、加强道路交通管理等措施，</w:t>
      </w:r>
      <w:r>
        <w:rPr>
          <w:rFonts w:hint="default" w:ascii="宋体" w:hAnsi="宋体" w:eastAsia="宋体" w:cs="宋体"/>
          <w:sz w:val="24"/>
          <w:szCs w:val="24"/>
        </w:rPr>
        <w:t>4</w:t>
      </w:r>
      <w:r>
        <w:rPr>
          <w:rFonts w:hint="eastAsia" w:ascii="宋体" w:hAnsi="宋体" w:eastAsia="宋体" w:cs="宋体"/>
          <w:sz w:val="24"/>
          <w:szCs w:val="24"/>
        </w:rPr>
        <w:t>类区可以达标。</w:t>
      </w:r>
    </w:p>
    <w:p>
      <w:pPr>
        <w:rPr>
          <w:rFonts w:hint="eastAsia" w:ascii="Times New Roman" w:hAnsi="Times New Roman" w:cs="Times New Roman" w:eastAsiaTheme="minorEastAsia"/>
          <w:lang w:eastAsia="zh-CN"/>
        </w:rPr>
      </w:pPr>
    </w:p>
    <w:p>
      <w:pPr>
        <w:pStyle w:val="23"/>
        <w:rPr>
          <w:rFonts w:hint="eastAsia" w:ascii="Times New Roman" w:hAnsi="Times New Roman" w:cs="Times New Roman" w:eastAsiaTheme="minorEastAsia"/>
          <w:lang w:eastAsia="zh-CN"/>
        </w:rPr>
      </w:pPr>
    </w:p>
    <w:p>
      <w:pPr>
        <w:pStyle w:val="2"/>
        <w:keepNext/>
        <w:keepLines/>
        <w:pageBreakBefore w:val="0"/>
        <w:widowControl w:val="0"/>
        <w:numPr>
          <w:ilvl w:val="0"/>
          <w:numId w:val="0"/>
        </w:numPr>
        <w:kinsoku/>
        <w:wordWrap/>
        <w:overflowPunct/>
        <w:topLinePunct w:val="0"/>
        <w:autoSpaceDE/>
        <w:autoSpaceDN/>
        <w:bidi w:val="0"/>
        <w:adjustRightInd/>
        <w:snapToGrid/>
        <w:spacing w:before="0" w:beforeLines="0" w:line="360" w:lineRule="auto"/>
        <w:ind w:leftChars="0"/>
        <w:jc w:val="both"/>
        <w:textAlignment w:val="auto"/>
        <w:rPr>
          <w:rFonts w:hint="eastAsia" w:cs="Times New Roman" w:eastAsiaTheme="minorEastAsia"/>
          <w:color w:val="auto"/>
          <w:sz w:val="32"/>
          <w:szCs w:val="32"/>
          <w:highlight w:val="none"/>
          <w:lang w:val="en-US" w:eastAsia="zh-CN"/>
        </w:rPr>
      </w:pPr>
      <w:bookmarkStart w:id="34" w:name="_Toc5241"/>
      <w:r>
        <w:rPr>
          <w:rFonts w:hint="eastAsia" w:cs="Times New Roman" w:eastAsiaTheme="minorEastAsia"/>
          <w:color w:val="auto"/>
          <w:sz w:val="32"/>
          <w:szCs w:val="32"/>
          <w:highlight w:val="none"/>
          <w:lang w:val="en-US" w:eastAsia="zh-CN"/>
        </w:rPr>
        <w:t>7 城市噪声控制措施及对策</w:t>
      </w:r>
      <w:bookmarkEnd w:id="34"/>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eastAsia" w:cs="Times New Roman" w:eastAsiaTheme="minorEastAsia"/>
          <w:color w:val="auto"/>
          <w:sz w:val="30"/>
          <w:szCs w:val="30"/>
          <w:highlight w:val="none"/>
          <w:lang w:val="en-US" w:eastAsia="zh-CN"/>
        </w:rPr>
      </w:pPr>
      <w:bookmarkStart w:id="35" w:name="_Toc11634"/>
      <w:r>
        <w:rPr>
          <w:rFonts w:hint="default" w:cs="Times New Roman" w:eastAsiaTheme="minorEastAsia"/>
          <w:color w:val="auto"/>
          <w:sz w:val="30"/>
          <w:szCs w:val="30"/>
          <w:highlight w:val="none"/>
          <w:lang w:val="en-US" w:eastAsia="zh-CN"/>
        </w:rPr>
        <w:t xml:space="preserve">7.1 </w:t>
      </w:r>
      <w:r>
        <w:rPr>
          <w:rFonts w:hint="eastAsia" w:cs="Times New Roman" w:eastAsiaTheme="minorEastAsia"/>
          <w:color w:val="auto"/>
          <w:sz w:val="30"/>
          <w:szCs w:val="30"/>
          <w:highlight w:val="none"/>
          <w:lang w:val="en-US" w:eastAsia="zh-CN"/>
        </w:rPr>
        <w:t>“十四五”期间存在的问题及原因分析</w:t>
      </w:r>
      <w:bookmarkEnd w:id="35"/>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default" w:cs="Times New Roman" w:eastAsiaTheme="minorEastAsia"/>
          <w:color w:val="auto"/>
          <w:sz w:val="28"/>
          <w:szCs w:val="28"/>
          <w:lang w:val="en-US" w:eastAsia="zh-CN"/>
        </w:rPr>
        <w:t xml:space="preserve">7.1.1 </w:t>
      </w:r>
      <w:r>
        <w:rPr>
          <w:rFonts w:hint="eastAsia" w:cs="Times New Roman" w:eastAsiaTheme="minorEastAsia"/>
          <w:color w:val="auto"/>
          <w:sz w:val="28"/>
          <w:szCs w:val="28"/>
          <w:lang w:val="en-US" w:eastAsia="zh-CN"/>
        </w:rPr>
        <w:t>声环境污染现状及问题</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1</w:t>
      </w:r>
      <w:r>
        <w:rPr>
          <w:rFonts w:hint="eastAsia" w:ascii="宋体" w:hAnsi="宋体" w:eastAsia="宋体" w:cs="宋体"/>
          <w:sz w:val="24"/>
          <w:szCs w:val="24"/>
          <w:lang w:val="en-US" w:eastAsia="zh-CN"/>
        </w:rPr>
        <w:t>）环境噪声监测能力和手段需要进一步提升</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2</w:t>
      </w:r>
      <w:r>
        <w:rPr>
          <w:rFonts w:hint="eastAsia" w:ascii="宋体" w:hAnsi="宋体" w:eastAsia="宋体" w:cs="宋体"/>
          <w:sz w:val="24"/>
          <w:szCs w:val="24"/>
          <w:lang w:val="en-US" w:eastAsia="zh-CN"/>
        </w:rPr>
        <w:t>）道路交通噪声成为声环境改善的难题</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w:t>
      </w:r>
      <w:r>
        <w:rPr>
          <w:rFonts w:hint="default" w:ascii="宋体" w:hAnsi="宋体" w:eastAsia="宋体" w:cs="宋体"/>
          <w:sz w:val="24"/>
          <w:szCs w:val="24"/>
          <w:lang w:val="en-US" w:eastAsia="zh-CN"/>
        </w:rPr>
        <w:t>2020</w:t>
      </w:r>
      <w:r>
        <w:rPr>
          <w:rFonts w:hint="eastAsia" w:ascii="宋体" w:hAnsi="宋体" w:eastAsia="宋体" w:cs="宋体"/>
          <w:sz w:val="24"/>
          <w:szCs w:val="24"/>
          <w:lang w:val="en-US" w:eastAsia="zh-CN"/>
        </w:rPr>
        <w:t>年城市声环境现状监测结果，曲沃县城市区域昼间等效声级平均值为</w:t>
      </w:r>
      <w:r>
        <w:rPr>
          <w:rFonts w:hint="default" w:ascii="宋体" w:hAnsi="宋体" w:eastAsia="宋体" w:cs="宋体"/>
          <w:sz w:val="24"/>
          <w:szCs w:val="24"/>
          <w:lang w:val="en-US" w:eastAsia="zh-CN"/>
        </w:rPr>
        <w:t>54.</w:t>
      </w:r>
      <w:r>
        <w:rPr>
          <w:rFonts w:hint="eastAsia" w:ascii="宋体" w:hAnsi="宋体" w:eastAsia="宋体" w:cs="宋体"/>
          <w:sz w:val="24"/>
          <w:szCs w:val="24"/>
          <w:lang w:val="en-US" w:eastAsia="zh-CN"/>
        </w:rPr>
        <w:t>67</w:t>
      </w:r>
      <w:r>
        <w:rPr>
          <w:rFonts w:hint="default" w:ascii="宋体" w:hAnsi="宋体" w:eastAsia="宋体" w:cs="宋体"/>
          <w:sz w:val="24"/>
          <w:szCs w:val="24"/>
          <w:lang w:val="en-US" w:eastAsia="zh-CN"/>
        </w:rPr>
        <w:t>dB</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A</w:t>
      </w:r>
      <w:r>
        <w:rPr>
          <w:rFonts w:hint="eastAsia" w:ascii="宋体" w:hAnsi="宋体" w:eastAsia="宋体" w:cs="宋体"/>
          <w:sz w:val="24"/>
          <w:szCs w:val="24"/>
          <w:lang w:val="en-US" w:eastAsia="zh-CN"/>
        </w:rPr>
        <w:t>）；夜间等效声级平均值为</w:t>
      </w:r>
      <w:r>
        <w:rPr>
          <w:rFonts w:hint="default" w:ascii="宋体" w:hAnsi="宋体" w:eastAsia="宋体" w:cs="宋体"/>
          <w:sz w:val="24"/>
          <w:szCs w:val="24"/>
          <w:lang w:val="en-US" w:eastAsia="zh-CN"/>
        </w:rPr>
        <w:t>4</w:t>
      </w:r>
      <w:r>
        <w:rPr>
          <w:rFonts w:hint="eastAsia" w:ascii="宋体" w:hAnsi="宋体" w:eastAsia="宋体" w:cs="宋体"/>
          <w:sz w:val="24"/>
          <w:szCs w:val="24"/>
          <w:lang w:val="en-US" w:eastAsia="zh-CN"/>
        </w:rPr>
        <w:t>3.89</w:t>
      </w:r>
      <w:r>
        <w:rPr>
          <w:rFonts w:hint="default" w:ascii="宋体" w:hAnsi="宋体" w:eastAsia="宋体" w:cs="宋体"/>
          <w:sz w:val="24"/>
          <w:szCs w:val="24"/>
          <w:lang w:val="en-US" w:eastAsia="zh-CN"/>
        </w:rPr>
        <w:t>dB</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A</w:t>
      </w:r>
      <w:r>
        <w:rPr>
          <w:rFonts w:hint="eastAsia" w:ascii="宋体" w:hAnsi="宋体" w:eastAsia="宋体" w:cs="宋体"/>
          <w:sz w:val="24"/>
          <w:szCs w:val="24"/>
          <w:lang w:val="en-US" w:eastAsia="zh-CN"/>
        </w:rPr>
        <w:t>）。</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曲沃县交通噪声昼间平均等效声级为</w:t>
      </w:r>
      <w:r>
        <w:rPr>
          <w:rFonts w:hint="default" w:ascii="宋体" w:hAnsi="宋体" w:eastAsia="宋体" w:cs="宋体"/>
          <w:sz w:val="24"/>
          <w:szCs w:val="24"/>
          <w:lang w:val="en-US" w:eastAsia="zh-CN"/>
        </w:rPr>
        <w:t>6</w:t>
      </w:r>
      <w:r>
        <w:rPr>
          <w:rFonts w:hint="eastAsia" w:ascii="宋体" w:hAnsi="宋体" w:eastAsia="宋体" w:cs="宋体"/>
          <w:sz w:val="24"/>
          <w:szCs w:val="24"/>
          <w:lang w:val="en-US" w:eastAsia="zh-CN"/>
        </w:rPr>
        <w:t>5.6</w:t>
      </w:r>
      <w:r>
        <w:rPr>
          <w:rFonts w:hint="default" w:ascii="宋体" w:hAnsi="宋体" w:eastAsia="宋体" w:cs="宋体"/>
          <w:sz w:val="24"/>
          <w:szCs w:val="24"/>
          <w:lang w:val="en-US" w:eastAsia="zh-CN"/>
        </w:rPr>
        <w:t>4dB</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A</w:t>
      </w:r>
      <w:r>
        <w:rPr>
          <w:rFonts w:hint="eastAsia" w:ascii="宋体" w:hAnsi="宋体" w:eastAsia="宋体" w:cs="宋体"/>
          <w:sz w:val="24"/>
          <w:szCs w:val="24"/>
          <w:lang w:val="en-US" w:eastAsia="zh-CN"/>
        </w:rPr>
        <w:t>），夜间平均等效声级为</w:t>
      </w:r>
      <w:r>
        <w:rPr>
          <w:rFonts w:hint="default" w:ascii="宋体" w:hAnsi="宋体" w:eastAsia="宋体" w:cs="宋体"/>
          <w:sz w:val="24"/>
          <w:szCs w:val="24"/>
          <w:lang w:val="en-US" w:eastAsia="zh-CN"/>
        </w:rPr>
        <w:t>53.</w:t>
      </w:r>
      <w:r>
        <w:rPr>
          <w:rFonts w:hint="eastAsia" w:ascii="宋体" w:hAnsi="宋体" w:eastAsia="宋体" w:cs="宋体"/>
          <w:sz w:val="24"/>
          <w:szCs w:val="24"/>
          <w:lang w:val="en-US" w:eastAsia="zh-CN"/>
        </w:rPr>
        <w:t>39</w:t>
      </w:r>
      <w:r>
        <w:rPr>
          <w:rFonts w:hint="default" w:ascii="宋体" w:hAnsi="宋体" w:eastAsia="宋体" w:cs="宋体"/>
          <w:sz w:val="24"/>
          <w:szCs w:val="24"/>
          <w:lang w:val="en-US" w:eastAsia="zh-CN"/>
        </w:rPr>
        <w:t>dB</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A</w:t>
      </w:r>
      <w:r>
        <w:rPr>
          <w:rFonts w:hint="eastAsia" w:ascii="宋体" w:hAnsi="宋体" w:eastAsia="宋体" w:cs="宋体"/>
          <w:sz w:val="24"/>
          <w:szCs w:val="24"/>
          <w:lang w:val="en-US" w:eastAsia="zh-CN"/>
        </w:rPr>
        <w:t>）。</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default" w:cs="Times New Roman" w:eastAsiaTheme="minorEastAsia"/>
          <w:color w:val="auto"/>
          <w:sz w:val="28"/>
          <w:szCs w:val="28"/>
          <w:lang w:val="en-US" w:eastAsia="zh-CN"/>
        </w:rPr>
        <w:t xml:space="preserve">7.1.2 </w:t>
      </w:r>
      <w:r>
        <w:rPr>
          <w:rFonts w:hint="eastAsia" w:cs="Times New Roman" w:eastAsiaTheme="minorEastAsia"/>
          <w:color w:val="auto"/>
          <w:sz w:val="28"/>
          <w:szCs w:val="28"/>
          <w:lang w:val="en-US" w:eastAsia="zh-CN"/>
        </w:rPr>
        <w:t>城市声环境污染原因分析</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曲沃县城区目前噪声污染主要为交通噪声、社会噪声，也有部分超标，其原因主要体现在以下方面：</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1</w:t>
      </w:r>
      <w:r>
        <w:rPr>
          <w:rFonts w:hint="eastAsia" w:ascii="宋体" w:hAnsi="宋体" w:eastAsia="宋体" w:cs="宋体"/>
          <w:sz w:val="24"/>
          <w:szCs w:val="24"/>
          <w:lang w:val="en-US" w:eastAsia="zh-CN"/>
        </w:rPr>
        <w:t>）曲沃县正在进行新城区建设，部分区域建筑施工，又属于露天作业，其声源强较高，直接影响区域声环境质量；</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2</w:t>
      </w:r>
      <w:r>
        <w:rPr>
          <w:rFonts w:hint="eastAsia" w:ascii="宋体" w:hAnsi="宋体" w:eastAsia="宋体" w:cs="宋体"/>
          <w:sz w:val="24"/>
          <w:szCs w:val="24"/>
          <w:lang w:val="en-US" w:eastAsia="zh-CN"/>
        </w:rPr>
        <w:t>）社会噪声包括了生活噪声及其他噪声，如商业区、饭店、市场、广场、娱乐场所喧哗声，学校教学、读书、嬉闹声，居民区汽车、摩托车运行、红白喜事乐声及鞭炮鸣放等各类噪声污染源，对局部区块的声环境污染。</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eastAsia" w:cs="Times New Roman" w:eastAsiaTheme="minorEastAsia"/>
          <w:color w:val="auto"/>
          <w:sz w:val="30"/>
          <w:szCs w:val="30"/>
          <w:highlight w:val="none"/>
          <w:lang w:val="en-US" w:eastAsia="zh-CN"/>
        </w:rPr>
      </w:pPr>
      <w:bookmarkStart w:id="36" w:name="_Toc1832"/>
      <w:r>
        <w:rPr>
          <w:rFonts w:hint="default" w:cs="Times New Roman" w:eastAsiaTheme="minorEastAsia"/>
          <w:color w:val="auto"/>
          <w:sz w:val="30"/>
          <w:szCs w:val="30"/>
          <w:highlight w:val="none"/>
          <w:lang w:val="en-US" w:eastAsia="zh-CN"/>
        </w:rPr>
        <w:t xml:space="preserve">7.2 </w:t>
      </w:r>
      <w:r>
        <w:rPr>
          <w:rFonts w:hint="eastAsia" w:cs="Times New Roman" w:eastAsiaTheme="minorEastAsia"/>
          <w:color w:val="auto"/>
          <w:sz w:val="30"/>
          <w:szCs w:val="30"/>
          <w:highlight w:val="none"/>
          <w:lang w:val="en-US" w:eastAsia="zh-CN"/>
        </w:rPr>
        <w:t>具体控制措施及对策</w:t>
      </w:r>
      <w:bookmarkEnd w:id="36"/>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城市环境噪声来源复杂，声源几乎涉及各个方面各个行业，因此调整城市环境噪声污染控制是一项系统工程，单靠生态环境、公安一两个部门监管难以胜任，为强化声源管理还需要自然资源、住建、文旅、市场监督管理、教科、铁路、交通等部门协同管理。在贯彻“谁污染，谁治理”原则的基础上，更需要相关管理部门各司其责，常抓不懈。针对城市环境噪声污染的原因和特点，采取针对性的综合整治对策以达到标本兼治的目的。</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default" w:cs="Times New Roman" w:eastAsiaTheme="minorEastAsia"/>
          <w:color w:val="auto"/>
          <w:sz w:val="28"/>
          <w:szCs w:val="28"/>
          <w:lang w:val="en-US" w:eastAsia="zh-CN"/>
        </w:rPr>
        <w:t xml:space="preserve">7.2.1 </w:t>
      </w:r>
      <w:r>
        <w:rPr>
          <w:rFonts w:hint="eastAsia" w:cs="Times New Roman" w:eastAsiaTheme="minorEastAsia"/>
          <w:color w:val="auto"/>
          <w:sz w:val="28"/>
          <w:szCs w:val="28"/>
          <w:lang w:val="en-US" w:eastAsia="zh-CN"/>
        </w:rPr>
        <w:t>抓住城市建设与改造机会合理调整功能分区</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城市经济和城市建设的迅速发展，会导致城区噪声源强度的增加和范围的扩展，城市建设为改善城区声环境带来了难得的机遇。自然资源和</w:t>
      </w:r>
      <w:r>
        <w:rPr>
          <w:rFonts w:hint="eastAsia"/>
          <w:lang w:val="en-US" w:eastAsia="zh-CN"/>
        </w:rPr>
        <w:t>住建</w:t>
      </w:r>
      <w:r>
        <w:rPr>
          <w:rFonts w:hint="eastAsia" w:ascii="宋体" w:hAnsi="宋体" w:eastAsia="宋体" w:cs="宋体"/>
          <w:sz w:val="24"/>
          <w:szCs w:val="24"/>
          <w:lang w:val="en-US" w:eastAsia="zh-CN"/>
        </w:rPr>
        <w:t>部门应当充分考虑建设项目和区域开发、改造所产生的噪声对周围生活环境的影响，统筹规划，合理安排功能区和建设布局，为整个区域声环境改善创造良好的条件。工业、居住、商业等规模性片区合理规划，分区布局，按照声环境质量的要求合理布局城市规划。</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default" w:cs="Times New Roman" w:eastAsiaTheme="minorEastAsia"/>
          <w:color w:val="auto"/>
          <w:sz w:val="28"/>
          <w:szCs w:val="28"/>
          <w:lang w:val="en-US" w:eastAsia="zh-CN"/>
        </w:rPr>
        <w:t xml:space="preserve">7.2.2 </w:t>
      </w:r>
      <w:r>
        <w:rPr>
          <w:rFonts w:hint="eastAsia" w:cs="Times New Roman" w:eastAsiaTheme="minorEastAsia"/>
          <w:color w:val="auto"/>
          <w:sz w:val="28"/>
          <w:szCs w:val="28"/>
          <w:lang w:val="en-US" w:eastAsia="zh-CN"/>
        </w:rPr>
        <w:t>依据城市规划合理布局路网建设</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新城建设过程中应合理配臵道路网，加快城市环路的建设，控制大车和过境车辆进入城区。城区交通干道应设置机动车快慢车道、非机动车道及人行道，机动车和非机动车道之间还要有隔离带，在旧城改造过程中，继续推进城郊公路、城区街道拓宽改造工程，进一步提高交通通畅度，有效降低车辆的刹车声、启动声和鸣笛声。在城区内环境敏感路段可采用降噪性能好的改性沥青；路面应保持平整，定期维修，以降低交通噪声的影响。</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eastAsia" w:cs="Times New Roman" w:eastAsiaTheme="minorEastAsia"/>
          <w:color w:val="auto"/>
          <w:sz w:val="28"/>
          <w:szCs w:val="28"/>
          <w:lang w:val="en-US" w:eastAsia="zh-CN"/>
        </w:rPr>
        <w:t>7.2.3 强化依法管理严控各类噪声源</w:t>
      </w:r>
    </w:p>
    <w:p>
      <w:pPr>
        <w:spacing w:beforeLines="0" w:afterLines="0"/>
        <w:jc w:val="left"/>
        <w:rPr>
          <w:rFonts w:hint="eastAsia" w:ascii="宋体" w:hAnsi="宋体" w:eastAsia="宋体" w:cs="宋体"/>
          <w:color w:val="0B5FD1"/>
          <w:sz w:val="24"/>
          <w:szCs w:val="24"/>
          <w:lang w:val="en-US" w:eastAsia="zh-CN"/>
        </w:rPr>
      </w:pPr>
      <w:r>
        <w:rPr>
          <w:rFonts w:hint="eastAsia" w:ascii="宋体" w:hAnsi="宋体" w:eastAsia="宋体" w:cs="宋体"/>
          <w:color w:val="0B5FD1"/>
          <w:sz w:val="24"/>
          <w:szCs w:val="24"/>
          <w:lang w:val="en-US" w:eastAsia="zh-CN"/>
        </w:rPr>
        <w:t>制定并执行强制性的噪声控制和管理法规是保证城市安静环境的重要措施。</w:t>
      </w:r>
    </w:p>
    <w:p>
      <w:pPr>
        <w:spacing w:beforeLines="0" w:afterLines="0"/>
        <w:jc w:val="left"/>
        <w:rPr>
          <w:rFonts w:hint="eastAsia" w:ascii="宋体" w:hAnsi="宋体" w:eastAsia="宋体" w:cs="宋体"/>
          <w:color w:val="0B5FD1"/>
          <w:sz w:val="24"/>
          <w:szCs w:val="24"/>
          <w:lang w:val="en-US" w:eastAsia="zh-CN"/>
        </w:rPr>
      </w:pPr>
      <w:r>
        <w:rPr>
          <w:rFonts w:hint="eastAsia" w:ascii="宋体" w:hAnsi="宋体" w:eastAsia="宋体" w:cs="宋体"/>
          <w:color w:val="0B5FD1"/>
          <w:sz w:val="24"/>
          <w:szCs w:val="24"/>
          <w:lang w:val="en-US" w:eastAsia="zh-CN"/>
        </w:rPr>
        <w:t>（1）设立实时监测装臵，严格监控城区重点地段</w:t>
      </w:r>
    </w:p>
    <w:p>
      <w:pPr>
        <w:spacing w:beforeLines="0" w:afterLines="0"/>
        <w:jc w:val="left"/>
        <w:rPr>
          <w:rFonts w:hint="eastAsia" w:ascii="宋体" w:hAnsi="宋体" w:eastAsia="宋体" w:cs="宋体"/>
          <w:color w:val="0B5FD1"/>
          <w:sz w:val="24"/>
          <w:szCs w:val="24"/>
          <w:lang w:val="en-US" w:eastAsia="zh-CN"/>
        </w:rPr>
      </w:pPr>
      <w:r>
        <w:rPr>
          <w:rFonts w:hint="eastAsia" w:ascii="宋体" w:hAnsi="宋体" w:eastAsia="宋体" w:cs="宋体"/>
          <w:color w:val="0B5FD1"/>
          <w:sz w:val="24"/>
          <w:szCs w:val="24"/>
          <w:lang w:val="en-US" w:eastAsia="zh-CN"/>
        </w:rPr>
        <w:t>根据环境保护部“关于加强环境噪声污染防治工作改善城乡声环境质量的指导意见”，环发【2010】144 号文件中指出：重点噪声污染源应安装噪声自动监测仪器，将监测数据作为执法监管依据。重点城市应设置环境噪声自动监测系统，各城市应至少设立一个噪声显示屏。加强城市道路交通噪声监测，重点城市应于“十二五”期间开展道路噪声监测工作。加强噪声污染执法监测能力，建设环境监测和环境监察部门应配臵相应的噪声现场监测设备和仪器。</w:t>
      </w:r>
    </w:p>
    <w:p>
      <w:pPr>
        <w:spacing w:beforeLines="0" w:afterLines="0"/>
        <w:jc w:val="left"/>
        <w:rPr>
          <w:rFonts w:hint="eastAsia" w:ascii="宋体" w:hAnsi="宋体" w:eastAsia="宋体" w:cs="宋体"/>
          <w:color w:val="0B5FD1"/>
          <w:sz w:val="24"/>
          <w:szCs w:val="24"/>
          <w:lang w:val="en-US" w:eastAsia="zh-CN"/>
        </w:rPr>
      </w:pPr>
      <w:r>
        <w:rPr>
          <w:rFonts w:hint="eastAsia" w:ascii="宋体" w:hAnsi="宋体" w:eastAsia="宋体" w:cs="宋体"/>
          <w:color w:val="0B5FD1"/>
          <w:sz w:val="24"/>
          <w:szCs w:val="24"/>
          <w:lang w:val="en-US" w:eastAsia="zh-CN"/>
        </w:rPr>
        <w:t>（2）加强机动车管控，优化城区车辆运行环境</w:t>
      </w:r>
    </w:p>
    <w:p>
      <w:pPr>
        <w:spacing w:beforeLines="0" w:afterLines="0"/>
        <w:jc w:val="left"/>
        <w:rPr>
          <w:rFonts w:hint="eastAsia" w:ascii="宋体" w:hAnsi="宋体" w:eastAsia="宋体" w:cs="宋体"/>
          <w:color w:val="0B5FD1"/>
          <w:sz w:val="24"/>
          <w:szCs w:val="24"/>
          <w:lang w:val="en-US" w:eastAsia="zh-CN"/>
        </w:rPr>
      </w:pPr>
      <w:r>
        <w:rPr>
          <w:rFonts w:hint="eastAsia" w:ascii="宋体" w:hAnsi="宋体" w:eastAsia="宋体" w:cs="宋体"/>
          <w:color w:val="0B5FD1"/>
          <w:sz w:val="24"/>
          <w:szCs w:val="24"/>
          <w:lang w:val="en-US" w:eastAsia="zh-CN"/>
        </w:rPr>
        <w:t>交警部门要加强机动车辆的监管，结合城市交通和车辆的拥有量和交通环境的变化，在现有道路交通条件的基础上，进一步科学优化各类车辆运行机制，稳定实施有效管控。如在城市的主次干道强化对机动车的禁鸣管理、限制车速，在道路口要设置明显的限速和禁鸣喇叭及禁止拖拉机、大型或重型等高噪声机动车进入城市的标志；机动车年检时对发动机的噪声也要进行测试检查消声装臵是否合格，对达不到噪声排放规定的不准上路，对违反规定的都要及时纠正并以处罚；</w:t>
      </w:r>
    </w:p>
    <w:p>
      <w:pPr>
        <w:spacing w:beforeLines="0" w:afterLines="0"/>
        <w:ind w:left="0" w:leftChars="0" w:firstLine="0" w:firstLineChars="0"/>
        <w:jc w:val="left"/>
        <w:rPr>
          <w:rFonts w:hint="eastAsia" w:ascii="宋体" w:hAnsi="宋体" w:eastAsia="宋体" w:cs="宋体"/>
          <w:color w:val="0B5FD1"/>
          <w:sz w:val="24"/>
          <w:szCs w:val="24"/>
          <w:lang w:val="en-US" w:eastAsia="zh-CN"/>
        </w:rPr>
      </w:pPr>
      <w:r>
        <w:rPr>
          <w:rFonts w:hint="eastAsia" w:ascii="宋体" w:hAnsi="宋体" w:eastAsia="宋体" w:cs="宋体"/>
          <w:color w:val="0B5FD1"/>
          <w:sz w:val="24"/>
          <w:szCs w:val="24"/>
          <w:lang w:val="en-US" w:eastAsia="zh-CN"/>
        </w:rPr>
        <w:t>对于非机动车，如摩托车、三轮车应控制在非机动车道行驶。</w:t>
      </w:r>
    </w:p>
    <w:p>
      <w:pPr>
        <w:spacing w:beforeLines="0" w:afterLines="0"/>
        <w:jc w:val="left"/>
        <w:rPr>
          <w:rFonts w:hint="eastAsia" w:ascii="宋体" w:hAnsi="宋体" w:eastAsia="宋体" w:cs="宋体"/>
          <w:color w:val="0B5FD1"/>
          <w:sz w:val="24"/>
          <w:szCs w:val="24"/>
          <w:lang w:val="en-US" w:eastAsia="zh-CN"/>
        </w:rPr>
      </w:pPr>
      <w:r>
        <w:rPr>
          <w:rFonts w:hint="eastAsia" w:ascii="宋体" w:hAnsi="宋体" w:eastAsia="宋体" w:cs="宋体"/>
          <w:color w:val="0B5FD1"/>
          <w:sz w:val="24"/>
          <w:szCs w:val="24"/>
          <w:lang w:val="en-US" w:eastAsia="zh-CN"/>
        </w:rPr>
        <w:t>（</w:t>
      </w:r>
      <w:r>
        <w:rPr>
          <w:rFonts w:hint="default" w:ascii="宋体" w:hAnsi="宋体" w:eastAsia="宋体" w:cs="宋体"/>
          <w:color w:val="0B5FD1"/>
          <w:sz w:val="24"/>
          <w:szCs w:val="24"/>
          <w:lang w:val="en-US" w:eastAsia="zh-CN"/>
        </w:rPr>
        <w:t>3</w:t>
      </w:r>
      <w:r>
        <w:rPr>
          <w:rFonts w:hint="eastAsia" w:ascii="宋体" w:hAnsi="宋体" w:eastAsia="宋体" w:cs="宋体"/>
          <w:color w:val="0B5FD1"/>
          <w:sz w:val="24"/>
          <w:szCs w:val="24"/>
          <w:lang w:val="en-US" w:eastAsia="zh-CN"/>
        </w:rPr>
        <w:t>）加强巡查严格管控施工噪声污染</w:t>
      </w:r>
    </w:p>
    <w:p>
      <w:pPr>
        <w:spacing w:beforeLines="0" w:afterLines="0"/>
        <w:jc w:val="left"/>
        <w:rPr>
          <w:rFonts w:hint="eastAsia" w:ascii="宋体" w:hAnsi="宋体" w:eastAsia="宋体" w:cs="宋体"/>
          <w:color w:val="0B5FD1"/>
          <w:sz w:val="24"/>
          <w:szCs w:val="24"/>
          <w:lang w:val="en-US" w:eastAsia="zh-CN"/>
        </w:rPr>
      </w:pPr>
      <w:r>
        <w:rPr>
          <w:rFonts w:hint="eastAsia" w:ascii="宋体" w:hAnsi="宋体" w:eastAsia="宋体" w:cs="宋体"/>
          <w:color w:val="0B5FD1"/>
          <w:sz w:val="24"/>
          <w:szCs w:val="24"/>
          <w:lang w:val="en-US" w:eastAsia="zh-CN"/>
        </w:rPr>
        <w:t>施工单位要按程序向生态环境部门申请施工地点、施工周期、施工方式、适用的设备及物料运输条件等情况。建筑施工单位要自觉的采用低噪声的施工机械，如液压打桩机或采用噪声比较小的振动打桩法和钻孔灌注法等。水泥搅拌可采取成立水泥搅拌站，集中供给的方式，也可采取其他临时的隔声围护结构或牺牲吸声的隔声屏障、隔声罩等。根据施工期噪声的影响大小，调整施工时间，采取各种有效的防噪措施，保证施工作业场地声环境符合国家标准。</w:t>
      </w:r>
    </w:p>
    <w:p>
      <w:pPr>
        <w:spacing w:beforeLines="0" w:afterLines="0"/>
        <w:jc w:val="left"/>
        <w:rPr>
          <w:rFonts w:hint="eastAsia" w:ascii="宋体" w:hAnsi="宋体" w:eastAsia="宋体" w:cs="宋体"/>
          <w:color w:val="0B5FD1"/>
          <w:sz w:val="24"/>
          <w:szCs w:val="24"/>
          <w:lang w:val="en-US" w:eastAsia="zh-CN"/>
        </w:rPr>
      </w:pPr>
      <w:r>
        <w:rPr>
          <w:rFonts w:hint="eastAsia" w:ascii="宋体" w:hAnsi="宋体" w:eastAsia="宋体" w:cs="宋体"/>
          <w:color w:val="0B5FD1"/>
          <w:sz w:val="24"/>
          <w:szCs w:val="24"/>
          <w:lang w:val="en-US" w:eastAsia="zh-CN"/>
        </w:rPr>
        <w:t>生态环境部门要加强各施工现场的环境管理，加强巡查、通过抽查、暗访、突击检查等方式控制施工噪声的污染，对居民集中居住的区域，可采取强制性措施，如禁止夜间及午间打桩，禁止夜间进行产生环境噪声污染的建筑施工作业。对需要连续作业的工艺也尽量调整在白天进行，需持续到夜间的必须取得生态环境部门的同意，并通告附近居民。</w:t>
      </w:r>
    </w:p>
    <w:p>
      <w:pPr>
        <w:spacing w:beforeLines="0" w:afterLines="0"/>
        <w:jc w:val="left"/>
        <w:rPr>
          <w:rFonts w:hint="eastAsia" w:ascii="宋体" w:hAnsi="宋体" w:eastAsia="宋体" w:cs="宋体"/>
          <w:color w:val="0B5FD1"/>
          <w:sz w:val="24"/>
          <w:szCs w:val="24"/>
          <w:lang w:val="en-US" w:eastAsia="zh-CN"/>
        </w:rPr>
      </w:pPr>
      <w:r>
        <w:rPr>
          <w:rFonts w:hint="eastAsia" w:ascii="宋体" w:hAnsi="宋体" w:eastAsia="宋体" w:cs="宋体"/>
          <w:color w:val="0B5FD1"/>
          <w:sz w:val="24"/>
          <w:szCs w:val="24"/>
          <w:lang w:val="en-US" w:eastAsia="zh-CN"/>
        </w:rPr>
        <w:t>（</w:t>
      </w:r>
      <w:r>
        <w:rPr>
          <w:rFonts w:hint="default" w:ascii="宋体" w:hAnsi="宋体" w:eastAsia="宋体" w:cs="宋体"/>
          <w:color w:val="0B5FD1"/>
          <w:sz w:val="24"/>
          <w:szCs w:val="24"/>
          <w:lang w:val="en-US" w:eastAsia="zh-CN"/>
        </w:rPr>
        <w:t>4</w:t>
      </w:r>
      <w:r>
        <w:rPr>
          <w:rFonts w:hint="eastAsia" w:ascii="宋体" w:hAnsi="宋体" w:eastAsia="宋体" w:cs="宋体"/>
          <w:color w:val="0B5FD1"/>
          <w:sz w:val="24"/>
          <w:szCs w:val="24"/>
          <w:lang w:val="en-US" w:eastAsia="zh-CN"/>
        </w:rPr>
        <w:t>）部门协作联合管控降低娱乐噪声污染</w:t>
      </w:r>
    </w:p>
    <w:p>
      <w:pPr>
        <w:spacing w:beforeLines="0" w:afterLines="0"/>
        <w:jc w:val="left"/>
        <w:rPr>
          <w:rFonts w:hint="eastAsia" w:ascii="宋体" w:hAnsi="宋体" w:eastAsia="宋体" w:cs="宋体"/>
          <w:color w:val="0B5FD1"/>
          <w:sz w:val="24"/>
          <w:szCs w:val="24"/>
          <w:lang w:val="en-US" w:eastAsia="zh-CN"/>
        </w:rPr>
      </w:pPr>
      <w:r>
        <w:rPr>
          <w:rFonts w:hint="eastAsia" w:ascii="宋体" w:hAnsi="宋体" w:eastAsia="宋体" w:cs="宋体"/>
          <w:color w:val="0B5FD1"/>
          <w:sz w:val="24"/>
          <w:szCs w:val="24"/>
          <w:lang w:val="en-US" w:eastAsia="zh-CN"/>
        </w:rPr>
        <w:t>城区内各企业、事业单位，各类商业、服务业以及影剧院、舞厅、录像厅等，一律不准将音响设备挂在室外，已安装的必须拆除。文化娱乐场所的边界噪声不得超过环境噪声标准。生态环境部门对噪声排放超标的管理部门必须下达限期整改的通知，并依法征收噪声超标排污费；对其界外噪声污染情况进行调查监测，凡噪声排放超标的对整改效果不好且扰民的“三厅”要实施搬迁。</w:t>
      </w:r>
    </w:p>
    <w:p>
      <w:pPr>
        <w:spacing w:beforeLines="0" w:afterLines="0"/>
        <w:jc w:val="left"/>
        <w:rPr>
          <w:rFonts w:hint="eastAsia" w:ascii="宋体" w:hAnsi="宋体" w:eastAsia="宋体" w:cs="宋体"/>
          <w:color w:val="0B5FD1"/>
          <w:sz w:val="24"/>
          <w:szCs w:val="24"/>
          <w:lang w:val="en-US" w:eastAsia="zh-CN"/>
        </w:rPr>
      </w:pPr>
      <w:r>
        <w:rPr>
          <w:rFonts w:hint="eastAsia" w:ascii="宋体" w:hAnsi="宋体" w:eastAsia="宋体" w:cs="宋体"/>
          <w:color w:val="0B5FD1"/>
          <w:sz w:val="24"/>
          <w:szCs w:val="24"/>
          <w:lang w:val="en-US" w:eastAsia="zh-CN"/>
        </w:rPr>
        <w:t>对所有娱乐场所无论是新建还是原有的，凡不符合国家规定的环境噪声排放标准的，文旅部门不得核发文化经营许可证、市场监督管理部门不得核发营业执照。</w:t>
      </w:r>
    </w:p>
    <w:p>
      <w:pPr>
        <w:spacing w:beforeLines="0" w:afterLines="0"/>
        <w:jc w:val="left"/>
        <w:rPr>
          <w:rFonts w:hint="eastAsia" w:ascii="宋体" w:hAnsi="宋体" w:eastAsia="宋体" w:cs="宋体"/>
          <w:color w:val="0B5FD1"/>
          <w:sz w:val="24"/>
          <w:szCs w:val="24"/>
          <w:lang w:val="en-US" w:eastAsia="zh-CN"/>
        </w:rPr>
      </w:pPr>
      <w:r>
        <w:rPr>
          <w:rFonts w:hint="eastAsia" w:ascii="宋体" w:hAnsi="宋体" w:eastAsia="宋体" w:cs="宋体"/>
          <w:color w:val="0B5FD1"/>
          <w:sz w:val="24"/>
          <w:szCs w:val="24"/>
          <w:lang w:val="en-US" w:eastAsia="zh-CN"/>
        </w:rPr>
        <w:t>商业音响及娱乐尤其是“三厅”，生态环境、文旅、市场监督管理、公安等部门应联合执法，强化管控。公安部门要经常查处在商业活动中使用高音喇叭或者采用其他发出高噪声的方法招徕顾客的行为，严格控制任何单位、个人在市区街道、广场、公园等公共场所使用高音喇叭和音响器材。</w:t>
      </w:r>
    </w:p>
    <w:p>
      <w:pPr>
        <w:spacing w:beforeLines="0" w:afterLines="0"/>
        <w:jc w:val="left"/>
        <w:rPr>
          <w:rFonts w:hint="eastAsia" w:ascii="宋体" w:hAnsi="宋体" w:eastAsia="宋体" w:cs="宋体"/>
          <w:color w:val="0B5FD1"/>
          <w:sz w:val="24"/>
          <w:szCs w:val="24"/>
          <w:lang w:val="en-US" w:eastAsia="zh-CN"/>
        </w:rPr>
      </w:pPr>
      <w:r>
        <w:rPr>
          <w:rFonts w:hint="eastAsia" w:ascii="宋体" w:hAnsi="宋体" w:eastAsia="宋体" w:cs="宋体"/>
          <w:color w:val="0B5FD1"/>
          <w:sz w:val="24"/>
          <w:szCs w:val="24"/>
          <w:lang w:val="en-US" w:eastAsia="zh-CN"/>
        </w:rPr>
        <w:t>（5）服务考生确保复习考试期间的安静环境</w:t>
      </w:r>
    </w:p>
    <w:p>
      <w:pPr>
        <w:spacing w:beforeLines="0" w:afterLines="0"/>
        <w:jc w:val="left"/>
        <w:rPr>
          <w:rFonts w:hint="eastAsia" w:ascii="宋体" w:hAnsi="宋体" w:eastAsia="宋体" w:cs="宋体"/>
          <w:color w:val="0B5FD1"/>
          <w:sz w:val="24"/>
          <w:szCs w:val="24"/>
          <w:lang w:val="en-US" w:eastAsia="zh-CN"/>
        </w:rPr>
      </w:pPr>
      <w:r>
        <w:rPr>
          <w:rFonts w:hint="eastAsia" w:ascii="宋体" w:hAnsi="宋体" w:eastAsia="宋体" w:cs="宋体"/>
          <w:color w:val="0B5FD1"/>
          <w:sz w:val="24"/>
          <w:szCs w:val="24"/>
          <w:lang w:val="en-US" w:eastAsia="zh-CN"/>
        </w:rPr>
        <w:t>将中高考、期末考等考前半个月及考试期间确定为环境噪声敏感时段，在此期间，各有关主管部门应根据各自职责，采取限定音量、限制作业时间、实行交通管制等措施，防止和减少中、高考期间的环境噪声污染，为中、高考学生提供一个安静学习、考试和休息的良好环境。</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default" w:cs="Times New Roman" w:eastAsiaTheme="minorEastAsia"/>
          <w:color w:val="auto"/>
          <w:sz w:val="28"/>
          <w:szCs w:val="28"/>
          <w:lang w:val="en-US" w:eastAsia="zh-CN"/>
        </w:rPr>
        <w:t xml:space="preserve">7.2.4 </w:t>
      </w:r>
      <w:r>
        <w:rPr>
          <w:rFonts w:hint="eastAsia" w:cs="Times New Roman" w:eastAsiaTheme="minorEastAsia"/>
          <w:color w:val="auto"/>
          <w:sz w:val="28"/>
          <w:szCs w:val="28"/>
          <w:lang w:val="en-US" w:eastAsia="zh-CN"/>
        </w:rPr>
        <w:t>加强环保宣传提高公民降噪意识</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通过公益广告、电视新闻、网络等多种形式深入开展声环境保护方面的宣传教育，增强单位和民众保护声环境的意识，提高贯彻执行国家有关声环境保护法的自觉性，鼓励公众积极参与噪声污染防治的行动</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eastAsia" w:cs="Times New Roman" w:eastAsiaTheme="minorEastAsia"/>
          <w:color w:val="auto"/>
          <w:sz w:val="30"/>
          <w:szCs w:val="30"/>
          <w:highlight w:val="none"/>
          <w:lang w:val="en-US" w:eastAsia="zh-CN"/>
        </w:rPr>
      </w:pPr>
      <w:bookmarkStart w:id="37" w:name="_Toc29203"/>
      <w:r>
        <w:rPr>
          <w:rFonts w:hint="eastAsia" w:cs="Times New Roman" w:eastAsiaTheme="minorEastAsia"/>
          <w:color w:val="auto"/>
          <w:sz w:val="30"/>
          <w:szCs w:val="30"/>
          <w:highlight w:val="none"/>
          <w:lang w:val="en-US" w:eastAsia="zh-CN"/>
        </w:rPr>
        <w:t>7.3 建议</w:t>
      </w:r>
      <w:bookmarkEnd w:id="37"/>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针对曲沃县噪声污染现状，结合本区划方案，为控制噪声污染水平，保障公众生活、工作、学习环境的宁静舒适，提出以下建议。</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eastAsia" w:cs="Times New Roman" w:eastAsiaTheme="minorEastAsia"/>
          <w:color w:val="auto"/>
          <w:sz w:val="28"/>
          <w:szCs w:val="28"/>
          <w:lang w:val="en-US" w:eastAsia="zh-CN"/>
        </w:rPr>
        <w:t>7.3.1 加强噪声达标区建设推进功能区声环境达标</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已完成噪声功能区划的城市建设和发展规模，结合城市总体功能布局，根据噪声功能区划定结果，开展噪声达标区建设工作，并按照城市环境整治定量考核要求，制定相应的管理规章，同时凝聚社会各种力量齐抓共管，提高噪声达标区覆盖率。</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eastAsia" w:cs="Times New Roman" w:eastAsiaTheme="minorEastAsia"/>
          <w:color w:val="auto"/>
          <w:sz w:val="28"/>
          <w:szCs w:val="28"/>
          <w:lang w:val="en-US" w:eastAsia="zh-CN"/>
        </w:rPr>
        <w:t>7.3.2 加强声源及声环境监测建立信息传输系统</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城市声环境功能区划与声污染防治规划以及启动噪声达标区建设的基础上，按照国家相关的环境监测技术规范，强化声环境与声污染源的监测工作，建立数据信息的收集、处理、传输平台，为科学的实施声污染防控决策提供依据。</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我省《关于加强环境噪声污染防治工作的通知》，将对全省的噪音污染进行全面的防治，并设立专人从事环境噪声日常管理工作。辖区市至少设立三块噪声显示屏，三块功能区类别标识牌；各城镇至少设立一块噪声显示屏，一块功能区类别标识牌；环保模范城市和县级市至少设立两块噪声显示屏，两块功能区类别标识牌。完成重点噪声污染源的确定，编制噪声达标方案，完成重点噪声污染源的噪声达标验收。</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本规划建议在城市繁华地带路段加设城市道路噪声监测显示装臵，并把所有噪声屏与环保局联网做到实时监控噪声情况。收集相关数据做分析，严格监控噪声污染源。</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eastAsia" w:cs="Times New Roman" w:eastAsiaTheme="minorEastAsia"/>
          <w:color w:val="auto"/>
          <w:sz w:val="28"/>
          <w:szCs w:val="28"/>
          <w:lang w:val="en-US" w:eastAsia="zh-CN"/>
        </w:rPr>
        <w:t>7.3.3 完善交通设施建设加强道路与交通干线绿化</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城市布局要利用就成改造机会合理调整功能分区，并充分考虑交通的通畅度。设置机动车停车场、候车站的，应当合理选择位臵并采取有效措施，减轻停车场、候车站产生的噪声对周围生活环境的影响。在曲沃县境内的国道和城市主干道等路段种植一定宽度的吸噪隔离林带，通过林带屏障降低对周边居民生活影响的同时，对居民居住、办公区也应强化吸噪园林建设工作。</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eastAsia" w:cs="Times New Roman" w:eastAsiaTheme="minorEastAsia"/>
          <w:color w:val="auto"/>
          <w:sz w:val="28"/>
          <w:szCs w:val="28"/>
          <w:lang w:val="en-US" w:eastAsia="zh-CN"/>
        </w:rPr>
        <w:t>7.3.4 以声功能区划分为依据严控新改扩项目的规划与审批</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噪声功能区划定是在综合城市用地现状及规划的基础上进行的，原则上不允许在1、2类区范围内新建的项目。同时对在规划和总体设计过程中应充分考虑声波的自然衰减作用，规划建设项目距交通噪声源的合理距离，建设大型公共娱乐场所应尽可能选择在城市的边缘或远离安静要求的区域，以最大程度的保证敏感目标和居民区的声环境质量。</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eastAsia" w:cs="Times New Roman" w:eastAsiaTheme="minorEastAsia"/>
          <w:color w:val="auto"/>
          <w:sz w:val="28"/>
          <w:szCs w:val="28"/>
          <w:lang w:val="en-US" w:eastAsia="zh-CN"/>
        </w:rPr>
        <w:t>7.3.5 鼓励公民参与提高噪声投诉与处理工作机制</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相关部门设立噪声投诉热线与监督处理机构，设专人专职，根据各相关部门权责，制定行之有效的处理办法，让城区居民直接与相应监管部门联系，争取在最短时间内使问题得到妥善解决。</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eastAsia" w:cs="Times New Roman" w:eastAsiaTheme="minorEastAsia"/>
          <w:color w:val="auto"/>
          <w:sz w:val="28"/>
          <w:szCs w:val="28"/>
          <w:lang w:val="en-US" w:eastAsia="zh-CN"/>
        </w:rPr>
        <w:t>7.3.6 发挥媒体传播优势加强声污染防治教育工作</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以广播、电视、报刊、网路为载体，通过多种形式深入开展声环境保护方面的宣传教育，增强单位和民众保护声环境的意识，提高贯彻执行国家有关声环境保护法的自觉性，同时利用媒体对超标噪声污染源进行曝光，提供社会监督，并号召公众积极参与噪声污染防治的行动。</w:t>
      </w:r>
    </w:p>
    <w:p>
      <w:pPr>
        <w:spacing w:beforeLines="0" w:afterLines="0"/>
        <w:jc w:val="left"/>
        <w:rPr>
          <w:rFonts w:hint="eastAsia" w:ascii="宋体" w:hAnsi="宋体" w:eastAsia="宋体"/>
          <w:sz w:val="24"/>
        </w:rPr>
      </w:pPr>
    </w:p>
    <w:p>
      <w:pPr>
        <w:spacing w:beforeLines="0" w:afterLines="0"/>
        <w:jc w:val="left"/>
        <w:rPr>
          <w:rFonts w:hint="eastAsia" w:ascii="宋体" w:hAnsi="宋体" w:eastAsia="宋体"/>
          <w:sz w:val="24"/>
        </w:rPr>
      </w:pPr>
    </w:p>
    <w:p>
      <w:pPr>
        <w:spacing w:beforeLines="0" w:afterLines="0"/>
        <w:jc w:val="left"/>
        <w:rPr>
          <w:rFonts w:hint="eastAsia" w:ascii="宋体" w:hAnsi="宋体" w:eastAsia="宋体"/>
          <w:sz w:val="24"/>
        </w:rPr>
      </w:pPr>
    </w:p>
    <w:p>
      <w:pPr>
        <w:spacing w:beforeLines="0" w:afterLines="0"/>
        <w:jc w:val="left"/>
        <w:rPr>
          <w:rFonts w:hint="eastAsia" w:ascii="宋体" w:hAnsi="宋体" w:eastAsia="宋体"/>
          <w:sz w:val="24"/>
        </w:rPr>
      </w:pPr>
    </w:p>
    <w:p>
      <w:pPr>
        <w:spacing w:beforeLines="0" w:afterLines="0"/>
        <w:jc w:val="left"/>
        <w:rPr>
          <w:rFonts w:hint="eastAsia" w:ascii="宋体" w:hAnsi="宋体" w:eastAsia="宋体"/>
          <w:sz w:val="24"/>
        </w:rPr>
      </w:pPr>
    </w:p>
    <w:p>
      <w:pPr>
        <w:spacing w:beforeLines="0" w:afterLines="0"/>
        <w:jc w:val="left"/>
        <w:rPr>
          <w:rFonts w:hint="eastAsia" w:ascii="宋体" w:hAnsi="宋体" w:eastAsia="宋体"/>
          <w:sz w:val="24"/>
        </w:rPr>
      </w:pPr>
    </w:p>
    <w:p>
      <w:pPr>
        <w:spacing w:beforeLines="0" w:afterLines="0"/>
        <w:jc w:val="left"/>
        <w:rPr>
          <w:rFonts w:hint="eastAsia" w:ascii="宋体" w:hAnsi="宋体" w:eastAsia="宋体"/>
          <w:sz w:val="24"/>
        </w:rPr>
      </w:pPr>
    </w:p>
    <w:p>
      <w:pPr>
        <w:spacing w:beforeLines="0" w:afterLines="0"/>
        <w:jc w:val="left"/>
        <w:rPr>
          <w:rFonts w:hint="eastAsia" w:ascii="宋体" w:hAnsi="宋体" w:eastAsia="宋体"/>
          <w:sz w:val="24"/>
        </w:rPr>
      </w:pPr>
    </w:p>
    <w:p>
      <w:pPr>
        <w:pStyle w:val="2"/>
        <w:keepNext/>
        <w:keepLines/>
        <w:pageBreakBefore w:val="0"/>
        <w:widowControl w:val="0"/>
        <w:numPr>
          <w:ilvl w:val="0"/>
          <w:numId w:val="0"/>
        </w:numPr>
        <w:kinsoku/>
        <w:wordWrap/>
        <w:overflowPunct/>
        <w:topLinePunct w:val="0"/>
        <w:autoSpaceDE/>
        <w:autoSpaceDN/>
        <w:bidi w:val="0"/>
        <w:adjustRightInd/>
        <w:snapToGrid/>
        <w:spacing w:before="0" w:beforeLines="0" w:line="360" w:lineRule="auto"/>
        <w:ind w:leftChars="0"/>
        <w:jc w:val="both"/>
        <w:textAlignment w:val="auto"/>
        <w:rPr>
          <w:rFonts w:hint="default" w:cs="Times New Roman" w:eastAsiaTheme="minorEastAsia"/>
          <w:color w:val="auto"/>
          <w:sz w:val="32"/>
          <w:szCs w:val="32"/>
          <w:highlight w:val="none"/>
          <w:lang w:val="en-US" w:eastAsia="zh-CN"/>
        </w:rPr>
      </w:pPr>
      <w:bookmarkStart w:id="38" w:name="_Toc22360"/>
      <w:r>
        <w:rPr>
          <w:rFonts w:hint="eastAsia" w:cs="Times New Roman" w:eastAsiaTheme="minorEastAsia"/>
          <w:color w:val="auto"/>
          <w:sz w:val="32"/>
          <w:szCs w:val="32"/>
          <w:highlight w:val="none"/>
          <w:lang w:val="en-US" w:eastAsia="zh-CN"/>
        </w:rPr>
        <w:t>8 成果汇总</w:t>
      </w:r>
      <w:bookmarkEnd w:id="38"/>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eastAsia" w:cs="Times New Roman" w:eastAsiaTheme="minorEastAsia"/>
          <w:color w:val="auto"/>
          <w:sz w:val="30"/>
          <w:szCs w:val="30"/>
          <w:highlight w:val="none"/>
          <w:lang w:val="en-US" w:eastAsia="zh-CN"/>
        </w:rPr>
      </w:pPr>
      <w:bookmarkStart w:id="39" w:name="_Toc19174"/>
      <w:r>
        <w:rPr>
          <w:rFonts w:hint="eastAsia" w:cs="Times New Roman" w:eastAsiaTheme="minorEastAsia"/>
          <w:color w:val="auto"/>
          <w:sz w:val="30"/>
          <w:szCs w:val="30"/>
          <w:highlight w:val="none"/>
          <w:lang w:val="en-US" w:eastAsia="zh-CN"/>
        </w:rPr>
        <w:t>8.1 曲沃县城市区域声环境功能区</w:t>
      </w:r>
      <w:bookmarkEnd w:id="39"/>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2011年3月17日，山西省环保厅以晋环函【2011】433 号文发布了“关于落实噪声污染防治工作的通知”，拟完成辖区内城乡噪声污染防治规划，最终为改善城乡声环境质量提供相关依据与环境目标。</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为了严格执行国家声环境质量标准（GB3096-2008），同时落实国家及省厅及市局的相关工作通知，强化城市环境噪声的管理和控制，保证科学监测、合理布点、掌握噪声动态，以达到对城市噪声污染分区监测、分区控制、分区管理、分区治理，使噪声防治工作从单一的点源治理走向区域性的综合管理，有效地控制城市噪声污染的范围和程度，改善居民声环境质量，临汾市生态环境局曲沃分局规划在曲沃县中心城区范围内开展了城市区域声环境功能区划分工作，划分结</w:t>
      </w:r>
    </w:p>
    <w:p>
      <w:pPr>
        <w:spacing w:beforeLines="0" w:afterLines="0"/>
        <w:ind w:left="0" w:leftChars="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果如下：</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default" w:cs="Times New Roman" w:eastAsiaTheme="minorEastAsia"/>
          <w:color w:val="auto"/>
          <w:sz w:val="28"/>
          <w:szCs w:val="28"/>
          <w:lang w:val="en-US" w:eastAsia="zh-CN"/>
        </w:rPr>
      </w:pPr>
      <w:r>
        <w:rPr>
          <w:rFonts w:hint="eastAsia" w:cs="Times New Roman" w:eastAsiaTheme="minorEastAsia"/>
          <w:color w:val="auto"/>
          <w:sz w:val="28"/>
          <w:szCs w:val="28"/>
          <w:lang w:val="en-US" w:eastAsia="zh-CN"/>
        </w:rPr>
        <w:t>8.1.1 范围</w:t>
      </w:r>
    </w:p>
    <w:p>
      <w:pPr>
        <w:spacing w:beforeLines="0" w:afterLines="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根据用地实际情况，结合经调整的曲沃县近期建设规划，</w:t>
      </w:r>
      <w:r>
        <w:rPr>
          <w:rFonts w:hint="default" w:ascii="宋体" w:hAnsi="宋体" w:eastAsia="宋体" w:cs="宋体"/>
          <w:sz w:val="24"/>
          <w:szCs w:val="24"/>
          <w:lang w:val="en-US" w:eastAsia="zh-CN"/>
        </w:rPr>
        <w:t>本次区划范围以《曲沃县县城总体规划（2014</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2030）》范围为主要依据，结合曲沃县现行声功能区划范围、曲沃县建成区进行修正，最终确定此次区划总面积为1</w:t>
      </w:r>
      <w:r>
        <w:rPr>
          <w:rFonts w:hint="eastAsia" w:ascii="宋体" w:hAnsi="宋体" w:eastAsia="宋体" w:cs="宋体"/>
          <w:sz w:val="24"/>
          <w:szCs w:val="24"/>
          <w:lang w:val="en-US" w:eastAsia="zh-CN"/>
        </w:rPr>
        <w:t>5.18</w:t>
      </w:r>
      <w:r>
        <w:rPr>
          <w:rFonts w:hint="default" w:ascii="宋体" w:hAnsi="宋体" w:eastAsia="宋体" w:cs="宋体"/>
          <w:sz w:val="24"/>
          <w:szCs w:val="24"/>
          <w:lang w:val="en-US" w:eastAsia="zh-CN"/>
        </w:rPr>
        <w:t>km</w:t>
      </w:r>
      <w:r>
        <w:rPr>
          <w:rFonts w:hint="eastAsia" w:ascii="宋体" w:hAnsi="宋体" w:eastAsia="宋体" w:cs="宋体"/>
          <w:sz w:val="24"/>
          <w:szCs w:val="24"/>
          <w:vertAlign w:val="superscript"/>
          <w:lang w:val="en-US" w:eastAsia="zh-CN"/>
        </w:rPr>
        <w:t>2</w:t>
      </w:r>
      <w:r>
        <w:rPr>
          <w:rFonts w:hint="default" w:ascii="宋体" w:hAnsi="宋体" w:eastAsia="宋体" w:cs="宋体"/>
          <w:sz w:val="24"/>
          <w:szCs w:val="24"/>
          <w:lang w:val="en-US" w:eastAsia="zh-CN"/>
        </w:rPr>
        <w:t>。具体范围为：东至曲绛线，南至浍河沿岸，西南至曲沃古城，西至曲沃县行政区划边界，北至县城北侧地质断裂带（苏村附近）。总面积15.18平方公里。</w:t>
      </w:r>
    </w:p>
    <w:p>
      <w:pPr>
        <w:spacing w:beforeLines="0" w:afterLines="0"/>
        <w:jc w:val="left"/>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区划基准年为2019年</w:t>
      </w:r>
      <w:r>
        <w:rPr>
          <w:rFonts w:hint="eastAsia" w:ascii="宋体" w:hAnsi="宋体" w:eastAsia="宋体" w:cs="宋体"/>
          <w:sz w:val="24"/>
          <w:szCs w:val="24"/>
          <w:lang w:val="en-US" w:eastAsia="zh-CN"/>
        </w:rPr>
        <w:t>。</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default" w:cs="Times New Roman" w:eastAsiaTheme="minorEastAsia"/>
          <w:color w:val="auto"/>
          <w:sz w:val="28"/>
          <w:szCs w:val="28"/>
          <w:lang w:val="en-US" w:eastAsia="zh-CN"/>
        </w:rPr>
        <w:t xml:space="preserve">8.1.2 </w:t>
      </w:r>
      <w:r>
        <w:rPr>
          <w:rFonts w:hint="eastAsia" w:cs="Times New Roman" w:eastAsiaTheme="minorEastAsia"/>
          <w:color w:val="auto"/>
          <w:sz w:val="28"/>
          <w:szCs w:val="28"/>
          <w:lang w:val="en-US" w:eastAsia="zh-CN"/>
        </w:rPr>
        <w:t>“区划”结果</w:t>
      </w:r>
    </w:p>
    <w:p>
      <w:pPr>
        <w:spacing w:beforeLines="0" w:afterLines="0"/>
        <w:jc w:val="left"/>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0</w:t>
      </w:r>
      <w:r>
        <w:rPr>
          <w:rFonts w:hint="eastAsia" w:ascii="宋体" w:hAnsi="宋体" w:eastAsia="宋体" w:cs="宋体"/>
          <w:sz w:val="24"/>
          <w:szCs w:val="24"/>
          <w:lang w:val="en-US" w:eastAsia="zh-CN"/>
        </w:rPr>
        <w:t>类标准适用区：</w:t>
      </w:r>
      <w:r>
        <w:rPr>
          <w:rFonts w:hint="default" w:ascii="宋体" w:hAnsi="宋体" w:eastAsia="宋体" w:cs="宋体"/>
          <w:sz w:val="24"/>
          <w:szCs w:val="24"/>
          <w:lang w:val="en-US" w:eastAsia="zh-CN"/>
        </w:rPr>
        <w:t>0</w:t>
      </w:r>
      <w:r>
        <w:rPr>
          <w:rFonts w:hint="eastAsia" w:ascii="宋体" w:hAnsi="宋体" w:eastAsia="宋体" w:cs="宋体"/>
          <w:sz w:val="24"/>
          <w:szCs w:val="24"/>
          <w:lang w:val="en-US" w:eastAsia="zh-CN"/>
        </w:rPr>
        <w:t>个</w:t>
      </w:r>
    </w:p>
    <w:p>
      <w:pPr>
        <w:spacing w:beforeLines="0" w:afterLines="0"/>
        <w:jc w:val="left"/>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1</w:t>
      </w:r>
      <w:r>
        <w:rPr>
          <w:rFonts w:hint="eastAsia" w:ascii="宋体" w:hAnsi="宋体" w:eastAsia="宋体" w:cs="宋体"/>
          <w:sz w:val="24"/>
          <w:szCs w:val="24"/>
          <w:lang w:val="en-US" w:eastAsia="zh-CN"/>
        </w:rPr>
        <w:t>类标准适用区：1个（面积12.56</w:t>
      </w:r>
      <w:r>
        <w:rPr>
          <w:rFonts w:hint="default" w:ascii="宋体" w:hAnsi="宋体" w:eastAsia="宋体" w:cs="宋体"/>
          <w:sz w:val="24"/>
          <w:szCs w:val="24"/>
          <w:lang w:val="en-US" w:eastAsia="zh-CN"/>
        </w:rPr>
        <w:t>km</w:t>
      </w:r>
      <w:r>
        <w:rPr>
          <w:rFonts w:hint="default" w:ascii="宋体" w:hAnsi="宋体" w:eastAsia="宋体" w:cs="宋体"/>
          <w:sz w:val="24"/>
          <w:szCs w:val="24"/>
          <w:vertAlign w:val="superscript"/>
          <w:lang w:val="en-US" w:eastAsia="zh-CN"/>
        </w:rPr>
        <w:t>2</w:t>
      </w:r>
      <w:r>
        <w:rPr>
          <w:rFonts w:hint="eastAsia" w:ascii="宋体" w:hAnsi="宋体" w:eastAsia="宋体" w:cs="宋体"/>
          <w:sz w:val="24"/>
          <w:szCs w:val="24"/>
          <w:lang w:val="en-US" w:eastAsia="zh-CN"/>
        </w:rPr>
        <w:t>）；</w:t>
      </w:r>
    </w:p>
    <w:p>
      <w:pPr>
        <w:spacing w:beforeLines="0" w:afterLines="0"/>
        <w:jc w:val="left"/>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2</w:t>
      </w:r>
      <w:r>
        <w:rPr>
          <w:rFonts w:hint="eastAsia" w:ascii="宋体" w:hAnsi="宋体" w:eastAsia="宋体" w:cs="宋体"/>
          <w:sz w:val="24"/>
          <w:szCs w:val="24"/>
          <w:lang w:val="en-US" w:eastAsia="zh-CN"/>
        </w:rPr>
        <w:t>类标准适用区：6个（面积2.315</w:t>
      </w:r>
      <w:r>
        <w:rPr>
          <w:rFonts w:hint="default" w:ascii="宋体" w:hAnsi="宋体" w:eastAsia="宋体" w:cs="宋体"/>
          <w:sz w:val="24"/>
          <w:szCs w:val="24"/>
          <w:lang w:val="en-US" w:eastAsia="zh-CN"/>
        </w:rPr>
        <w:t>km</w:t>
      </w:r>
      <w:r>
        <w:rPr>
          <w:rFonts w:hint="default" w:ascii="宋体" w:hAnsi="宋体" w:eastAsia="宋体" w:cs="宋体"/>
          <w:sz w:val="24"/>
          <w:szCs w:val="24"/>
          <w:vertAlign w:val="superscript"/>
          <w:lang w:val="en-US" w:eastAsia="zh-CN"/>
        </w:rPr>
        <w:t>2</w:t>
      </w:r>
      <w:r>
        <w:rPr>
          <w:rFonts w:hint="eastAsia" w:ascii="宋体" w:hAnsi="宋体" w:eastAsia="宋体" w:cs="宋体"/>
          <w:sz w:val="24"/>
          <w:szCs w:val="24"/>
          <w:lang w:val="en-US" w:eastAsia="zh-CN"/>
        </w:rPr>
        <w:t>）；</w:t>
      </w:r>
    </w:p>
    <w:p>
      <w:pPr>
        <w:spacing w:beforeLines="0" w:afterLines="0"/>
        <w:jc w:val="left"/>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3</w:t>
      </w:r>
      <w:r>
        <w:rPr>
          <w:rFonts w:hint="eastAsia" w:ascii="宋体" w:hAnsi="宋体" w:eastAsia="宋体" w:cs="宋体"/>
          <w:sz w:val="24"/>
          <w:szCs w:val="24"/>
          <w:lang w:val="en-US" w:eastAsia="zh-CN"/>
        </w:rPr>
        <w:t>类标准适用区：</w:t>
      </w:r>
      <w:r>
        <w:rPr>
          <w:rFonts w:hint="default" w:ascii="宋体" w:hAnsi="宋体" w:eastAsia="宋体" w:cs="宋体"/>
          <w:sz w:val="24"/>
          <w:szCs w:val="24"/>
          <w:lang w:val="en-US" w:eastAsia="zh-CN"/>
        </w:rPr>
        <w:t>1</w:t>
      </w:r>
      <w:r>
        <w:rPr>
          <w:rFonts w:hint="eastAsia" w:ascii="宋体" w:hAnsi="宋体" w:eastAsia="宋体" w:cs="宋体"/>
          <w:sz w:val="24"/>
          <w:szCs w:val="24"/>
          <w:lang w:val="en-US" w:eastAsia="zh-CN"/>
        </w:rPr>
        <w:t>个（面积</w:t>
      </w:r>
      <w:r>
        <w:rPr>
          <w:rFonts w:hint="default" w:ascii="宋体" w:hAnsi="宋体" w:eastAsia="宋体" w:cs="宋体"/>
          <w:sz w:val="24"/>
          <w:szCs w:val="24"/>
          <w:lang w:val="en-US" w:eastAsia="zh-CN"/>
        </w:rPr>
        <w:t>0.</w:t>
      </w: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km</w:t>
      </w:r>
      <w:r>
        <w:rPr>
          <w:rFonts w:hint="default" w:ascii="宋体" w:hAnsi="宋体" w:eastAsia="宋体" w:cs="宋体"/>
          <w:sz w:val="24"/>
          <w:szCs w:val="24"/>
          <w:vertAlign w:val="superscript"/>
          <w:lang w:val="en-US" w:eastAsia="zh-CN"/>
        </w:rPr>
        <w:t>2</w:t>
      </w:r>
      <w:r>
        <w:rPr>
          <w:rFonts w:hint="eastAsia" w:ascii="宋体" w:hAnsi="宋体" w:eastAsia="宋体" w:cs="宋体"/>
          <w:sz w:val="24"/>
          <w:szCs w:val="24"/>
          <w:lang w:val="en-US" w:eastAsia="zh-CN"/>
        </w:rPr>
        <w:t>）；</w:t>
      </w:r>
    </w:p>
    <w:p>
      <w:pPr>
        <w:spacing w:beforeLines="0" w:afterLines="0"/>
        <w:jc w:val="left"/>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4</w:t>
      </w:r>
      <w:r>
        <w:rPr>
          <w:rFonts w:hint="eastAsia" w:ascii="宋体" w:hAnsi="宋体" w:eastAsia="宋体" w:cs="宋体"/>
          <w:sz w:val="24"/>
          <w:szCs w:val="24"/>
          <w:lang w:val="en-US" w:eastAsia="zh-CN"/>
        </w:rPr>
        <w:t>类标准适用区：涉及主、次干道</w:t>
      </w:r>
      <w:r>
        <w:rPr>
          <w:rFonts w:hint="default" w:ascii="宋体" w:hAnsi="宋体" w:eastAsia="宋体" w:cs="宋体"/>
          <w:sz w:val="24"/>
          <w:szCs w:val="24"/>
          <w:lang w:val="en-US" w:eastAsia="zh-CN"/>
        </w:rPr>
        <w:t>15</w:t>
      </w:r>
      <w:r>
        <w:rPr>
          <w:rFonts w:hint="eastAsia" w:ascii="宋体" w:hAnsi="宋体" w:eastAsia="宋体" w:cs="宋体"/>
          <w:sz w:val="24"/>
          <w:szCs w:val="24"/>
          <w:lang w:val="en-US" w:eastAsia="zh-CN"/>
        </w:rPr>
        <w:t>条。</w:t>
      </w:r>
    </w:p>
    <w:p>
      <w:pPr>
        <w:pStyle w:val="3"/>
        <w:keepNext/>
        <w:keepLines/>
        <w:pageBreakBefore w:val="0"/>
        <w:widowControl w:val="0"/>
        <w:numPr>
          <w:ilvl w:val="1"/>
          <w:numId w:val="0"/>
        </w:numPr>
        <w:kinsoku/>
        <w:wordWrap/>
        <w:overflowPunct/>
        <w:topLinePunct w:val="0"/>
        <w:autoSpaceDE/>
        <w:autoSpaceDN/>
        <w:bidi w:val="0"/>
        <w:adjustRightInd/>
        <w:snapToGrid/>
        <w:spacing w:line="360" w:lineRule="auto"/>
        <w:ind w:leftChars="0"/>
        <w:textAlignment w:val="auto"/>
        <w:rPr>
          <w:rFonts w:hint="eastAsia" w:cs="Times New Roman" w:eastAsiaTheme="minorEastAsia"/>
          <w:color w:val="auto"/>
          <w:sz w:val="30"/>
          <w:szCs w:val="30"/>
          <w:highlight w:val="none"/>
          <w:lang w:val="en-US" w:eastAsia="zh-CN"/>
        </w:rPr>
      </w:pPr>
      <w:bookmarkStart w:id="40" w:name="_Toc1497"/>
      <w:r>
        <w:rPr>
          <w:rFonts w:hint="default" w:cs="Times New Roman" w:eastAsiaTheme="minorEastAsia"/>
          <w:color w:val="auto"/>
          <w:sz w:val="30"/>
          <w:szCs w:val="30"/>
          <w:highlight w:val="none"/>
          <w:lang w:val="en-US" w:eastAsia="zh-CN"/>
        </w:rPr>
        <w:t xml:space="preserve">8.2 </w:t>
      </w:r>
      <w:r>
        <w:rPr>
          <w:rFonts w:hint="eastAsia" w:cs="Times New Roman" w:eastAsiaTheme="minorEastAsia"/>
          <w:color w:val="auto"/>
          <w:sz w:val="30"/>
          <w:szCs w:val="30"/>
          <w:highlight w:val="none"/>
          <w:lang w:val="en-US" w:eastAsia="zh-CN"/>
        </w:rPr>
        <w:t>划分结果说明</w:t>
      </w:r>
      <w:bookmarkEnd w:id="40"/>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default" w:cs="Times New Roman" w:eastAsiaTheme="minorEastAsia"/>
          <w:color w:val="auto"/>
          <w:sz w:val="28"/>
          <w:szCs w:val="28"/>
          <w:lang w:val="en-US" w:eastAsia="zh-CN"/>
        </w:rPr>
        <w:t xml:space="preserve">8.2.1 </w:t>
      </w:r>
      <w:r>
        <w:rPr>
          <w:rFonts w:hint="eastAsia" w:cs="Times New Roman" w:eastAsiaTheme="minorEastAsia"/>
          <w:color w:val="auto"/>
          <w:sz w:val="28"/>
          <w:szCs w:val="28"/>
          <w:lang w:val="en-US" w:eastAsia="zh-CN"/>
        </w:rPr>
        <w:t>“</w:t>
      </w:r>
      <w:r>
        <w:rPr>
          <w:rFonts w:hint="default" w:cs="Times New Roman" w:eastAsiaTheme="minorEastAsia"/>
          <w:color w:val="auto"/>
          <w:sz w:val="28"/>
          <w:szCs w:val="28"/>
          <w:lang w:val="en-US" w:eastAsia="zh-CN"/>
        </w:rPr>
        <w:t>0</w:t>
      </w:r>
      <w:r>
        <w:rPr>
          <w:rFonts w:hint="eastAsia" w:cs="Times New Roman" w:eastAsiaTheme="minorEastAsia"/>
          <w:color w:val="auto"/>
          <w:sz w:val="28"/>
          <w:szCs w:val="28"/>
          <w:lang w:val="en-US" w:eastAsia="zh-CN"/>
        </w:rPr>
        <w:t>类”标准使适用区</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无</w:t>
      </w:r>
      <w:r>
        <w:rPr>
          <w:rFonts w:hint="default" w:ascii="宋体" w:hAnsi="宋体" w:eastAsia="宋体" w:cs="宋体"/>
          <w:sz w:val="24"/>
          <w:szCs w:val="24"/>
          <w:lang w:val="en-US" w:eastAsia="zh-CN"/>
        </w:rPr>
        <w:t xml:space="preserve">0 </w:t>
      </w:r>
      <w:r>
        <w:rPr>
          <w:rFonts w:hint="eastAsia" w:ascii="宋体" w:hAnsi="宋体" w:eastAsia="宋体" w:cs="宋体"/>
          <w:sz w:val="24"/>
          <w:szCs w:val="24"/>
          <w:lang w:val="en-US" w:eastAsia="zh-CN"/>
        </w:rPr>
        <w:t>类标准适用区</w:t>
      </w: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default" w:cs="Times New Roman" w:eastAsiaTheme="minorEastAsia"/>
          <w:color w:val="auto"/>
          <w:sz w:val="28"/>
          <w:szCs w:val="28"/>
          <w:lang w:val="en-US" w:eastAsia="zh-CN"/>
        </w:rPr>
        <w:t xml:space="preserve">8.2.2 </w:t>
      </w:r>
      <w:r>
        <w:rPr>
          <w:rFonts w:hint="eastAsia" w:cs="Times New Roman" w:eastAsiaTheme="minorEastAsia"/>
          <w:color w:val="auto"/>
          <w:sz w:val="28"/>
          <w:szCs w:val="28"/>
          <w:lang w:val="en-US" w:eastAsia="zh-CN"/>
        </w:rPr>
        <w:t>“</w:t>
      </w:r>
      <w:r>
        <w:rPr>
          <w:rFonts w:hint="default" w:cs="Times New Roman" w:eastAsiaTheme="minorEastAsia"/>
          <w:color w:val="auto"/>
          <w:sz w:val="28"/>
          <w:szCs w:val="28"/>
          <w:lang w:val="en-US" w:eastAsia="zh-CN"/>
        </w:rPr>
        <w:t>1</w:t>
      </w:r>
      <w:r>
        <w:rPr>
          <w:rFonts w:hint="eastAsia" w:cs="Times New Roman" w:eastAsiaTheme="minorEastAsia"/>
          <w:color w:val="auto"/>
          <w:sz w:val="28"/>
          <w:szCs w:val="28"/>
          <w:lang w:val="en-US" w:eastAsia="zh-CN"/>
        </w:rPr>
        <w:t>类”标准适用区</w:t>
      </w:r>
    </w:p>
    <w:p>
      <w:pPr>
        <w:spacing w:beforeLines="0" w:afterLines="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执行标准：昼间</w:t>
      </w:r>
      <w:r>
        <w:rPr>
          <w:rFonts w:hint="default" w:ascii="宋体" w:hAnsi="宋体" w:eastAsia="宋体" w:cs="宋体"/>
          <w:b/>
          <w:bCs/>
          <w:sz w:val="24"/>
          <w:szCs w:val="24"/>
          <w:lang w:val="en-US" w:eastAsia="zh-CN"/>
        </w:rPr>
        <w:t>55dB</w:t>
      </w:r>
      <w:r>
        <w:rPr>
          <w:rFonts w:hint="eastAsia" w:ascii="宋体" w:hAnsi="宋体" w:eastAsia="宋体" w:cs="宋体"/>
          <w:b/>
          <w:bCs/>
          <w:sz w:val="24"/>
          <w:szCs w:val="24"/>
          <w:lang w:val="en-US" w:eastAsia="zh-CN"/>
        </w:rPr>
        <w:t>（</w:t>
      </w:r>
      <w:r>
        <w:rPr>
          <w:rFonts w:hint="default" w:ascii="宋体" w:hAnsi="宋体" w:eastAsia="宋体" w:cs="宋体"/>
          <w:b/>
          <w:bCs/>
          <w:sz w:val="24"/>
          <w:szCs w:val="24"/>
          <w:lang w:val="en-US" w:eastAsia="zh-CN"/>
        </w:rPr>
        <w:t>A</w:t>
      </w:r>
      <w:r>
        <w:rPr>
          <w:rFonts w:hint="eastAsia" w:ascii="宋体" w:hAnsi="宋体" w:eastAsia="宋体" w:cs="宋体"/>
          <w:b/>
          <w:bCs/>
          <w:sz w:val="24"/>
          <w:szCs w:val="24"/>
          <w:lang w:val="en-US" w:eastAsia="zh-CN"/>
        </w:rPr>
        <w:t>）夜间</w:t>
      </w:r>
      <w:r>
        <w:rPr>
          <w:rFonts w:hint="default" w:ascii="宋体" w:hAnsi="宋体" w:eastAsia="宋体" w:cs="宋体"/>
          <w:b/>
          <w:bCs/>
          <w:sz w:val="24"/>
          <w:szCs w:val="24"/>
          <w:lang w:val="en-US" w:eastAsia="zh-CN"/>
        </w:rPr>
        <w:t>45dB</w:t>
      </w:r>
      <w:r>
        <w:rPr>
          <w:rFonts w:hint="eastAsia" w:ascii="宋体" w:hAnsi="宋体" w:eastAsia="宋体" w:cs="宋体"/>
          <w:b/>
          <w:bCs/>
          <w:sz w:val="24"/>
          <w:szCs w:val="24"/>
          <w:lang w:val="en-US" w:eastAsia="zh-CN"/>
        </w:rPr>
        <w:t>（</w:t>
      </w:r>
      <w:r>
        <w:rPr>
          <w:rFonts w:hint="default" w:ascii="宋体" w:hAnsi="宋体" w:eastAsia="宋体" w:cs="宋体"/>
          <w:b/>
          <w:bCs/>
          <w:sz w:val="24"/>
          <w:szCs w:val="24"/>
          <w:lang w:val="en-US" w:eastAsia="zh-CN"/>
        </w:rPr>
        <w:t>A</w:t>
      </w:r>
      <w:r>
        <w:rPr>
          <w:rFonts w:hint="eastAsia" w:ascii="宋体" w:hAnsi="宋体" w:eastAsia="宋体" w:cs="宋体"/>
          <w:b/>
          <w:bCs/>
          <w:sz w:val="24"/>
          <w:szCs w:val="24"/>
          <w:lang w:val="en-US" w:eastAsia="zh-CN"/>
        </w:rPr>
        <w:t>）</w:t>
      </w:r>
    </w:p>
    <w:p>
      <w:pPr>
        <w:numPr>
          <w:ilvl w:val="0"/>
          <w:numId w:val="3"/>
        </w:numPr>
        <w:spacing w:beforeLines="0" w:afterLine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Ⅰ区（1-4、5-7、9、10-26、28-36、39-40、42-51、53-65、67-73、75）总面积12.56km</w:t>
      </w:r>
      <w:r>
        <w:rPr>
          <w:rFonts w:hint="eastAsia" w:ascii="宋体" w:hAnsi="宋体" w:eastAsia="宋体" w:cs="宋体"/>
          <w:color w:val="auto"/>
          <w:sz w:val="24"/>
          <w:szCs w:val="24"/>
          <w:highlight w:val="none"/>
          <w:vertAlign w:val="superscript"/>
          <w:lang w:val="en-US" w:eastAsia="zh-CN"/>
        </w:rPr>
        <w:t>2</w:t>
      </w:r>
      <w:r>
        <w:rPr>
          <w:rFonts w:hint="eastAsia" w:ascii="宋体" w:hAnsi="宋体" w:eastAsia="宋体" w:cs="宋体"/>
          <w:color w:val="auto"/>
          <w:sz w:val="24"/>
          <w:szCs w:val="24"/>
          <w:highlight w:val="none"/>
          <w:lang w:val="en-US" w:eastAsia="zh-CN"/>
        </w:rPr>
        <w:t>，地理位置范围：北至规划一街，东至曲绛线、南至规划边界，西至规划边界，西南至古城遗址。</w:t>
      </w:r>
    </w:p>
    <w:p>
      <w:pPr>
        <w:numPr>
          <w:ilvl w:val="0"/>
          <w:numId w:val="0"/>
        </w:numPr>
        <w:spacing w:beforeLines="0" w:afterLines="0"/>
        <w:ind w:firstLine="240" w:firstLineChars="1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1-1类区总面积12.56km</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eastAsiaTheme="minorEastAsia"/>
          <w:b/>
          <w:bCs/>
          <w:color w:val="auto"/>
          <w:sz w:val="21"/>
          <w:szCs w:val="21"/>
          <w:lang w:val="en-US" w:eastAsia="zh-CN"/>
        </w:rPr>
      </w:pPr>
      <w:r>
        <w:rPr>
          <w:rFonts w:hint="eastAsia" w:cs="Times New Roman" w:eastAsiaTheme="minorEastAsia"/>
          <w:b/>
          <w:bCs/>
          <w:color w:val="auto"/>
          <w:sz w:val="21"/>
          <w:szCs w:val="21"/>
          <w:lang w:val="en-US" w:eastAsia="zh-CN"/>
        </w:rPr>
        <w:t xml:space="preserve">表8-1  </w:t>
      </w:r>
      <w:r>
        <w:rPr>
          <w:rFonts w:hint="default" w:cs="Times New Roman" w:eastAsiaTheme="minorEastAsia"/>
          <w:b/>
          <w:bCs/>
          <w:color w:val="auto"/>
          <w:sz w:val="21"/>
          <w:szCs w:val="21"/>
          <w:lang w:val="en-US" w:eastAsia="zh-CN"/>
        </w:rPr>
        <w:t xml:space="preserve"> </w:t>
      </w:r>
      <w:r>
        <w:rPr>
          <w:rFonts w:hint="eastAsia" w:cs="Times New Roman" w:eastAsiaTheme="minorEastAsia"/>
          <w:b/>
          <w:bCs/>
          <w:color w:val="auto"/>
          <w:sz w:val="21"/>
          <w:szCs w:val="21"/>
          <w:lang w:val="en-US" w:eastAsia="zh-CN"/>
        </w:rPr>
        <w:t>1类区拐点坐标一览表  坐标:WGS1984</w:t>
      </w:r>
    </w:p>
    <w:tbl>
      <w:tblPr>
        <w:tblStyle w:val="25"/>
        <w:tblW w:w="852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1598"/>
        <w:gridCol w:w="1500"/>
        <w:gridCol w:w="1165"/>
        <w:gridCol w:w="1422"/>
        <w:gridCol w:w="142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cs="Times New Roman" w:eastAsiaTheme="minorEastAsia"/>
                <w:b/>
                <w:bCs/>
                <w:color w:val="auto"/>
                <w:sz w:val="21"/>
                <w:szCs w:val="21"/>
                <w:vertAlign w:val="baseline"/>
                <w:lang w:val="en-US" w:eastAsia="zh-CN"/>
              </w:rPr>
            </w:pPr>
            <w:r>
              <w:rPr>
                <w:rFonts w:hint="eastAsia" w:ascii="宋体" w:hAnsi="宋体" w:eastAsia="宋体" w:cs="宋体"/>
                <w:b/>
                <w:bCs/>
                <w:sz w:val="21"/>
                <w:szCs w:val="21"/>
                <w:lang w:val="en-US" w:eastAsia="zh-CN"/>
              </w:rPr>
              <w:t>序号</w:t>
            </w:r>
          </w:p>
        </w:tc>
        <w:tc>
          <w:tcPr>
            <w:tcW w:w="1598"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cs="Times New Roman" w:eastAsiaTheme="minorEastAsia"/>
                <w:b/>
                <w:bCs/>
                <w:color w:val="auto"/>
                <w:sz w:val="21"/>
                <w:szCs w:val="21"/>
                <w:vertAlign w:val="baseline"/>
                <w:lang w:val="en-US" w:eastAsia="zh-CN"/>
              </w:rPr>
            </w:pPr>
            <w:r>
              <w:rPr>
                <w:rFonts w:hint="eastAsia" w:ascii="宋体" w:hAnsi="宋体" w:eastAsia="宋体" w:cs="宋体"/>
                <w:b/>
                <w:bCs/>
                <w:sz w:val="21"/>
                <w:szCs w:val="21"/>
                <w:lang w:val="en-US" w:eastAsia="zh-CN"/>
              </w:rPr>
              <w:t>X</w:t>
            </w:r>
          </w:p>
        </w:tc>
        <w:tc>
          <w:tcPr>
            <w:tcW w:w="1500"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cs="Times New Roman" w:eastAsiaTheme="minorEastAsia"/>
                <w:b/>
                <w:bCs/>
                <w:color w:val="auto"/>
                <w:sz w:val="21"/>
                <w:szCs w:val="21"/>
                <w:vertAlign w:val="baseline"/>
                <w:lang w:val="en-US" w:eastAsia="zh-CN"/>
              </w:rPr>
            </w:pPr>
            <w:r>
              <w:rPr>
                <w:rFonts w:hint="eastAsia" w:ascii="宋体" w:hAnsi="宋体" w:eastAsia="宋体" w:cs="宋体"/>
                <w:b/>
                <w:bCs/>
                <w:sz w:val="21"/>
                <w:szCs w:val="21"/>
                <w:lang w:val="en-US" w:eastAsia="zh-CN"/>
              </w:rPr>
              <w:t>Y</w:t>
            </w:r>
          </w:p>
        </w:tc>
        <w:tc>
          <w:tcPr>
            <w:tcW w:w="116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cs="Times New Roman" w:eastAsiaTheme="minorEastAsia"/>
                <w:b/>
                <w:bCs/>
                <w:color w:val="auto"/>
                <w:sz w:val="21"/>
                <w:szCs w:val="21"/>
                <w:vertAlign w:val="baseline"/>
                <w:lang w:val="en-US" w:eastAsia="zh-CN"/>
              </w:rPr>
            </w:pPr>
            <w:r>
              <w:rPr>
                <w:rFonts w:hint="eastAsia" w:ascii="宋体" w:hAnsi="宋体" w:eastAsia="宋体" w:cs="宋体"/>
                <w:b/>
                <w:bCs/>
                <w:sz w:val="21"/>
                <w:szCs w:val="21"/>
                <w:lang w:val="en-US" w:eastAsia="zh-CN"/>
              </w:rPr>
              <w:t>序号</w:t>
            </w:r>
          </w:p>
        </w:tc>
        <w:tc>
          <w:tcPr>
            <w:tcW w:w="1422"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cs="Times New Roman" w:eastAsiaTheme="minorEastAsia"/>
                <w:b/>
                <w:bCs/>
                <w:color w:val="auto"/>
                <w:sz w:val="21"/>
                <w:szCs w:val="21"/>
                <w:vertAlign w:val="baseline"/>
                <w:lang w:val="en-US" w:eastAsia="zh-CN"/>
              </w:rPr>
            </w:pPr>
            <w:r>
              <w:rPr>
                <w:rFonts w:hint="eastAsia" w:ascii="宋体" w:hAnsi="宋体" w:eastAsia="宋体" w:cs="宋体"/>
                <w:b/>
                <w:bCs/>
                <w:sz w:val="21"/>
                <w:szCs w:val="21"/>
                <w:lang w:val="en-US" w:eastAsia="zh-CN"/>
              </w:rPr>
              <w:t>X</w:t>
            </w:r>
          </w:p>
        </w:tc>
        <w:tc>
          <w:tcPr>
            <w:tcW w:w="1422"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cs="Times New Roman" w:eastAsiaTheme="minorEastAsia"/>
                <w:b/>
                <w:bCs/>
                <w:color w:val="auto"/>
                <w:sz w:val="21"/>
                <w:szCs w:val="21"/>
                <w:vertAlign w:val="baseline"/>
                <w:lang w:val="en-US" w:eastAsia="zh-CN"/>
              </w:rPr>
            </w:pPr>
            <w:r>
              <w:rPr>
                <w:rFonts w:hint="eastAsia" w:ascii="宋体" w:hAnsi="宋体" w:eastAsia="宋体" w:cs="宋体"/>
                <w:b/>
                <w:bCs/>
                <w:sz w:val="21"/>
                <w:szCs w:val="21"/>
                <w:lang w:val="en-US" w:eastAsia="zh-CN"/>
              </w:rPr>
              <w:t>Y</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8528" w:type="dxa"/>
            <w:gridSpan w:val="6"/>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bCs/>
                <w:sz w:val="21"/>
                <w:szCs w:val="21"/>
                <w:lang w:val="en-US" w:eastAsia="zh-CN"/>
              </w:rPr>
            </w:pPr>
            <w:r>
              <w:rPr>
                <w:rFonts w:hint="eastAsia" w:ascii="宋体" w:hAnsi="宋体" w:eastAsia="宋体" w:cs="宋体"/>
                <w:b w:val="0"/>
                <w:bCs w:val="0"/>
                <w:kern w:val="2"/>
                <w:sz w:val="21"/>
                <w:szCs w:val="21"/>
                <w:lang w:val="en-US" w:eastAsia="zh-CN" w:bidi="ar-SA"/>
              </w:rPr>
              <w:t>1-</w:t>
            </w:r>
            <w:r>
              <w:rPr>
                <w:rFonts w:hint="eastAsia" w:ascii="宋体" w:hAnsi="宋体" w:eastAsia="宋体" w:cs="宋体"/>
                <w:sz w:val="24"/>
                <w:szCs w:val="24"/>
                <w:lang w:val="en-US" w:eastAsia="zh-CN"/>
              </w:rPr>
              <w:t>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111.4815109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35.61981197</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111.465651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35.64106119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111.4806156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35.62000239</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111.465651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35.64106119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111.4799934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35.6199758</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111.4590163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35.64145645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111.4797478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35.61995715</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111.4667171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35.63565798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111.4790481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35.61987004</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111.4728611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35.63531661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111.4784517</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35.61971186</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111.4740504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35.64611861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111.4778615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35.61954462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111.4689199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35.64689284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111.4773929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35.61937084</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111.4740504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35.64611861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111.4768156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35.61919475</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111.4691471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35.65048244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111.4763258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35.61910452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111.4590163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35.64145645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111.4758888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35.61902402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111.4689199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35.64689284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111.4753949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35.61910647</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111.4691471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35.65048244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13</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111.4749623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35.61920909</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111.4948122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35.65154012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14</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111.4747338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35.61925192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111.4942125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35.6378052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15</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111.4744669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35.61965479</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111.496025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35.63770279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16</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111.4742912</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35.61988361</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111.4960598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35.63666244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17</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111.4742912</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35.61988361</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111.4941783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35.63667304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18</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111.4742253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35.62027605</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111.4940322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35.63401462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19</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111.4747454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35.6203057</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111.4956086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35.63395513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20</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111.4742253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35.62027605</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111.495679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35.63266494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21</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111.4815109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35.61981197</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111.4939613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35.63271061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22</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111.4815002</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35.62051602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111.4937267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35.63036186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23</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111.4809598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35.62076954</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111.4916183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35.62554382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24</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111.4810146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35.6216455</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111.4915597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35.62556866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25</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111.4812414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35.62168692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111.4934251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35.65159824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26</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111.4810146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35.6216455</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111.4948153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35.65161154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27</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111.4812414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35.62168692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111.4948153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35.65161154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28</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111.4813913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35.62277656</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111.4948122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35.65154012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29</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111.4839955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35.62236127</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111.4909757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35.65170082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30</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111.4813913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35.62277656</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111.4909914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35.65157491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31</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111.4747454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35.6203057</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111.4934251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35.65159824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32</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111.4750695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35.6236952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111.4908232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35.65292535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33</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111.4750695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35.6236952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111.4909757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35.65170082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34</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111.4714041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35.62433924</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111.4872425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35.65448739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111.4706245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35.62447624</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111.4879713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35.65450525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36</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111.4671201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35.62451228</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111.4879713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35.65450525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37</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111.4670358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35.62304659</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111.4885525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35.65451949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38</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111.4706245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35.62447624</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111.4900166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35.65379568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39</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111.4671201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35.62451228</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111.4905899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35.65332976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40</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111.4915597</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35.62556866</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111.4908232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35.65292535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41</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111.4903316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35.62608926</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111.4872425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35.65448739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42</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111.490007</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35.62623239</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111.4880739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35.6570365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43</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111.490007</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35.62623239</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111.4809154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35.65760103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44</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111.4892894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35.62654891</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111.4810376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35.65606129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45</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111.4839955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35.62236127</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111.482094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35.65609369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46</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111.4841171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35.62783846</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111.4829129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35.6561852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47</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111.4846111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35.62782552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111.4835494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35.65640251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48</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111.4844243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35.62781229</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111.4839589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35.65654375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49</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111.4841171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35.62783846</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111.4843724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35.65670268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50</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111.4861358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35.62793352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111.4848071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35.65705718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51</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111.4846111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35.62782552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111.4851092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35.6573036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52</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111.4871558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35.62825388</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111.4880739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35.6570365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53</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111.4864544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35.62795608</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111.4695352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35.65836499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54</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111.4861358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35.62793352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111.4691471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35.65048244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55</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111.4892894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35.62654891</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111.4691471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35.65048244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56</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111.4892429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35.6265694</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111.469151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35.65054445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57</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111.4879283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35.6273847</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111.4695352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35.65836499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58</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111.4871558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35.62825388</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111.4695352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35.65836499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59</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111.4670358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35.62304659</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111.4809154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35.65760103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60</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111.4619494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35.62357022</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111.4650208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35.63578106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61</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111.4621348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35.62491484</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111.4469826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35.63671867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62</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111.464973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35.62461456</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111.4469748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35.63727708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63</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111.4661927</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35.63230635</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130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111.4485962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35.63778056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64</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111.464683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35.63261498</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131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111.4503509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35.65960836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65</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111.4649543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35.63575586</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132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111.4503529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35.65965273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66</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111.4667171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35.63565798</w:t>
            </w:r>
          </w:p>
        </w:tc>
        <w:tc>
          <w:tcPr>
            <w:tcW w:w="1165"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133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111.4695352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35.65836499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67</w:t>
            </w:r>
          </w:p>
        </w:tc>
        <w:tc>
          <w:tcPr>
            <w:tcW w:w="1598"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111.4650208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35.63578106</w:t>
            </w:r>
          </w:p>
        </w:tc>
        <w:tc>
          <w:tcPr>
            <w:tcW w:w="1165"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r>
    </w:tbl>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eastAsiaTheme="minorEastAsia"/>
          <w:b/>
          <w:bCs/>
          <w:color w:val="auto"/>
          <w:sz w:val="21"/>
          <w:szCs w:val="21"/>
          <w:lang w:val="en-US" w:eastAsia="zh-CN"/>
        </w:rPr>
      </w:pPr>
    </w:p>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default" w:cs="Times New Roman" w:eastAsiaTheme="minorEastAsia"/>
          <w:color w:val="auto"/>
          <w:sz w:val="28"/>
          <w:szCs w:val="28"/>
          <w:lang w:val="en-US" w:eastAsia="zh-CN"/>
        </w:rPr>
        <w:t>8.2.</w:t>
      </w:r>
      <w:r>
        <w:rPr>
          <w:rFonts w:hint="eastAsia" w:cs="Times New Roman" w:eastAsiaTheme="minorEastAsia"/>
          <w:color w:val="auto"/>
          <w:sz w:val="28"/>
          <w:szCs w:val="28"/>
          <w:lang w:val="en-US" w:eastAsia="zh-CN"/>
        </w:rPr>
        <w:t>3</w:t>
      </w:r>
      <w:r>
        <w:rPr>
          <w:rFonts w:hint="default" w:cs="Times New Roman" w:eastAsiaTheme="minorEastAsia"/>
          <w:color w:val="auto"/>
          <w:sz w:val="28"/>
          <w:szCs w:val="28"/>
          <w:lang w:val="en-US" w:eastAsia="zh-CN"/>
        </w:rPr>
        <w:t xml:space="preserve"> </w:t>
      </w:r>
      <w:r>
        <w:rPr>
          <w:rFonts w:hint="eastAsia" w:cs="Times New Roman" w:eastAsiaTheme="minorEastAsia"/>
          <w:color w:val="auto"/>
          <w:sz w:val="28"/>
          <w:szCs w:val="28"/>
          <w:lang w:val="en-US" w:eastAsia="zh-CN"/>
        </w:rPr>
        <w:t>“2类”标准适用区</w:t>
      </w:r>
    </w:p>
    <w:p>
      <w:pPr>
        <w:spacing w:beforeLines="0" w:afterLines="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执行标准：昼间60</w:t>
      </w:r>
      <w:r>
        <w:rPr>
          <w:rFonts w:hint="default" w:ascii="宋体" w:hAnsi="宋体" w:eastAsia="宋体" w:cs="宋体"/>
          <w:b/>
          <w:bCs/>
          <w:sz w:val="24"/>
          <w:szCs w:val="24"/>
          <w:lang w:val="en-US" w:eastAsia="zh-CN"/>
        </w:rPr>
        <w:t>dB</w:t>
      </w:r>
      <w:r>
        <w:rPr>
          <w:rFonts w:hint="eastAsia" w:ascii="宋体" w:hAnsi="宋体" w:eastAsia="宋体" w:cs="宋体"/>
          <w:b/>
          <w:bCs/>
          <w:sz w:val="24"/>
          <w:szCs w:val="24"/>
          <w:lang w:val="en-US" w:eastAsia="zh-CN"/>
        </w:rPr>
        <w:t>（</w:t>
      </w:r>
      <w:r>
        <w:rPr>
          <w:rFonts w:hint="default" w:ascii="宋体" w:hAnsi="宋体" w:eastAsia="宋体" w:cs="宋体"/>
          <w:b/>
          <w:bCs/>
          <w:sz w:val="24"/>
          <w:szCs w:val="24"/>
          <w:lang w:val="en-US" w:eastAsia="zh-CN"/>
        </w:rPr>
        <w:t>A</w:t>
      </w:r>
      <w:r>
        <w:rPr>
          <w:rFonts w:hint="eastAsia" w:ascii="宋体" w:hAnsi="宋体" w:eastAsia="宋体" w:cs="宋体"/>
          <w:b/>
          <w:bCs/>
          <w:sz w:val="24"/>
          <w:szCs w:val="24"/>
          <w:lang w:val="en-US" w:eastAsia="zh-CN"/>
        </w:rPr>
        <w:t>）夜间50</w:t>
      </w:r>
      <w:r>
        <w:rPr>
          <w:rFonts w:hint="default" w:ascii="宋体" w:hAnsi="宋体" w:eastAsia="宋体" w:cs="宋体"/>
          <w:b/>
          <w:bCs/>
          <w:sz w:val="24"/>
          <w:szCs w:val="24"/>
          <w:lang w:val="en-US" w:eastAsia="zh-CN"/>
        </w:rPr>
        <w:t>dB</w:t>
      </w:r>
      <w:r>
        <w:rPr>
          <w:rFonts w:hint="eastAsia" w:ascii="宋体" w:hAnsi="宋体" w:eastAsia="宋体" w:cs="宋体"/>
          <w:b/>
          <w:bCs/>
          <w:sz w:val="24"/>
          <w:szCs w:val="24"/>
          <w:lang w:val="en-US" w:eastAsia="zh-CN"/>
        </w:rPr>
        <w:t>（</w:t>
      </w:r>
      <w:r>
        <w:rPr>
          <w:rFonts w:hint="default" w:ascii="宋体" w:hAnsi="宋体" w:eastAsia="宋体" w:cs="宋体"/>
          <w:b/>
          <w:bCs/>
          <w:sz w:val="24"/>
          <w:szCs w:val="24"/>
          <w:lang w:val="en-US" w:eastAsia="zh-CN"/>
        </w:rPr>
        <w:t>A</w:t>
      </w:r>
      <w:r>
        <w:rPr>
          <w:rFonts w:hint="eastAsia" w:ascii="宋体" w:hAnsi="宋体" w:eastAsia="宋体" w:cs="宋体"/>
          <w:b/>
          <w:bCs/>
          <w:sz w:val="24"/>
          <w:szCs w:val="24"/>
          <w:lang w:val="en-US" w:eastAsia="zh-CN"/>
        </w:rPr>
        <w:t>）</w:t>
      </w:r>
    </w:p>
    <w:p>
      <w:pPr>
        <w:numPr>
          <w:ilvl w:val="0"/>
          <w:numId w:val="4"/>
        </w:numPr>
        <w:spacing w:beforeLines="0" w:afterLine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Ⅰ区（27、37-38、41、52-53）总面积1.36km</w:t>
      </w:r>
      <w:r>
        <w:rPr>
          <w:rFonts w:hint="eastAsia" w:ascii="宋体" w:hAnsi="宋体" w:eastAsia="宋体" w:cs="宋体"/>
          <w:sz w:val="24"/>
          <w:szCs w:val="24"/>
          <w:highlight w:val="none"/>
          <w:vertAlign w:val="superscript"/>
          <w:lang w:val="en-US" w:eastAsia="zh-CN"/>
        </w:rPr>
        <w:t>2</w:t>
      </w:r>
      <w:r>
        <w:rPr>
          <w:rFonts w:hint="eastAsia" w:ascii="宋体" w:hAnsi="宋体" w:eastAsia="宋体" w:cs="宋体"/>
          <w:sz w:val="24"/>
          <w:szCs w:val="24"/>
          <w:highlight w:val="none"/>
          <w:lang w:val="en-US" w:eastAsia="zh-CN"/>
        </w:rPr>
        <w:t>，地理位置范围：北至新华路与晋都北路交叉口，东至浍滨路、南至贡院西街，西至太和路，西南至新华路与府西街交叉口。</w:t>
      </w:r>
    </w:p>
    <w:p>
      <w:pPr>
        <w:numPr>
          <w:ilvl w:val="0"/>
          <w:numId w:val="0"/>
        </w:numPr>
        <w:spacing w:beforeLines="0" w:afterLines="0"/>
        <w:ind w:leftChars="200"/>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2-Ⅱ区（66、76）总面积0.59km</w:t>
      </w:r>
      <w:r>
        <w:rPr>
          <w:rFonts w:hint="eastAsia" w:ascii="宋体" w:hAnsi="宋体" w:eastAsia="宋体" w:cs="宋体"/>
          <w:sz w:val="24"/>
          <w:szCs w:val="24"/>
          <w:highlight w:val="none"/>
          <w:vertAlign w:val="superscript"/>
          <w:lang w:val="en-US" w:eastAsia="zh-CN"/>
        </w:rPr>
        <w:t>2</w:t>
      </w:r>
      <w:r>
        <w:rPr>
          <w:rFonts w:hint="eastAsia" w:ascii="宋体" w:hAnsi="宋体" w:eastAsia="宋体" w:cs="宋体"/>
          <w:sz w:val="24"/>
          <w:szCs w:val="24"/>
          <w:highlight w:val="none"/>
          <w:lang w:val="en-US" w:eastAsia="zh-CN"/>
        </w:rPr>
        <w:t>，地理位置范围：北至规划六街，东至曲</w:t>
      </w:r>
    </w:p>
    <w:p>
      <w:pPr>
        <w:numPr>
          <w:ilvl w:val="0"/>
          <w:numId w:val="0"/>
        </w:numPr>
        <w:spacing w:beforeLines="0" w:afterLines="0"/>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绛线、南至南环路——规划边界 ，西至绛山路。</w:t>
      </w:r>
    </w:p>
    <w:p>
      <w:pPr>
        <w:numPr>
          <w:ilvl w:val="0"/>
          <w:numId w:val="0"/>
        </w:numPr>
        <w:spacing w:beforeLines="0" w:afterLines="0"/>
        <w:ind w:leftChars="200"/>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lang w:val="en-US" w:eastAsia="zh-CN"/>
        </w:rPr>
        <w:t>2-Ⅲ</w:t>
      </w:r>
      <w:r>
        <w:rPr>
          <w:rFonts w:hint="eastAsia" w:ascii="宋体" w:hAnsi="宋体" w:eastAsia="宋体" w:cs="宋体"/>
          <w:sz w:val="24"/>
          <w:szCs w:val="24"/>
          <w:highlight w:val="none"/>
          <w:lang w:val="en-US" w:eastAsia="zh-CN"/>
        </w:rPr>
        <w:t>（74）总面积0.32km</w:t>
      </w:r>
      <w:r>
        <w:rPr>
          <w:rFonts w:hint="eastAsia" w:ascii="宋体" w:hAnsi="宋体" w:eastAsia="宋体" w:cs="宋体"/>
          <w:sz w:val="24"/>
          <w:szCs w:val="24"/>
          <w:highlight w:val="none"/>
          <w:vertAlign w:val="superscript"/>
          <w:lang w:val="en-US" w:eastAsia="zh-CN"/>
        </w:rPr>
        <w:t>2</w:t>
      </w:r>
      <w:r>
        <w:rPr>
          <w:rFonts w:hint="eastAsia" w:ascii="宋体" w:hAnsi="宋体" w:eastAsia="宋体" w:cs="宋体"/>
          <w:sz w:val="24"/>
          <w:szCs w:val="24"/>
          <w:highlight w:val="none"/>
          <w:lang w:val="en-US" w:eastAsia="zh-CN"/>
        </w:rPr>
        <w:t>，地理位置范围：北至南环路，南至规划边界，</w:t>
      </w:r>
    </w:p>
    <w:p>
      <w:pPr>
        <w:numPr>
          <w:ilvl w:val="0"/>
          <w:numId w:val="0"/>
        </w:numPr>
        <w:spacing w:beforeLines="0" w:afterLines="0"/>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西至晋都南路。</w:t>
      </w:r>
    </w:p>
    <w:p>
      <w:pPr>
        <w:widowControl w:val="0"/>
        <w:numPr>
          <w:ilvl w:val="0"/>
          <w:numId w:val="0"/>
        </w:numPr>
        <w:spacing w:beforeLines="0" w:afterLines="0" w:line="360" w:lineRule="auto"/>
        <w:ind w:firstLine="480" w:firstLineChars="200"/>
        <w:jc w:val="both"/>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2-Ⅳ（77）总面积0.01km</w:t>
      </w:r>
      <w:r>
        <w:rPr>
          <w:rFonts w:hint="eastAsia" w:ascii="宋体" w:hAnsi="宋体" w:eastAsia="宋体" w:cs="宋体"/>
          <w:sz w:val="24"/>
          <w:szCs w:val="24"/>
          <w:highlight w:val="none"/>
          <w:vertAlign w:val="superscript"/>
          <w:lang w:val="en-US" w:eastAsia="zh-CN"/>
        </w:rPr>
        <w:t>2</w:t>
      </w:r>
      <w:r>
        <w:rPr>
          <w:rFonts w:hint="eastAsia" w:ascii="宋体" w:hAnsi="宋体" w:eastAsia="宋体" w:cs="宋体"/>
          <w:sz w:val="24"/>
          <w:szCs w:val="24"/>
          <w:highlight w:val="none"/>
          <w:vertAlign w:val="baseline"/>
          <w:lang w:val="en-US" w:eastAsia="zh-CN"/>
        </w:rPr>
        <w:t>；</w:t>
      </w:r>
      <w:r>
        <w:rPr>
          <w:rFonts w:hint="eastAsia" w:ascii="宋体" w:hAnsi="宋体" w:eastAsia="宋体" w:cs="宋体"/>
          <w:sz w:val="24"/>
          <w:szCs w:val="24"/>
          <w:highlight w:val="none"/>
          <w:vertAlign w:val="superscript"/>
          <w:lang w:val="en-US" w:eastAsia="zh-CN"/>
        </w:rPr>
        <w:t xml:space="preserve"> </w:t>
      </w:r>
      <w:r>
        <w:rPr>
          <w:rFonts w:hint="eastAsia" w:ascii="宋体" w:hAnsi="宋体" w:eastAsia="宋体" w:cs="宋体"/>
          <w:sz w:val="24"/>
          <w:szCs w:val="24"/>
          <w:lang w:val="en-US" w:eastAsia="zh-CN"/>
        </w:rPr>
        <w:t>2-Ⅴ</w:t>
      </w:r>
      <w:r>
        <w:rPr>
          <w:rFonts w:hint="eastAsia" w:ascii="宋体" w:hAnsi="宋体" w:eastAsia="宋体" w:cs="宋体"/>
          <w:sz w:val="24"/>
          <w:szCs w:val="24"/>
          <w:highlight w:val="none"/>
          <w:lang w:val="en-US" w:eastAsia="zh-CN"/>
        </w:rPr>
        <w:t>（78）总面积0.03km</w:t>
      </w:r>
      <w:r>
        <w:rPr>
          <w:rFonts w:hint="eastAsia" w:ascii="宋体" w:hAnsi="宋体" w:eastAsia="宋体" w:cs="宋体"/>
          <w:sz w:val="24"/>
          <w:szCs w:val="24"/>
          <w:highlight w:val="none"/>
          <w:vertAlign w:val="superscript"/>
          <w:lang w:val="en-US" w:eastAsia="zh-CN"/>
        </w:rPr>
        <w:t>2</w:t>
      </w:r>
      <w:r>
        <w:rPr>
          <w:rFonts w:hint="eastAsia" w:ascii="宋体" w:hAnsi="宋体" w:eastAsia="宋体" w:cs="宋体"/>
          <w:sz w:val="24"/>
          <w:szCs w:val="24"/>
          <w:highlight w:val="none"/>
          <w:vertAlign w:val="baseline"/>
          <w:lang w:val="en-US" w:eastAsia="zh-CN"/>
        </w:rPr>
        <w:t>；2-Ⅵ</w:t>
      </w:r>
      <w:r>
        <w:rPr>
          <w:rFonts w:hint="eastAsia" w:ascii="宋体" w:hAnsi="宋体" w:eastAsia="宋体" w:cs="宋体"/>
          <w:sz w:val="24"/>
          <w:szCs w:val="24"/>
          <w:highlight w:val="none"/>
          <w:lang w:val="en-US" w:eastAsia="zh-CN"/>
        </w:rPr>
        <w:t>（79）总面积0.005km</w:t>
      </w:r>
      <w:r>
        <w:rPr>
          <w:rFonts w:hint="eastAsia" w:ascii="宋体" w:hAnsi="宋体" w:eastAsia="宋体" w:cs="宋体"/>
          <w:sz w:val="24"/>
          <w:szCs w:val="24"/>
          <w:highlight w:val="none"/>
          <w:vertAlign w:val="superscript"/>
          <w:lang w:val="en-US" w:eastAsia="zh-CN"/>
        </w:rPr>
        <w:t>2</w:t>
      </w:r>
      <w:r>
        <w:rPr>
          <w:rFonts w:hint="eastAsia" w:ascii="宋体" w:hAnsi="宋体" w:eastAsia="宋体" w:cs="宋体"/>
          <w:sz w:val="24"/>
          <w:szCs w:val="24"/>
          <w:highlight w:val="none"/>
          <w:vertAlign w:val="baseline"/>
          <w:lang w:val="en-US" w:eastAsia="zh-CN"/>
        </w:rPr>
        <w:t>。</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2类区总面积2.315km</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eastAsiaTheme="minorEastAsia"/>
          <w:b/>
          <w:bCs/>
          <w:color w:val="auto"/>
          <w:sz w:val="21"/>
          <w:szCs w:val="21"/>
          <w:lang w:val="en-US" w:eastAsia="zh-CN"/>
        </w:rPr>
      </w:pPr>
      <w:r>
        <w:rPr>
          <w:rFonts w:hint="eastAsia" w:cs="Times New Roman" w:eastAsiaTheme="minorEastAsia"/>
          <w:b/>
          <w:bCs/>
          <w:color w:val="auto"/>
          <w:sz w:val="21"/>
          <w:szCs w:val="21"/>
          <w:lang w:val="en-US" w:eastAsia="zh-CN"/>
        </w:rPr>
        <w:t xml:space="preserve">表8-1  </w:t>
      </w:r>
      <w:r>
        <w:rPr>
          <w:rFonts w:hint="default" w:cs="Times New Roman" w:eastAsiaTheme="minorEastAsia"/>
          <w:b/>
          <w:bCs/>
          <w:color w:val="auto"/>
          <w:sz w:val="21"/>
          <w:szCs w:val="21"/>
          <w:lang w:val="en-US" w:eastAsia="zh-CN"/>
        </w:rPr>
        <w:t xml:space="preserve"> </w:t>
      </w:r>
      <w:r>
        <w:rPr>
          <w:rFonts w:hint="eastAsia" w:cs="Times New Roman" w:eastAsiaTheme="minorEastAsia"/>
          <w:b/>
          <w:bCs/>
          <w:color w:val="auto"/>
          <w:sz w:val="21"/>
          <w:szCs w:val="21"/>
          <w:lang w:val="en-US" w:eastAsia="zh-CN"/>
        </w:rPr>
        <w:t>2类区拐点坐标一览表  坐标:WGS1984</w:t>
      </w:r>
    </w:p>
    <w:tbl>
      <w:tblPr>
        <w:tblStyle w:val="25"/>
        <w:tblW w:w="852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1613"/>
        <w:gridCol w:w="1500"/>
        <w:gridCol w:w="1150"/>
        <w:gridCol w:w="1422"/>
        <w:gridCol w:w="142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序号</w:t>
            </w:r>
          </w:p>
        </w:tc>
        <w:tc>
          <w:tcPr>
            <w:tcW w:w="1613"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X</w:t>
            </w:r>
          </w:p>
        </w:tc>
        <w:tc>
          <w:tcPr>
            <w:tcW w:w="1500"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Y</w:t>
            </w:r>
          </w:p>
        </w:tc>
        <w:tc>
          <w:tcPr>
            <w:tcW w:w="1150"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序号</w:t>
            </w:r>
          </w:p>
        </w:tc>
        <w:tc>
          <w:tcPr>
            <w:tcW w:w="1422"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X</w:t>
            </w:r>
          </w:p>
        </w:tc>
        <w:tc>
          <w:tcPr>
            <w:tcW w:w="1422"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Y</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528" w:type="dxa"/>
            <w:gridSpan w:val="6"/>
            <w:tcBorders>
              <w:tl2br w:val="nil"/>
              <w:tr2bl w:val="nil"/>
            </w:tcBorders>
          </w:tcPr>
          <w:p>
            <w:pPr>
              <w:keepNext w:val="0"/>
              <w:keepLines w:val="0"/>
              <w:suppressLineNumbers w:val="0"/>
              <w:spacing w:before="0" w:beforeLines="0" w:beforeAutospacing="0" w:after="0" w:afterLines="0" w:afterAutospacing="0"/>
              <w:ind w:left="0" w:right="0"/>
              <w:jc w:val="center"/>
              <w:rPr>
                <w:rFonts w:hint="eastAsia" w:ascii="宋体" w:hAnsi="宋体" w:eastAsia="宋体"/>
                <w:b/>
                <w:bCs/>
                <w:sz w:val="24"/>
                <w:highlight w:val="none"/>
                <w:vertAlign w:val="baseline"/>
                <w:lang w:val="en-US" w:eastAsia="zh-CN"/>
              </w:rPr>
            </w:pPr>
            <w:r>
              <w:rPr>
                <w:rFonts w:hint="eastAsia" w:ascii="宋体" w:hAnsi="宋体" w:eastAsia="宋体"/>
                <w:b/>
                <w:bCs/>
                <w:sz w:val="24"/>
                <w:highlight w:val="none"/>
                <w:vertAlign w:val="baseline"/>
                <w:lang w:val="en-US" w:eastAsia="zh-CN"/>
              </w:rPr>
              <w:t>2-Ⅰ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111.4667171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35.63565798</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111.4740942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35.646112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111.4650208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35.63578106</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111.4689199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35.64689284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111.4650208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35.63578106</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111.4740504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35.64611861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111.465651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35.64106119</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111.4590163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35.64145645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111.465651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35.64106119</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111.4589852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35.64145831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111.4590163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35.64145645</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111.4691471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35.65048244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111.4740942</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35.646112</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111.4691471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35.65048244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111.4729706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35.63520404</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111.469148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35.65048325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111.4667171</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35.63565798</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111.4689199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35.64689284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111.4740504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35.64611861</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528" w:type="dxa"/>
            <w:gridSpan w:val="6"/>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sz w:val="24"/>
                <w:szCs w:val="24"/>
                <w:lang w:val="en-US" w:eastAsia="zh-CN"/>
              </w:rPr>
              <w:t>2-Ⅱ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111.4815109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35.61981197</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111.4827297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35.61813172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111.4815002</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35.62051602</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111.4825589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35.61879485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111.4809598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35.62076954</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111.4815127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35.61969769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111.4810146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35.6216455</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111.4815109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35.61981197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111.4810146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35.6216455</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111.490007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35.62623239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111.4810185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35.62170918</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111.4915657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35.6255836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111.4812414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35.62168692</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111.4915597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35.62556866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111.4812414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35.62168692</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111.4892894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35.62654891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111.4813913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35.62277656</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111.4893359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35.62651175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111.4813913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35.62277656</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111.490007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35.62623239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111.4813973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35.62282054</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111.4839955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35.62236127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111.4839955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35.62236127</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111.4841171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35.62783846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13</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111.4915597</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35.62556866</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111.4841171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35.62783846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14</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111.4901289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35.62202331</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111.4846111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35.62782552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15</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111.4877564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35.62125476</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111.4846111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35.62782552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16</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111.4856735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35.62170138</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111.4856473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35.62779836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17</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111.4850118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35.62184325</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111.4861358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35.62793352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18</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111.4856529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35.62034015</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111.4861358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35.62793352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19</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111.4853894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35.61835157</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111.4867968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35.62811641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20</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111.4851537</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35.6178052</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111.4871558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35.62825388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21</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111.4842253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35.61748479</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111.4871558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35.62825388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22</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111.4831902</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35.61719926</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111.4892894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35.62654891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8528" w:type="dxa"/>
            <w:gridSpan w:val="6"/>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sz w:val="24"/>
                <w:szCs w:val="24"/>
                <w:lang w:val="en-US" w:eastAsia="zh-CN"/>
              </w:rPr>
              <w:t>2-Ⅲ</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111.4741626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35.62027248</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111.4686805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35.62287729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111.4742912</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35.61988361</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111.4670358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35.62304659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111.4742253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35.62027605</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111.4750695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35.6236952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111.4741626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35.62027248</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111.4751756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35.62367656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111.4747454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35.6203057</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111.4747454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35.6203057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111.4742253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35.62027605</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111.4706245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35.62447624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111.4742912</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35.61988361</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111.4750695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35.6236952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111.4736466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35.62019167</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111.4671201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35.62451228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111.4730654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35.62035563</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111.4705758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35.6244848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111.4724979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35.62081042</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111.4706245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35.62447624</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111.4720554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35.62125612</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111.4670358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35.62304659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111.4716903</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35.62141953</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111.4671197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35.62451228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13</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111.4708294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35.62158127</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111.4671201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35.62451228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14</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111.4688068</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35.62232618</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528" w:type="dxa"/>
            <w:gridSpan w:val="6"/>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sz w:val="24"/>
                <w:szCs w:val="24"/>
                <w:highlight w:val="none"/>
                <w:lang w:val="en-US" w:eastAsia="zh-CN"/>
              </w:rPr>
              <w:t>2-Ⅳ</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111.4973912</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35.64469486</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111.4981243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35.64382485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111.4987875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35.64539649</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111.4973912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35.64469486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111.4993566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35.64455136</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528" w:type="dxa"/>
            <w:gridSpan w:val="6"/>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sz w:val="24"/>
                <w:szCs w:val="24"/>
                <w:lang w:val="en-US" w:eastAsia="zh-CN"/>
              </w:rPr>
              <w:t>2-Ⅴ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111.5015834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35.6352243</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111.5016726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35.6336479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111.5036654</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35.63519455</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111.5015834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35.6352243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111.5035762</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35.63358842</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528" w:type="dxa"/>
            <w:gridSpan w:val="6"/>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sz w:val="24"/>
                <w:szCs w:val="24"/>
                <w:highlight w:val="none"/>
                <w:vertAlign w:val="baseline"/>
                <w:lang w:val="en-US" w:eastAsia="zh-CN"/>
              </w:rPr>
              <w:t>2-Ⅵ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111.4709966</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35.66682051</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111.4709271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35.66602047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111.4717105</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35.66672533</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111.4709966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35.66682051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w:t>
            </w:r>
          </w:p>
        </w:tc>
        <w:tc>
          <w:tcPr>
            <w:tcW w:w="1613"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111.4716629</w:t>
            </w:r>
          </w:p>
        </w:tc>
        <w:tc>
          <w:tcPr>
            <w:tcW w:w="150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35.66605908</w:t>
            </w:r>
          </w:p>
        </w:tc>
        <w:tc>
          <w:tcPr>
            <w:tcW w:w="1150"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p>
        </w:tc>
      </w:tr>
    </w:tbl>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default" w:cs="Times New Roman" w:eastAsiaTheme="minorEastAsia"/>
          <w:color w:val="auto"/>
          <w:sz w:val="28"/>
          <w:szCs w:val="28"/>
          <w:lang w:val="en-US" w:eastAsia="zh-CN"/>
        </w:rPr>
        <w:t>8.2.</w:t>
      </w:r>
      <w:r>
        <w:rPr>
          <w:rFonts w:hint="eastAsia" w:cs="Times New Roman" w:eastAsiaTheme="minorEastAsia"/>
          <w:color w:val="auto"/>
          <w:sz w:val="28"/>
          <w:szCs w:val="28"/>
          <w:lang w:val="en-US" w:eastAsia="zh-CN"/>
        </w:rPr>
        <w:t>4</w:t>
      </w:r>
      <w:r>
        <w:rPr>
          <w:rFonts w:hint="default" w:cs="Times New Roman" w:eastAsiaTheme="minorEastAsia"/>
          <w:color w:val="auto"/>
          <w:sz w:val="28"/>
          <w:szCs w:val="28"/>
          <w:lang w:val="en-US" w:eastAsia="zh-CN"/>
        </w:rPr>
        <w:t xml:space="preserve"> </w:t>
      </w:r>
      <w:r>
        <w:rPr>
          <w:rFonts w:hint="eastAsia" w:cs="Times New Roman" w:eastAsiaTheme="minorEastAsia"/>
          <w:color w:val="auto"/>
          <w:sz w:val="28"/>
          <w:szCs w:val="28"/>
          <w:lang w:val="en-US" w:eastAsia="zh-CN"/>
        </w:rPr>
        <w:t>“3类”标准适用区</w:t>
      </w:r>
    </w:p>
    <w:p>
      <w:pPr>
        <w:spacing w:beforeLines="0" w:afterLines="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执行标准：昼间65</w:t>
      </w:r>
      <w:r>
        <w:rPr>
          <w:rFonts w:hint="default" w:ascii="宋体" w:hAnsi="宋体" w:eastAsia="宋体" w:cs="宋体"/>
          <w:b/>
          <w:bCs/>
          <w:sz w:val="24"/>
          <w:szCs w:val="24"/>
          <w:lang w:val="en-US" w:eastAsia="zh-CN"/>
        </w:rPr>
        <w:t>dB</w:t>
      </w:r>
      <w:r>
        <w:rPr>
          <w:rFonts w:hint="eastAsia" w:ascii="宋体" w:hAnsi="宋体" w:eastAsia="宋体" w:cs="宋体"/>
          <w:b/>
          <w:bCs/>
          <w:sz w:val="24"/>
          <w:szCs w:val="24"/>
          <w:lang w:val="en-US" w:eastAsia="zh-CN"/>
        </w:rPr>
        <w:t>（</w:t>
      </w:r>
      <w:r>
        <w:rPr>
          <w:rFonts w:hint="default" w:ascii="宋体" w:hAnsi="宋体" w:eastAsia="宋体" w:cs="宋体"/>
          <w:b/>
          <w:bCs/>
          <w:sz w:val="24"/>
          <w:szCs w:val="24"/>
          <w:lang w:val="en-US" w:eastAsia="zh-CN"/>
        </w:rPr>
        <w:t>A</w:t>
      </w:r>
      <w:r>
        <w:rPr>
          <w:rFonts w:hint="eastAsia" w:ascii="宋体" w:hAnsi="宋体" w:eastAsia="宋体" w:cs="宋体"/>
          <w:b/>
          <w:bCs/>
          <w:sz w:val="24"/>
          <w:szCs w:val="24"/>
          <w:lang w:val="en-US" w:eastAsia="zh-CN"/>
        </w:rPr>
        <w:t>）夜间55</w:t>
      </w:r>
      <w:r>
        <w:rPr>
          <w:rFonts w:hint="default" w:ascii="宋体" w:hAnsi="宋体" w:eastAsia="宋体" w:cs="宋体"/>
          <w:b/>
          <w:bCs/>
          <w:sz w:val="24"/>
          <w:szCs w:val="24"/>
          <w:lang w:val="en-US" w:eastAsia="zh-CN"/>
        </w:rPr>
        <w:t>dB</w:t>
      </w:r>
      <w:r>
        <w:rPr>
          <w:rFonts w:hint="eastAsia" w:ascii="宋体" w:hAnsi="宋体" w:eastAsia="宋体" w:cs="宋体"/>
          <w:b/>
          <w:bCs/>
          <w:sz w:val="24"/>
          <w:szCs w:val="24"/>
          <w:lang w:val="en-US" w:eastAsia="zh-CN"/>
        </w:rPr>
        <w:t>（</w:t>
      </w:r>
      <w:r>
        <w:rPr>
          <w:rFonts w:hint="default" w:ascii="宋体" w:hAnsi="宋体" w:eastAsia="宋体" w:cs="宋体"/>
          <w:b/>
          <w:bCs/>
          <w:sz w:val="24"/>
          <w:szCs w:val="24"/>
          <w:lang w:val="en-US" w:eastAsia="zh-CN"/>
        </w:rPr>
        <w:t>A</w:t>
      </w:r>
      <w:r>
        <w:rPr>
          <w:rFonts w:hint="eastAsia" w:ascii="宋体" w:hAnsi="宋体" w:eastAsia="宋体" w:cs="宋体"/>
          <w:b/>
          <w:bCs/>
          <w:sz w:val="24"/>
          <w:szCs w:val="24"/>
          <w:lang w:val="en-US" w:eastAsia="zh-CN"/>
        </w:rPr>
        <w:t>）</w:t>
      </w:r>
    </w:p>
    <w:p>
      <w:pPr>
        <w:numPr>
          <w:ilvl w:val="0"/>
          <w:numId w:val="0"/>
        </w:numPr>
        <w:spacing w:beforeLines="0" w:afterLines="0"/>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3-Ⅰ区（8）总面积0.3km</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lang w:val="en-US" w:eastAsia="zh-CN"/>
        </w:rPr>
        <w:t>，地理位置范围：北至规划一街，东至曲绛线、南至城北大街，西北至吉祥路。</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3类区总面积0.3km</w:t>
      </w:r>
      <w:r>
        <w:rPr>
          <w:rFonts w:hint="eastAsia" w:ascii="宋体" w:hAnsi="宋体" w:eastAsia="宋体" w:cs="宋体"/>
          <w:sz w:val="24"/>
          <w:szCs w:val="24"/>
          <w:vertAlign w:val="superscript"/>
          <w:lang w:val="en-US" w:eastAsia="zh-CN"/>
        </w:rPr>
        <w:t>2</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eastAsiaTheme="minorEastAsia"/>
          <w:b/>
          <w:bCs/>
          <w:color w:val="auto"/>
          <w:sz w:val="21"/>
          <w:szCs w:val="21"/>
          <w:lang w:val="en-US" w:eastAsia="zh-CN"/>
        </w:rPr>
      </w:pPr>
      <w:r>
        <w:rPr>
          <w:rFonts w:hint="eastAsia" w:cs="Times New Roman" w:eastAsiaTheme="minorEastAsia"/>
          <w:b/>
          <w:bCs/>
          <w:color w:val="auto"/>
          <w:sz w:val="21"/>
          <w:szCs w:val="21"/>
          <w:lang w:val="en-US" w:eastAsia="zh-CN"/>
        </w:rPr>
        <w:t xml:space="preserve">表8-1  </w:t>
      </w:r>
      <w:r>
        <w:rPr>
          <w:rFonts w:hint="default" w:cs="Times New Roman" w:eastAsiaTheme="minorEastAsia"/>
          <w:b/>
          <w:bCs/>
          <w:color w:val="auto"/>
          <w:sz w:val="21"/>
          <w:szCs w:val="21"/>
          <w:lang w:val="en-US" w:eastAsia="zh-CN"/>
        </w:rPr>
        <w:t xml:space="preserve"> </w:t>
      </w:r>
      <w:r>
        <w:rPr>
          <w:rFonts w:hint="eastAsia" w:cs="Times New Roman" w:eastAsiaTheme="minorEastAsia"/>
          <w:b/>
          <w:bCs/>
          <w:color w:val="auto"/>
          <w:sz w:val="21"/>
          <w:szCs w:val="21"/>
          <w:lang w:val="en-US" w:eastAsia="zh-CN"/>
        </w:rPr>
        <w:t>3类区拐点坐标一览表  坐标:WGS1984</w:t>
      </w:r>
    </w:p>
    <w:tbl>
      <w:tblPr>
        <w:tblStyle w:val="25"/>
        <w:tblW w:w="852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1421"/>
        <w:gridCol w:w="1421"/>
        <w:gridCol w:w="1421"/>
        <w:gridCol w:w="1422"/>
        <w:gridCol w:w="142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序号</w:t>
            </w:r>
          </w:p>
        </w:tc>
        <w:tc>
          <w:tcPr>
            <w:tcW w:w="1421"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X</w:t>
            </w:r>
          </w:p>
        </w:tc>
        <w:tc>
          <w:tcPr>
            <w:tcW w:w="1421"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Y</w:t>
            </w:r>
          </w:p>
        </w:tc>
        <w:tc>
          <w:tcPr>
            <w:tcW w:w="1421"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序号</w:t>
            </w:r>
          </w:p>
        </w:tc>
        <w:tc>
          <w:tcPr>
            <w:tcW w:w="1422"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X</w:t>
            </w:r>
          </w:p>
        </w:tc>
        <w:tc>
          <w:tcPr>
            <w:tcW w:w="1422" w:type="dxa"/>
            <w:tcBorders>
              <w:tl2br w:val="nil"/>
              <w:tr2bl w:val="nil"/>
            </w:tcBorders>
            <w:vAlign w:val="top"/>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b/>
                <w:bCs/>
                <w:sz w:val="24"/>
                <w:highlight w:val="none"/>
                <w:vertAlign w:val="baseline"/>
                <w:lang w:val="en-US" w:eastAsia="zh-CN"/>
              </w:rPr>
            </w:pPr>
            <w:r>
              <w:rPr>
                <w:rFonts w:hint="eastAsia" w:ascii="宋体" w:hAnsi="宋体" w:eastAsia="宋体" w:cs="宋体"/>
                <w:b/>
                <w:bCs/>
                <w:sz w:val="21"/>
                <w:szCs w:val="21"/>
                <w:lang w:val="en-US" w:eastAsia="zh-CN"/>
              </w:rPr>
              <w:t>Y</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528" w:type="dxa"/>
            <w:gridSpan w:val="6"/>
            <w:tcBorders>
              <w:tl2br w:val="nil"/>
              <w:tr2bl w:val="nil"/>
            </w:tcBorders>
          </w:tcPr>
          <w:p>
            <w:pPr>
              <w:keepNext w:val="0"/>
              <w:keepLines w:val="0"/>
              <w:suppressLineNumbers w:val="0"/>
              <w:spacing w:before="0" w:beforeLines="0" w:beforeAutospacing="0" w:after="0" w:afterLines="0" w:afterAutospacing="0"/>
              <w:ind w:left="0" w:right="0"/>
              <w:jc w:val="center"/>
              <w:rPr>
                <w:rFonts w:hint="eastAsia" w:ascii="宋体" w:hAnsi="宋体" w:eastAsia="宋体"/>
                <w:b/>
                <w:bCs/>
                <w:sz w:val="24"/>
                <w:highlight w:val="none"/>
                <w:vertAlign w:val="baseline"/>
                <w:lang w:val="en-US" w:eastAsia="zh-CN"/>
              </w:rPr>
            </w:pPr>
            <w:r>
              <w:rPr>
                <w:rFonts w:hint="eastAsia" w:ascii="宋体" w:hAnsi="宋体" w:eastAsia="宋体"/>
                <w:b/>
                <w:bCs/>
                <w:sz w:val="24"/>
                <w:highlight w:val="none"/>
                <w:vertAlign w:val="baseline"/>
                <w:lang w:val="en-US" w:eastAsia="zh-CN"/>
              </w:rPr>
              <w:t>3-Ⅰ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111.490974</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35.6517019</w:t>
            </w:r>
          </w:p>
        </w:tc>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111.4905479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35.65331905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111.494807</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35.65161173</w:t>
            </w:r>
          </w:p>
        </w:tc>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111.4903481</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35.65362548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111.490974</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35.6517019</w:t>
            </w:r>
          </w:p>
        </w:tc>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13</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111.4896546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35.65405839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111.4908476</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35.65262255</w:t>
            </w:r>
          </w:p>
        </w:tc>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111.4885219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35.65455808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5</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111.4907064</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35.65307585</w:t>
            </w:r>
          </w:p>
        </w:tc>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15</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111.4950137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35.6564113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6</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111.4907064</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35.65307585</w:t>
            </w:r>
          </w:p>
        </w:tc>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16</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111.494807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35.65161173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111.4905479</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35.65331905</w:t>
            </w:r>
          </w:p>
        </w:tc>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111.4872474</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35.65450659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111.4885219</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35.65455808</w:t>
            </w:r>
          </w:p>
        </w:tc>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18</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111.4880739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35.6570365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111.4872412</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35.65448747</w:t>
            </w:r>
          </w:p>
        </w:tc>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111.4880739</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35.6570365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111.4872474</w:t>
            </w:r>
          </w:p>
        </w:tc>
        <w:tc>
          <w:tcPr>
            <w:tcW w:w="1421"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35.65450659</w:t>
            </w:r>
          </w:p>
        </w:tc>
        <w:tc>
          <w:tcPr>
            <w:tcW w:w="1421" w:type="dxa"/>
            <w:tcBorders>
              <w:tl2br w:val="nil"/>
              <w:tr2bl w:val="nil"/>
            </w:tcBorders>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20</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111.4950137</w:t>
            </w:r>
          </w:p>
        </w:tc>
        <w:tc>
          <w:tcPr>
            <w:tcW w:w="1422" w:type="dxa"/>
            <w:tcBorders>
              <w:tl2br w:val="nil"/>
              <w:tr2bl w:val="nil"/>
            </w:tcBorders>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340" w:lineRule="exact"/>
              <w:ind w:left="0" w:leftChars="0" w:right="0" w:rightChars="0" w:firstLine="0" w:firstLine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35.6564113</w:t>
            </w:r>
          </w:p>
        </w:tc>
      </w:tr>
    </w:tbl>
    <w:p>
      <w:pPr>
        <w:pStyle w:val="4"/>
        <w:keepNext/>
        <w:keepLines/>
        <w:pageBreakBefore w:val="0"/>
        <w:widowControl w:val="0"/>
        <w:numPr>
          <w:ilvl w:val="2"/>
          <w:numId w:val="0"/>
        </w:numPr>
        <w:kinsoku/>
        <w:wordWrap/>
        <w:overflowPunct/>
        <w:topLinePunct w:val="0"/>
        <w:autoSpaceDE/>
        <w:autoSpaceDN/>
        <w:bidi w:val="0"/>
        <w:adjustRightInd/>
        <w:snapToGrid/>
        <w:spacing w:line="360" w:lineRule="auto"/>
        <w:textAlignment w:val="auto"/>
        <w:rPr>
          <w:rFonts w:hint="eastAsia" w:cs="Times New Roman" w:eastAsiaTheme="minorEastAsia"/>
          <w:color w:val="auto"/>
          <w:sz w:val="28"/>
          <w:szCs w:val="28"/>
          <w:lang w:val="en-US" w:eastAsia="zh-CN"/>
        </w:rPr>
      </w:pPr>
      <w:r>
        <w:rPr>
          <w:rFonts w:hint="default" w:cs="Times New Roman" w:eastAsiaTheme="minorEastAsia"/>
          <w:color w:val="auto"/>
          <w:sz w:val="28"/>
          <w:szCs w:val="28"/>
          <w:lang w:val="en-US" w:eastAsia="zh-CN"/>
        </w:rPr>
        <w:t xml:space="preserve">8.2.5 </w:t>
      </w:r>
      <w:r>
        <w:rPr>
          <w:rFonts w:hint="eastAsia" w:cs="Times New Roman" w:eastAsiaTheme="minorEastAsia"/>
          <w:color w:val="auto"/>
          <w:sz w:val="28"/>
          <w:szCs w:val="28"/>
          <w:lang w:val="en-US" w:eastAsia="zh-CN"/>
        </w:rPr>
        <w:t>“</w:t>
      </w:r>
      <w:r>
        <w:rPr>
          <w:rFonts w:hint="default" w:cs="Times New Roman" w:eastAsiaTheme="minorEastAsia"/>
          <w:color w:val="auto"/>
          <w:sz w:val="28"/>
          <w:szCs w:val="28"/>
          <w:lang w:val="en-US" w:eastAsia="zh-CN"/>
        </w:rPr>
        <w:t>4</w:t>
      </w:r>
      <w:r>
        <w:rPr>
          <w:rFonts w:hint="eastAsia" w:cs="Times New Roman" w:eastAsiaTheme="minorEastAsia"/>
          <w:color w:val="auto"/>
          <w:sz w:val="28"/>
          <w:szCs w:val="28"/>
          <w:lang w:val="en-US" w:eastAsia="zh-CN"/>
        </w:rPr>
        <w:t>类”标准适用区</w:t>
      </w:r>
    </w:p>
    <w:p>
      <w:pPr>
        <w:spacing w:beforeLines="0" w:afterLines="0"/>
        <w:jc w:val="left"/>
        <w:rPr>
          <w:rFonts w:hint="eastAsia" w:ascii="华文仿宋" w:hAnsi="华文仿宋" w:eastAsia="华文仿宋"/>
          <w:sz w:val="28"/>
        </w:rPr>
      </w:pPr>
      <w:r>
        <w:rPr>
          <w:rFonts w:hint="eastAsia" w:ascii="华文仿宋" w:hAnsi="华文仿宋" w:eastAsia="华文仿宋"/>
          <w:b/>
          <w:bCs/>
          <w:sz w:val="28"/>
        </w:rPr>
        <w:t>（</w:t>
      </w:r>
      <w:r>
        <w:rPr>
          <w:rFonts w:hint="default" w:ascii="华文仿宋" w:hAnsi="华文仿宋" w:eastAsia="华文仿宋"/>
          <w:b/>
          <w:bCs/>
          <w:sz w:val="28"/>
        </w:rPr>
        <w:t>1</w:t>
      </w:r>
      <w:r>
        <w:rPr>
          <w:rFonts w:hint="eastAsia" w:ascii="华文仿宋" w:hAnsi="华文仿宋" w:eastAsia="华文仿宋"/>
          <w:b/>
          <w:bCs/>
          <w:sz w:val="28"/>
        </w:rPr>
        <w:t>）</w:t>
      </w:r>
      <w:r>
        <w:rPr>
          <w:rFonts w:hint="default" w:ascii="华文仿宋" w:hAnsi="华文仿宋" w:eastAsia="华文仿宋"/>
          <w:b/>
          <w:bCs/>
          <w:sz w:val="28"/>
        </w:rPr>
        <w:t>4a</w:t>
      </w:r>
      <w:r>
        <w:rPr>
          <w:rFonts w:hint="eastAsia" w:ascii="华文仿宋" w:hAnsi="华文仿宋" w:eastAsia="华文仿宋"/>
          <w:b/>
          <w:bCs/>
          <w:sz w:val="28"/>
        </w:rPr>
        <w:t>类区域</w:t>
      </w:r>
    </w:p>
    <w:p>
      <w:pPr>
        <w:spacing w:beforeLines="0" w:afterLines="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执行标准：昼间</w:t>
      </w:r>
      <w:r>
        <w:rPr>
          <w:rFonts w:hint="default" w:ascii="宋体" w:hAnsi="宋体" w:eastAsia="宋体" w:cs="宋体"/>
          <w:b/>
          <w:bCs/>
          <w:sz w:val="24"/>
          <w:szCs w:val="24"/>
          <w:lang w:val="en-US" w:eastAsia="zh-CN"/>
        </w:rPr>
        <w:t>70dB</w:t>
      </w:r>
      <w:r>
        <w:rPr>
          <w:rFonts w:hint="eastAsia" w:ascii="宋体" w:hAnsi="宋体" w:eastAsia="宋体" w:cs="宋体"/>
          <w:b/>
          <w:bCs/>
          <w:sz w:val="24"/>
          <w:szCs w:val="24"/>
          <w:lang w:val="en-US" w:eastAsia="zh-CN"/>
        </w:rPr>
        <w:t>（</w:t>
      </w:r>
      <w:r>
        <w:rPr>
          <w:rFonts w:hint="default" w:ascii="宋体" w:hAnsi="宋体" w:eastAsia="宋体" w:cs="宋体"/>
          <w:b/>
          <w:bCs/>
          <w:sz w:val="24"/>
          <w:szCs w:val="24"/>
          <w:lang w:val="en-US" w:eastAsia="zh-CN"/>
        </w:rPr>
        <w:t>A</w:t>
      </w:r>
      <w:r>
        <w:rPr>
          <w:rFonts w:hint="eastAsia" w:ascii="宋体" w:hAnsi="宋体" w:eastAsia="宋体" w:cs="宋体"/>
          <w:b/>
          <w:bCs/>
          <w:sz w:val="24"/>
          <w:szCs w:val="24"/>
          <w:lang w:val="en-US" w:eastAsia="zh-CN"/>
        </w:rPr>
        <w:t>）夜间</w:t>
      </w:r>
      <w:r>
        <w:rPr>
          <w:rFonts w:hint="default" w:ascii="宋体" w:hAnsi="宋体" w:eastAsia="宋体" w:cs="宋体"/>
          <w:b/>
          <w:bCs/>
          <w:sz w:val="24"/>
          <w:szCs w:val="24"/>
          <w:lang w:val="en-US" w:eastAsia="zh-CN"/>
        </w:rPr>
        <w:t>55dB</w:t>
      </w:r>
      <w:r>
        <w:rPr>
          <w:rFonts w:hint="eastAsia" w:ascii="宋体" w:hAnsi="宋体" w:eastAsia="宋体" w:cs="宋体"/>
          <w:b/>
          <w:bCs/>
          <w:sz w:val="24"/>
          <w:szCs w:val="24"/>
          <w:lang w:val="en-US" w:eastAsia="zh-CN"/>
        </w:rPr>
        <w:t>（</w:t>
      </w:r>
      <w:r>
        <w:rPr>
          <w:rFonts w:hint="default" w:ascii="宋体" w:hAnsi="宋体" w:eastAsia="宋体" w:cs="宋体"/>
          <w:b/>
          <w:bCs/>
          <w:sz w:val="24"/>
          <w:szCs w:val="24"/>
          <w:lang w:val="en-US" w:eastAsia="zh-CN"/>
        </w:rPr>
        <w:t>A</w:t>
      </w:r>
      <w:r>
        <w:rPr>
          <w:rFonts w:hint="eastAsia" w:ascii="宋体" w:hAnsi="宋体" w:eastAsia="宋体" w:cs="宋体"/>
          <w:b/>
          <w:bCs/>
          <w:sz w:val="24"/>
          <w:szCs w:val="24"/>
          <w:lang w:val="en-US" w:eastAsia="zh-CN"/>
        </w:rPr>
        <w:t>）</w:t>
      </w:r>
    </w:p>
    <w:p>
      <w:pPr>
        <w:spacing w:beforeLines="0" w:afterLine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以城市主干道及支线一定距离内的区域划分为</w:t>
      </w:r>
      <w:r>
        <w:rPr>
          <w:rFonts w:hint="default" w:ascii="宋体" w:hAnsi="宋体" w:eastAsia="宋体" w:cs="宋体"/>
          <w:sz w:val="24"/>
          <w:szCs w:val="24"/>
          <w:lang w:val="en-US" w:eastAsia="zh-CN"/>
        </w:rPr>
        <w:t>4a</w:t>
      </w:r>
      <w:r>
        <w:rPr>
          <w:rFonts w:hint="eastAsia" w:ascii="宋体" w:hAnsi="宋体" w:eastAsia="宋体" w:cs="宋体"/>
          <w:sz w:val="24"/>
          <w:szCs w:val="24"/>
          <w:lang w:val="en-US" w:eastAsia="zh-CN"/>
        </w:rPr>
        <w:t>类声环境功能区，曲沃县城市主次干路</w:t>
      </w:r>
      <w:r>
        <w:rPr>
          <w:rFonts w:hint="default" w:ascii="宋体" w:hAnsi="宋体" w:eastAsia="宋体" w:cs="宋体"/>
          <w:sz w:val="24"/>
          <w:szCs w:val="24"/>
          <w:lang w:val="en-US" w:eastAsia="zh-CN"/>
        </w:rPr>
        <w:t>15</w:t>
      </w:r>
      <w:r>
        <w:rPr>
          <w:rFonts w:hint="eastAsia" w:ascii="宋体" w:hAnsi="宋体" w:eastAsia="宋体" w:cs="宋体"/>
          <w:sz w:val="24"/>
          <w:szCs w:val="24"/>
          <w:lang w:val="en-US" w:eastAsia="zh-CN"/>
        </w:rPr>
        <w:t>条。其中：相邻区域为</w:t>
      </w:r>
      <w:r>
        <w:rPr>
          <w:rFonts w:hint="default" w:ascii="宋体" w:hAnsi="宋体" w:eastAsia="宋体" w:cs="宋体"/>
          <w:sz w:val="24"/>
          <w:szCs w:val="24"/>
          <w:lang w:val="en-US" w:eastAsia="zh-CN"/>
        </w:rPr>
        <w:t xml:space="preserve">1 </w:t>
      </w:r>
      <w:r>
        <w:rPr>
          <w:rFonts w:hint="eastAsia" w:ascii="宋体" w:hAnsi="宋体" w:eastAsia="宋体" w:cs="宋体"/>
          <w:sz w:val="24"/>
          <w:szCs w:val="24"/>
          <w:lang w:val="en-US" w:eastAsia="zh-CN"/>
        </w:rPr>
        <w:t>类区声环境功能区域，距离为</w:t>
      </w:r>
      <w:r>
        <w:rPr>
          <w:rFonts w:hint="default" w:ascii="宋体" w:hAnsi="宋体" w:eastAsia="宋体" w:cs="宋体"/>
          <w:sz w:val="24"/>
          <w:szCs w:val="24"/>
          <w:lang w:val="en-US" w:eastAsia="zh-CN"/>
        </w:rPr>
        <w:t>50m</w:t>
      </w:r>
      <w:r>
        <w:rPr>
          <w:rFonts w:hint="eastAsia" w:ascii="宋体" w:hAnsi="宋体" w:eastAsia="宋体" w:cs="宋体"/>
          <w:sz w:val="24"/>
          <w:szCs w:val="24"/>
          <w:lang w:val="en-US" w:eastAsia="zh-CN"/>
        </w:rPr>
        <w:t>；相邻区域为</w:t>
      </w:r>
      <w:r>
        <w:rPr>
          <w:rFonts w:hint="default" w:ascii="宋体" w:hAnsi="宋体" w:eastAsia="宋体" w:cs="宋体"/>
          <w:sz w:val="24"/>
          <w:szCs w:val="24"/>
          <w:lang w:val="en-US" w:eastAsia="zh-CN"/>
        </w:rPr>
        <w:t>2</w:t>
      </w:r>
      <w:r>
        <w:rPr>
          <w:rFonts w:hint="eastAsia" w:ascii="宋体" w:hAnsi="宋体" w:eastAsia="宋体" w:cs="宋体"/>
          <w:sz w:val="24"/>
          <w:szCs w:val="24"/>
          <w:lang w:val="en-US" w:eastAsia="zh-CN"/>
        </w:rPr>
        <w:t>类声环境功能区域，距离为</w:t>
      </w:r>
      <w:r>
        <w:rPr>
          <w:rFonts w:hint="default" w:ascii="宋体" w:hAnsi="宋体" w:eastAsia="宋体" w:cs="宋体"/>
          <w:sz w:val="24"/>
          <w:szCs w:val="24"/>
          <w:lang w:val="en-US" w:eastAsia="zh-CN"/>
        </w:rPr>
        <w:t>35m</w:t>
      </w:r>
      <w:r>
        <w:rPr>
          <w:rFonts w:hint="eastAsia" w:ascii="宋体" w:hAnsi="宋体" w:eastAsia="宋体" w:cs="宋体"/>
          <w:sz w:val="24"/>
          <w:szCs w:val="24"/>
          <w:lang w:val="en-US" w:eastAsia="zh-CN"/>
        </w:rPr>
        <w:t>。</w:t>
      </w:r>
    </w:p>
    <w:p>
      <w:pPr>
        <w:spacing w:beforeLines="0" w:afterLines="0"/>
        <w:jc w:val="left"/>
        <w:rPr>
          <w:rFonts w:hint="eastAsia" w:ascii="宋体" w:hAnsi="宋体" w:eastAsia="宋体" w:cs="宋体"/>
          <w:sz w:val="24"/>
          <w:szCs w:val="24"/>
          <w:lang w:val="en-US" w:eastAsia="zh-CN"/>
        </w:rPr>
      </w:pPr>
    </w:p>
    <w:p>
      <w:pPr>
        <w:spacing w:beforeLines="0" w:afterLines="0"/>
        <w:jc w:val="left"/>
        <w:rPr>
          <w:rFonts w:hint="eastAsia" w:ascii="宋体" w:hAnsi="宋体" w:eastAsia="宋体" w:cs="宋体"/>
          <w:sz w:val="24"/>
          <w:szCs w:val="24"/>
          <w:lang w:val="en-US" w:eastAsia="zh-CN"/>
        </w:rPr>
      </w:pPr>
    </w:p>
    <w:p>
      <w:pPr>
        <w:spacing w:beforeLines="0" w:afterLines="0"/>
        <w:jc w:val="left"/>
        <w:rPr>
          <w:rFonts w:hint="eastAsia" w:ascii="黑体" w:hAnsi="黑体" w:eastAsia="黑体"/>
          <w:sz w:val="32"/>
        </w:rPr>
      </w:pPr>
      <w:r>
        <w:rPr>
          <w:rFonts w:hint="eastAsia" w:ascii="黑体" w:hAnsi="黑体" w:eastAsia="黑体"/>
          <w:sz w:val="32"/>
        </w:rPr>
        <w:t>附件</w:t>
      </w:r>
    </w:p>
    <w:p>
      <w:pPr>
        <w:spacing w:beforeLines="0" w:afterLines="0"/>
        <w:jc w:val="left"/>
        <w:rPr>
          <w:rFonts w:hint="eastAsia" w:ascii="宋体" w:hAnsi="宋体" w:eastAsia="宋体"/>
          <w:sz w:val="28"/>
        </w:rPr>
      </w:pPr>
      <w:r>
        <w:rPr>
          <w:rFonts w:hint="eastAsia" w:ascii="宋体" w:hAnsi="宋体" w:eastAsia="宋体"/>
          <w:sz w:val="28"/>
        </w:rPr>
        <w:t>附件</w:t>
      </w:r>
      <w:r>
        <w:rPr>
          <w:rFonts w:hint="eastAsia" w:ascii="TimesNewRomanPSMT" w:hAnsi="TimesNewRomanPSMT" w:eastAsia="TimesNewRomanPSMT"/>
          <w:sz w:val="28"/>
        </w:rPr>
        <w:t>1</w:t>
      </w:r>
      <w:r>
        <w:rPr>
          <w:rFonts w:hint="eastAsia" w:ascii="宋体" w:hAnsi="宋体" w:eastAsia="宋体"/>
          <w:sz w:val="28"/>
        </w:rPr>
        <w:t>：</w:t>
      </w:r>
      <w:r>
        <w:rPr>
          <w:rFonts w:hint="eastAsia" w:ascii="宋体" w:hAnsi="宋体" w:eastAsia="宋体"/>
          <w:sz w:val="28"/>
          <w:lang w:val="en-US" w:eastAsia="zh-CN"/>
        </w:rPr>
        <w:t>临汾市生态环境局曲沃分局</w:t>
      </w:r>
      <w:r>
        <w:rPr>
          <w:rFonts w:hint="eastAsia" w:ascii="宋体" w:hAnsi="宋体" w:eastAsia="宋体"/>
          <w:sz w:val="28"/>
        </w:rPr>
        <w:t>委托书</w:t>
      </w:r>
    </w:p>
    <w:p>
      <w:pPr>
        <w:spacing w:beforeLines="0" w:afterLines="0"/>
        <w:jc w:val="left"/>
        <w:rPr>
          <w:rFonts w:hint="eastAsia" w:ascii="宋体" w:hAnsi="宋体" w:eastAsia="宋体"/>
          <w:sz w:val="28"/>
        </w:rPr>
      </w:pPr>
      <w:r>
        <w:rPr>
          <w:rFonts w:hint="eastAsia" w:ascii="宋体" w:hAnsi="宋体" w:eastAsia="宋体"/>
          <w:sz w:val="28"/>
        </w:rPr>
        <w:t>附件</w:t>
      </w:r>
      <w:r>
        <w:rPr>
          <w:rFonts w:hint="eastAsia" w:ascii="TimesNewRomanPSMT" w:hAnsi="TimesNewRomanPSMT" w:eastAsia="TimesNewRomanPSMT"/>
          <w:sz w:val="28"/>
        </w:rPr>
        <w:t>2</w:t>
      </w:r>
      <w:r>
        <w:rPr>
          <w:rFonts w:hint="eastAsia" w:ascii="宋体" w:hAnsi="宋体" w:eastAsia="宋体"/>
          <w:sz w:val="28"/>
        </w:rPr>
        <w:t>：曲沃县声环境监测报告</w:t>
      </w:r>
    </w:p>
    <w:p>
      <w:pPr>
        <w:numPr>
          <w:ilvl w:val="0"/>
          <w:numId w:val="0"/>
        </w:numPr>
        <w:snapToGrid w:val="0"/>
        <w:ind w:firstLine="560" w:firstLineChars="200"/>
        <w:rPr>
          <w:rFonts w:hint="eastAsia" w:ascii="宋体" w:hAnsi="宋体" w:eastAsia="宋体"/>
          <w:sz w:val="24"/>
          <w:lang w:val="en-US" w:eastAsia="zh-CN"/>
        </w:rPr>
      </w:pPr>
      <w:r>
        <w:rPr>
          <w:rFonts w:hint="eastAsia" w:ascii="宋体" w:hAnsi="宋体" w:eastAsia="宋体"/>
          <w:sz w:val="28"/>
        </w:rPr>
        <w:t>附件</w:t>
      </w:r>
      <w:r>
        <w:rPr>
          <w:rFonts w:hint="eastAsia" w:ascii="TimesNewRomanPSMT" w:hAnsi="TimesNewRomanPSMT" w:eastAsia="宋体"/>
          <w:sz w:val="28"/>
          <w:lang w:val="en-US" w:eastAsia="zh-CN"/>
        </w:rPr>
        <w:t>3</w:t>
      </w:r>
      <w:r>
        <w:rPr>
          <w:rFonts w:hint="eastAsia" w:ascii="宋体" w:hAnsi="宋体" w:eastAsia="宋体"/>
          <w:sz w:val="28"/>
        </w:rPr>
        <w:t>：</w:t>
      </w:r>
      <w:r>
        <w:rPr>
          <w:rFonts w:hint="eastAsia" w:ascii="宋体" w:hAnsi="宋体" w:eastAsia="宋体"/>
          <w:sz w:val="28"/>
          <w:lang w:val="en-US" w:eastAsia="zh-CN"/>
        </w:rPr>
        <w:t>意见调查表</w:t>
      </w:r>
    </w:p>
    <w:p>
      <w:pPr>
        <w:numPr>
          <w:ilvl w:val="0"/>
          <w:numId w:val="0"/>
        </w:numPr>
        <w:snapToGrid w:val="0"/>
        <w:ind w:firstLine="560" w:firstLineChars="200"/>
        <w:rPr>
          <w:rFonts w:hint="eastAsia" w:ascii="宋体" w:hAnsi="宋体" w:eastAsia="宋体"/>
          <w:sz w:val="24"/>
          <w:lang w:val="en-US" w:eastAsia="zh-CN"/>
        </w:rPr>
      </w:pPr>
      <w:r>
        <w:rPr>
          <w:rFonts w:hint="eastAsia" w:ascii="宋体" w:hAnsi="宋体" w:eastAsia="宋体"/>
          <w:sz w:val="28"/>
        </w:rPr>
        <w:t>附件</w:t>
      </w:r>
      <w:r>
        <w:rPr>
          <w:rFonts w:hint="eastAsia" w:ascii="TimesNewRomanPSMT" w:hAnsi="TimesNewRomanPSMT" w:eastAsia="宋体"/>
          <w:sz w:val="28"/>
          <w:lang w:val="en-US" w:eastAsia="zh-CN"/>
        </w:rPr>
        <w:t>4</w:t>
      </w:r>
      <w:r>
        <w:rPr>
          <w:rFonts w:hint="eastAsia" w:ascii="宋体" w:hAnsi="宋体" w:eastAsia="宋体"/>
          <w:sz w:val="28"/>
        </w:rPr>
        <w:t>：</w:t>
      </w:r>
      <w:r>
        <w:rPr>
          <w:rFonts w:hint="eastAsia" w:ascii="宋体" w:hAnsi="宋体" w:eastAsia="宋体"/>
          <w:sz w:val="28"/>
          <w:lang w:val="en-US" w:eastAsia="zh-CN"/>
        </w:rPr>
        <w:t>专家意见</w:t>
      </w:r>
    </w:p>
    <w:p>
      <w:pPr>
        <w:numPr>
          <w:ilvl w:val="0"/>
          <w:numId w:val="0"/>
        </w:numPr>
        <w:snapToGrid w:val="0"/>
        <w:rPr>
          <w:rFonts w:hint="default" w:ascii="宋体" w:hAnsi="宋体" w:eastAsia="宋体"/>
          <w:sz w:val="24"/>
        </w:rPr>
      </w:pPr>
    </w:p>
    <w:p>
      <w:pPr>
        <w:numPr>
          <w:ilvl w:val="0"/>
          <w:numId w:val="0"/>
        </w:numPr>
        <w:snapToGrid w:val="0"/>
        <w:rPr>
          <w:rFonts w:hint="default" w:ascii="宋体" w:hAnsi="宋体" w:eastAsia="宋体"/>
          <w:sz w:val="24"/>
        </w:rPr>
      </w:pPr>
    </w:p>
    <w:p>
      <w:pPr>
        <w:numPr>
          <w:ilvl w:val="0"/>
          <w:numId w:val="0"/>
        </w:numPr>
        <w:snapToGrid w:val="0"/>
        <w:rPr>
          <w:rFonts w:hint="default" w:ascii="宋体" w:hAnsi="宋体" w:eastAsia="宋体"/>
          <w:sz w:val="24"/>
        </w:rPr>
      </w:pPr>
    </w:p>
    <w:p>
      <w:pPr>
        <w:numPr>
          <w:ilvl w:val="0"/>
          <w:numId w:val="0"/>
        </w:numPr>
        <w:snapToGrid w:val="0"/>
        <w:rPr>
          <w:rFonts w:hint="default" w:ascii="宋体" w:hAnsi="宋体" w:eastAsia="宋体"/>
          <w:sz w:val="24"/>
        </w:rPr>
      </w:pPr>
    </w:p>
    <w:p>
      <w:pPr>
        <w:numPr>
          <w:ilvl w:val="0"/>
          <w:numId w:val="0"/>
        </w:numPr>
        <w:snapToGrid w:val="0"/>
        <w:rPr>
          <w:rFonts w:hint="default" w:ascii="宋体" w:hAnsi="宋体" w:eastAsia="宋体"/>
          <w:sz w:val="24"/>
        </w:rPr>
      </w:pPr>
    </w:p>
    <w:p>
      <w:pPr>
        <w:numPr>
          <w:ilvl w:val="0"/>
          <w:numId w:val="0"/>
        </w:numPr>
        <w:snapToGrid w:val="0"/>
        <w:rPr>
          <w:rFonts w:hint="default" w:ascii="宋体" w:hAnsi="宋体" w:eastAsia="宋体"/>
          <w:sz w:val="24"/>
        </w:rPr>
      </w:pPr>
    </w:p>
    <w:p>
      <w:pPr>
        <w:numPr>
          <w:ilvl w:val="0"/>
          <w:numId w:val="0"/>
        </w:numPr>
        <w:snapToGrid w:val="0"/>
        <w:rPr>
          <w:rFonts w:hint="default" w:ascii="宋体" w:hAnsi="宋体" w:eastAsia="宋体"/>
          <w:sz w:val="24"/>
        </w:rPr>
      </w:pPr>
    </w:p>
    <w:p>
      <w:pPr>
        <w:numPr>
          <w:ilvl w:val="0"/>
          <w:numId w:val="0"/>
        </w:numPr>
        <w:snapToGrid w:val="0"/>
        <w:rPr>
          <w:rFonts w:hint="default" w:ascii="宋体" w:hAnsi="宋体" w:eastAsia="宋体"/>
          <w:sz w:val="24"/>
        </w:rPr>
      </w:pPr>
    </w:p>
    <w:p>
      <w:pPr>
        <w:numPr>
          <w:ilvl w:val="0"/>
          <w:numId w:val="0"/>
        </w:numPr>
        <w:snapToGrid w:val="0"/>
        <w:rPr>
          <w:rFonts w:hint="default" w:ascii="宋体" w:hAnsi="宋体" w:eastAsia="宋体"/>
          <w:sz w:val="24"/>
        </w:rPr>
      </w:pPr>
    </w:p>
    <w:p>
      <w:pPr>
        <w:numPr>
          <w:ilvl w:val="0"/>
          <w:numId w:val="0"/>
        </w:numPr>
        <w:snapToGrid w:val="0"/>
        <w:rPr>
          <w:rFonts w:hint="default" w:ascii="宋体" w:hAnsi="宋体" w:eastAsia="宋体"/>
          <w:sz w:val="24"/>
        </w:rPr>
      </w:pPr>
    </w:p>
    <w:p>
      <w:pPr>
        <w:numPr>
          <w:ilvl w:val="0"/>
          <w:numId w:val="0"/>
        </w:numPr>
        <w:snapToGrid w:val="0"/>
        <w:rPr>
          <w:rFonts w:hint="default" w:ascii="宋体" w:hAnsi="宋体" w:eastAsia="宋体"/>
          <w:sz w:val="24"/>
        </w:rPr>
      </w:pPr>
    </w:p>
    <w:p>
      <w:pPr>
        <w:numPr>
          <w:ilvl w:val="0"/>
          <w:numId w:val="0"/>
        </w:numPr>
        <w:snapToGrid w:val="0"/>
        <w:rPr>
          <w:rFonts w:hint="default" w:ascii="宋体" w:hAnsi="宋体" w:eastAsia="宋体"/>
          <w:sz w:val="24"/>
        </w:rPr>
      </w:pPr>
    </w:p>
    <w:p>
      <w:pPr>
        <w:numPr>
          <w:ilvl w:val="0"/>
          <w:numId w:val="0"/>
        </w:numPr>
        <w:snapToGrid w:val="0"/>
        <w:rPr>
          <w:rFonts w:hint="default" w:ascii="宋体" w:hAnsi="宋体" w:eastAsia="宋体"/>
          <w:sz w:val="24"/>
        </w:rPr>
      </w:pPr>
    </w:p>
    <w:p>
      <w:pPr>
        <w:numPr>
          <w:ilvl w:val="0"/>
          <w:numId w:val="0"/>
        </w:numPr>
        <w:snapToGrid w:val="0"/>
        <w:rPr>
          <w:rFonts w:hint="default" w:ascii="宋体" w:hAnsi="宋体" w:eastAsia="宋体"/>
          <w:sz w:val="24"/>
        </w:rPr>
      </w:pPr>
    </w:p>
    <w:p>
      <w:pPr>
        <w:numPr>
          <w:ilvl w:val="0"/>
          <w:numId w:val="0"/>
        </w:numPr>
        <w:snapToGrid w:val="0"/>
        <w:rPr>
          <w:rFonts w:hint="default" w:ascii="宋体" w:hAnsi="宋体" w:eastAsia="宋体"/>
          <w:sz w:val="24"/>
        </w:rPr>
      </w:pPr>
    </w:p>
    <w:p>
      <w:pPr>
        <w:numPr>
          <w:ilvl w:val="0"/>
          <w:numId w:val="0"/>
        </w:numPr>
        <w:snapToGrid w:val="0"/>
        <w:rPr>
          <w:rFonts w:hint="default" w:ascii="宋体" w:hAnsi="宋体" w:eastAsia="宋体"/>
          <w:sz w:val="24"/>
        </w:rPr>
      </w:pPr>
    </w:p>
    <w:p>
      <w:pPr>
        <w:numPr>
          <w:ilvl w:val="0"/>
          <w:numId w:val="0"/>
        </w:numPr>
        <w:snapToGrid w:val="0"/>
        <w:rPr>
          <w:rFonts w:hint="default" w:ascii="宋体" w:hAnsi="宋体" w:eastAsia="宋体"/>
          <w:sz w:val="24"/>
        </w:rPr>
      </w:pPr>
    </w:p>
    <w:p>
      <w:pPr>
        <w:numPr>
          <w:ilvl w:val="0"/>
          <w:numId w:val="0"/>
        </w:numPr>
        <w:snapToGrid w:val="0"/>
        <w:rPr>
          <w:rFonts w:hint="default" w:ascii="宋体" w:hAnsi="宋体" w:eastAsia="宋体"/>
          <w:sz w:val="24"/>
        </w:rPr>
      </w:pPr>
    </w:p>
    <w:p>
      <w:pPr>
        <w:numPr>
          <w:ilvl w:val="0"/>
          <w:numId w:val="0"/>
        </w:numPr>
        <w:snapToGrid w:val="0"/>
        <w:rPr>
          <w:rFonts w:hint="default" w:ascii="宋体" w:hAnsi="宋体" w:eastAsia="宋体"/>
          <w:sz w:val="24"/>
        </w:rPr>
      </w:pPr>
    </w:p>
    <w:p>
      <w:pPr>
        <w:numPr>
          <w:ilvl w:val="0"/>
          <w:numId w:val="0"/>
        </w:numPr>
        <w:snapToGrid w:val="0"/>
        <w:rPr>
          <w:rFonts w:hint="default" w:ascii="宋体" w:hAnsi="宋体" w:eastAsia="宋体"/>
          <w:sz w:val="24"/>
        </w:rPr>
      </w:pPr>
    </w:p>
    <w:p>
      <w:pPr>
        <w:numPr>
          <w:ilvl w:val="0"/>
          <w:numId w:val="0"/>
        </w:numPr>
        <w:snapToGrid w:val="0"/>
        <w:rPr>
          <w:rFonts w:hint="default" w:ascii="宋体" w:hAnsi="宋体" w:eastAsia="宋体"/>
          <w:sz w:val="24"/>
        </w:rPr>
      </w:pPr>
    </w:p>
    <w:p>
      <w:pPr>
        <w:spacing w:beforeLines="0" w:afterLines="0"/>
        <w:ind w:left="0" w:leftChars="0" w:firstLine="0" w:firstLineChars="0"/>
        <w:jc w:val="both"/>
        <w:rPr>
          <w:rFonts w:hint="eastAsia" w:ascii="宋体" w:hAnsi="宋体"/>
          <w:b/>
          <w:bCs/>
          <w:sz w:val="36"/>
          <w:szCs w:val="36"/>
        </w:rPr>
        <w:sectPr>
          <w:pgSz w:w="11906" w:h="16838"/>
          <w:pgMar w:top="1440" w:right="1797" w:bottom="1440" w:left="179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spacing w:beforeLines="0" w:afterLines="0"/>
        <w:ind w:left="0" w:leftChars="0" w:firstLine="0" w:firstLineChars="0"/>
        <w:jc w:val="center"/>
        <w:rPr>
          <w:rFonts w:hint="eastAsia" w:ascii="宋体" w:hAnsi="宋体"/>
          <w:b/>
          <w:bCs/>
          <w:sz w:val="36"/>
          <w:szCs w:val="36"/>
        </w:rPr>
      </w:pPr>
      <w:r>
        <w:rPr>
          <w:rFonts w:hint="eastAsia" w:ascii="宋体" w:hAnsi="宋体"/>
          <w:b/>
          <w:bCs/>
          <w:sz w:val="36"/>
          <w:szCs w:val="36"/>
        </w:rPr>
        <w:t>委 托 书</w:t>
      </w:r>
    </w:p>
    <w:p>
      <w:pPr>
        <w:spacing w:beforeLines="0" w:afterLines="0"/>
        <w:jc w:val="left"/>
        <w:rPr>
          <w:rFonts w:hint="eastAsia" w:ascii="宋体" w:hAnsi="宋体"/>
          <w:sz w:val="28"/>
        </w:rPr>
      </w:pPr>
    </w:p>
    <w:p>
      <w:pPr>
        <w:spacing w:beforeLines="0" w:afterLines="0"/>
        <w:jc w:val="left"/>
        <w:rPr>
          <w:rFonts w:hint="eastAsia" w:ascii="宋体" w:hAnsi="宋体"/>
          <w:sz w:val="28"/>
        </w:rPr>
      </w:pPr>
    </w:p>
    <w:p>
      <w:pPr>
        <w:spacing w:beforeLines="0" w:afterLines="0"/>
        <w:ind w:left="0" w:leftChars="0" w:firstLine="0" w:firstLineChars="0"/>
        <w:jc w:val="left"/>
        <w:rPr>
          <w:rFonts w:hint="eastAsia" w:ascii="宋体" w:hAnsi="宋体"/>
          <w:sz w:val="28"/>
        </w:rPr>
      </w:pPr>
      <w:r>
        <w:rPr>
          <w:rFonts w:hint="eastAsia" w:ascii="宋体" w:hAnsi="宋体"/>
          <w:sz w:val="28"/>
        </w:rPr>
        <w:t>山西智慧环保管家发展有限公司：</w:t>
      </w:r>
    </w:p>
    <w:p>
      <w:pPr>
        <w:spacing w:beforeLines="0" w:afterLines="0"/>
        <w:jc w:val="left"/>
        <w:rPr>
          <w:rFonts w:hint="eastAsia" w:ascii="宋体" w:hAnsi="宋体"/>
          <w:sz w:val="28"/>
        </w:rPr>
      </w:pPr>
      <w:r>
        <w:rPr>
          <w:rFonts w:hint="eastAsia" w:ascii="宋体" w:hAnsi="宋体"/>
          <w:sz w:val="28"/>
        </w:rPr>
        <w:t>根据国家环境保护部发布的《中华人民共和国噪声污染防治法》、</w:t>
      </w:r>
    </w:p>
    <w:p>
      <w:pPr>
        <w:spacing w:beforeLines="0" w:afterLines="0"/>
        <w:ind w:left="0" w:leftChars="0" w:firstLine="0" w:firstLineChars="0"/>
        <w:jc w:val="left"/>
        <w:rPr>
          <w:rFonts w:hint="eastAsia" w:ascii="宋体" w:hAnsi="宋体"/>
          <w:sz w:val="28"/>
        </w:rPr>
      </w:pPr>
      <w:r>
        <w:rPr>
          <w:rFonts w:hint="eastAsia" w:ascii="宋体" w:hAnsi="宋体"/>
          <w:sz w:val="28"/>
        </w:rPr>
        <w:t>《关于加强环境噪声污染防治工作改善城乡声环境质量的指导意见》</w:t>
      </w:r>
    </w:p>
    <w:p>
      <w:pPr>
        <w:spacing w:beforeLines="0" w:afterLines="0"/>
        <w:ind w:left="0" w:leftChars="0" w:firstLine="0" w:firstLineChars="0"/>
        <w:jc w:val="left"/>
        <w:rPr>
          <w:rFonts w:hint="eastAsia" w:ascii="宋体" w:hAnsi="宋体"/>
          <w:sz w:val="28"/>
        </w:rPr>
      </w:pPr>
      <w:r>
        <w:rPr>
          <w:rFonts w:hint="eastAsia" w:ascii="宋体" w:hAnsi="宋体"/>
          <w:sz w:val="28"/>
        </w:rPr>
        <w:t>等一系列法律法规及相关文件和山西省环境保护厅以晋环发</w:t>
      </w:r>
      <w:r>
        <w:rPr>
          <w:rFonts w:hint="eastAsia" w:ascii="方正小标宋简体" w:hAnsi="方正小标宋简体" w:eastAsia="方正小标宋简体" w:cs="方正小标宋简体"/>
          <w:sz w:val="28"/>
        </w:rPr>
        <w:t>〔</w:t>
      </w:r>
      <w:r>
        <w:rPr>
          <w:rFonts w:hint="default" w:ascii="Times New Roman" w:hAnsi="Times New Roman" w:eastAsia="Times New Roman"/>
          <w:sz w:val="28"/>
        </w:rPr>
        <w:t>2014</w:t>
      </w:r>
      <w:r>
        <w:rPr>
          <w:rFonts w:hint="eastAsia" w:ascii="方正小标宋简体" w:hAnsi="方正小标宋简体" w:eastAsia="方正小标宋简体" w:cs="方正小标宋简体"/>
          <w:sz w:val="28"/>
        </w:rPr>
        <w:t>〕</w:t>
      </w:r>
    </w:p>
    <w:p>
      <w:pPr>
        <w:spacing w:beforeLines="0" w:afterLines="0"/>
        <w:ind w:left="0" w:leftChars="0" w:firstLine="0" w:firstLineChars="0"/>
        <w:jc w:val="left"/>
        <w:rPr>
          <w:rFonts w:hint="eastAsia" w:ascii="宋体" w:hAnsi="宋体"/>
          <w:sz w:val="28"/>
        </w:rPr>
      </w:pPr>
      <w:r>
        <w:rPr>
          <w:rFonts w:hint="default" w:ascii="Times New Roman" w:hAnsi="Times New Roman" w:eastAsia="Times New Roman"/>
          <w:sz w:val="28"/>
        </w:rPr>
        <w:t xml:space="preserve">78 </w:t>
      </w:r>
      <w:r>
        <w:rPr>
          <w:rFonts w:hint="eastAsia" w:ascii="宋体" w:hAnsi="宋体"/>
          <w:sz w:val="28"/>
        </w:rPr>
        <w:t>号文发布的“关于规范城镇声环境功能区划分和调整工作的通知</w:t>
      </w:r>
    </w:p>
    <w:p>
      <w:pPr>
        <w:spacing w:beforeLines="0" w:afterLines="0"/>
        <w:ind w:left="0" w:leftChars="0" w:firstLine="0" w:firstLineChars="0"/>
        <w:jc w:val="left"/>
        <w:rPr>
          <w:rFonts w:hint="eastAsia" w:ascii="宋体" w:hAnsi="宋体"/>
          <w:sz w:val="28"/>
        </w:rPr>
      </w:pPr>
      <w:r>
        <w:rPr>
          <w:rFonts w:hint="eastAsia" w:ascii="宋体" w:hAnsi="宋体"/>
          <w:sz w:val="28"/>
        </w:rPr>
        <w:t>精神，按照山西省生态环境厅办公室《关于做好机动车和噪声环境管</w:t>
      </w:r>
    </w:p>
    <w:p>
      <w:pPr>
        <w:spacing w:beforeLines="0" w:afterLines="0"/>
        <w:ind w:left="0" w:leftChars="0" w:firstLine="0" w:firstLineChars="0"/>
        <w:jc w:val="left"/>
        <w:rPr>
          <w:rFonts w:hint="eastAsia" w:ascii="宋体" w:hAnsi="宋体"/>
          <w:sz w:val="28"/>
        </w:rPr>
      </w:pPr>
      <w:r>
        <w:rPr>
          <w:rFonts w:hint="eastAsia" w:ascii="宋体" w:hAnsi="宋体"/>
          <w:sz w:val="28"/>
        </w:rPr>
        <w:t>理</w:t>
      </w:r>
      <w:r>
        <w:rPr>
          <w:rFonts w:hint="default" w:ascii="ËÎÌå" w:hAnsi="ËÎÌå" w:eastAsia="ËÎÌå"/>
          <w:sz w:val="28"/>
        </w:rPr>
        <w:t>2020</w:t>
      </w:r>
      <w:r>
        <w:rPr>
          <w:rFonts w:hint="eastAsia" w:ascii="宋体" w:hAnsi="宋体"/>
          <w:sz w:val="28"/>
        </w:rPr>
        <w:t>年重点工作的通知》（晋环办机动车</w:t>
      </w:r>
      <w:r>
        <w:rPr>
          <w:rFonts w:hint="eastAsia" w:ascii="方正小标宋简体" w:hAnsi="方正小标宋简体" w:eastAsia="方正小标宋简体" w:cs="方正小标宋简体"/>
          <w:sz w:val="28"/>
        </w:rPr>
        <w:t>〔</w:t>
      </w:r>
      <w:r>
        <w:rPr>
          <w:rFonts w:hint="default" w:ascii="ËÎÌå" w:hAnsi="ËÎÌå" w:eastAsia="ËÎÌå"/>
          <w:sz w:val="28"/>
        </w:rPr>
        <w:t>2020</w:t>
      </w:r>
      <w:r>
        <w:rPr>
          <w:rFonts w:hint="eastAsia" w:ascii="方正小标宋简体" w:hAnsi="方正小标宋简体" w:eastAsia="方正小标宋简体" w:cs="方正小标宋简体"/>
          <w:sz w:val="28"/>
        </w:rPr>
        <w:t>〕</w:t>
      </w:r>
      <w:r>
        <w:rPr>
          <w:rFonts w:hint="default" w:ascii="ËÎÌå" w:hAnsi="ËÎÌå" w:eastAsia="ËÎÌå"/>
          <w:sz w:val="28"/>
        </w:rPr>
        <w:t>3</w:t>
      </w:r>
      <w:r>
        <w:rPr>
          <w:rFonts w:hint="eastAsia" w:ascii="宋体" w:hAnsi="宋体"/>
          <w:sz w:val="28"/>
        </w:rPr>
        <w:t>号）要求，我县将开展对声环境功能区划的调整工作，编制《</w:t>
      </w:r>
      <w:r>
        <w:rPr>
          <w:rFonts w:hint="eastAsia" w:ascii="宋体" w:hAnsi="宋体"/>
          <w:sz w:val="28"/>
          <w:lang w:val="en-US" w:eastAsia="zh-CN"/>
        </w:rPr>
        <w:t>曲沃</w:t>
      </w:r>
      <w:r>
        <w:rPr>
          <w:rFonts w:hint="eastAsia" w:ascii="宋体" w:hAnsi="宋体"/>
          <w:sz w:val="28"/>
        </w:rPr>
        <w:t>县城市区域声环境功能区划分调整技术报告》，特委托贵单位承担此项工作，望接受委托后，尽快开展工作。</w:t>
      </w:r>
    </w:p>
    <w:p>
      <w:pPr>
        <w:spacing w:beforeLines="0" w:afterLines="0"/>
        <w:jc w:val="left"/>
        <w:rPr>
          <w:rFonts w:hint="eastAsia" w:ascii="宋体" w:hAnsi="宋体"/>
          <w:sz w:val="28"/>
        </w:rPr>
      </w:pPr>
    </w:p>
    <w:p>
      <w:pPr>
        <w:spacing w:beforeLines="0" w:afterLines="0"/>
        <w:jc w:val="left"/>
        <w:rPr>
          <w:rFonts w:hint="eastAsia" w:ascii="宋体" w:hAnsi="宋体"/>
          <w:sz w:val="28"/>
        </w:rPr>
      </w:pPr>
    </w:p>
    <w:p>
      <w:pPr>
        <w:spacing w:beforeLines="0" w:afterLines="0"/>
        <w:jc w:val="left"/>
        <w:rPr>
          <w:rFonts w:hint="eastAsia" w:ascii="宋体" w:hAnsi="宋体"/>
          <w:sz w:val="28"/>
        </w:rPr>
      </w:pPr>
    </w:p>
    <w:p>
      <w:pPr>
        <w:spacing w:beforeLines="0" w:afterLines="0"/>
        <w:jc w:val="center"/>
        <w:rPr>
          <w:rFonts w:hint="eastAsia" w:ascii="宋体" w:hAnsi="宋体"/>
          <w:sz w:val="28"/>
        </w:rPr>
      </w:pPr>
      <w:r>
        <w:rPr>
          <w:rFonts w:hint="eastAsia" w:ascii="宋体" w:hAnsi="宋体"/>
          <w:sz w:val="28"/>
          <w:lang w:val="en-US" w:eastAsia="zh-CN"/>
        </w:rPr>
        <w:t xml:space="preserve">              </w:t>
      </w:r>
      <w:r>
        <w:rPr>
          <w:rFonts w:hint="eastAsia" w:ascii="宋体" w:hAnsi="宋体"/>
          <w:sz w:val="28"/>
        </w:rPr>
        <w:t>委托单位：</w:t>
      </w:r>
      <w:r>
        <w:rPr>
          <w:rFonts w:hint="eastAsia" w:ascii="宋体" w:hAnsi="宋体"/>
          <w:sz w:val="28"/>
          <w:lang w:val="en-US" w:eastAsia="zh-CN"/>
        </w:rPr>
        <w:t>临汾</w:t>
      </w:r>
      <w:r>
        <w:rPr>
          <w:rFonts w:hint="eastAsia" w:ascii="宋体" w:hAnsi="宋体"/>
          <w:sz w:val="28"/>
        </w:rPr>
        <w:t>市生态环境局</w:t>
      </w:r>
      <w:r>
        <w:rPr>
          <w:rFonts w:hint="eastAsia" w:ascii="宋体" w:hAnsi="宋体"/>
          <w:sz w:val="28"/>
          <w:lang w:val="en-US" w:eastAsia="zh-CN"/>
        </w:rPr>
        <w:t>曲沃</w:t>
      </w:r>
      <w:r>
        <w:rPr>
          <w:rFonts w:hint="eastAsia" w:ascii="宋体" w:hAnsi="宋体"/>
          <w:sz w:val="28"/>
        </w:rPr>
        <w:t>分局</w:t>
      </w:r>
    </w:p>
    <w:p>
      <w:pPr>
        <w:numPr>
          <w:ilvl w:val="0"/>
          <w:numId w:val="0"/>
        </w:numPr>
        <w:snapToGrid w:val="0"/>
        <w:ind w:firstLine="1120" w:firstLineChars="400"/>
        <w:jc w:val="center"/>
        <w:rPr>
          <w:rFonts w:hint="eastAsia" w:ascii="宋体" w:hAnsi="宋体"/>
          <w:sz w:val="28"/>
        </w:rPr>
      </w:pPr>
      <w:r>
        <w:rPr>
          <w:rFonts w:hint="eastAsia" w:ascii="宋体" w:hAnsi="宋体"/>
          <w:sz w:val="28"/>
          <w:lang w:val="en-US" w:eastAsia="zh-CN"/>
        </w:rPr>
        <w:t xml:space="preserve">          </w:t>
      </w:r>
      <w:r>
        <w:rPr>
          <w:rFonts w:hint="eastAsia" w:ascii="宋体" w:hAnsi="宋体"/>
          <w:sz w:val="28"/>
        </w:rPr>
        <w:t>委托时间：</w:t>
      </w:r>
      <w:r>
        <w:rPr>
          <w:rFonts w:hint="default" w:ascii="Times New Roman" w:hAnsi="Times New Roman" w:eastAsia="Times New Roman"/>
          <w:sz w:val="28"/>
        </w:rPr>
        <w:t xml:space="preserve">2020 </w:t>
      </w:r>
      <w:r>
        <w:rPr>
          <w:rFonts w:hint="eastAsia" w:ascii="宋体" w:hAnsi="宋体"/>
          <w:sz w:val="28"/>
        </w:rPr>
        <w:t>年</w:t>
      </w:r>
      <w:r>
        <w:rPr>
          <w:rFonts w:hint="default" w:ascii="Times New Roman" w:hAnsi="Times New Roman" w:eastAsia="Times New Roman"/>
          <w:sz w:val="28"/>
        </w:rPr>
        <w:t xml:space="preserve">6 </w:t>
      </w:r>
      <w:r>
        <w:rPr>
          <w:rFonts w:hint="eastAsia" w:ascii="宋体" w:hAnsi="宋体"/>
          <w:sz w:val="28"/>
        </w:rPr>
        <w:t>月</w:t>
      </w:r>
      <w:r>
        <w:rPr>
          <w:rFonts w:hint="default" w:ascii="Times New Roman" w:hAnsi="Times New Roman" w:eastAsia="Times New Roman"/>
          <w:sz w:val="28"/>
        </w:rPr>
        <w:t xml:space="preserve">8 </w:t>
      </w:r>
      <w:r>
        <w:rPr>
          <w:rFonts w:hint="eastAsia" w:ascii="宋体" w:hAnsi="宋体"/>
          <w:sz w:val="28"/>
        </w:rPr>
        <w:t>日</w:t>
      </w: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674624" behindDoc="1" locked="0" layoutInCell="1" allowOverlap="1">
            <wp:simplePos x="0" y="0"/>
            <wp:positionH relativeFrom="column">
              <wp:posOffset>-2665095</wp:posOffset>
            </wp:positionH>
            <wp:positionV relativeFrom="paragraph">
              <wp:posOffset>904875</wp:posOffset>
            </wp:positionV>
            <wp:extent cx="10440035" cy="7383145"/>
            <wp:effectExtent l="0" t="0" r="8255" b="18415"/>
            <wp:wrapNone/>
            <wp:docPr id="7" name="图片 7" descr="A200曲沃县城市区域声环境功能区划分调整环境质量现状噪声监测_页面_0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7" descr="A200曲沃县城市区域声环境功能区划分调整环境质量现状噪声监测_页面_01"/>
                    <pic:cNvPicPr>
                      <a:picLocks noChangeAspect="true"/>
                    </pic:cNvPicPr>
                  </pic:nvPicPr>
                  <pic:blipFill>
                    <a:blip r:embed="rId57"/>
                    <a:stretch>
                      <a:fillRect/>
                    </a:stretch>
                  </pic:blipFill>
                  <pic:spPr>
                    <a:xfrm rot="16200000">
                      <a:off x="0" y="0"/>
                      <a:ext cx="10440035" cy="7383145"/>
                    </a:xfrm>
                    <a:prstGeom prst="rect">
                      <a:avLst/>
                    </a:prstGeom>
                  </pic:spPr>
                </pic:pic>
              </a:graphicData>
            </a:graphic>
          </wp:anchor>
        </w:drawing>
      </w: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sz w:val="28"/>
        </w:rPr>
      </w:pP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675648" behindDoc="1" locked="0" layoutInCell="1" allowOverlap="1">
            <wp:simplePos x="0" y="0"/>
            <wp:positionH relativeFrom="column">
              <wp:posOffset>711200</wp:posOffset>
            </wp:positionH>
            <wp:positionV relativeFrom="paragraph">
              <wp:posOffset>-345440</wp:posOffset>
            </wp:positionV>
            <wp:extent cx="7561580" cy="10692130"/>
            <wp:effectExtent l="0" t="0" r="1270" b="13970"/>
            <wp:wrapTight wrapText="bothSides">
              <wp:wrapPolygon>
                <wp:start x="0" y="0"/>
                <wp:lineTo x="0" y="21551"/>
                <wp:lineTo x="21549" y="21551"/>
                <wp:lineTo x="21549" y="0"/>
                <wp:lineTo x="0" y="0"/>
              </wp:wrapPolygon>
            </wp:wrapTight>
            <wp:docPr id="2" name="图片 2" descr="修改    曲沃县城市区域声环境功能区划分调整环境质量现状噪声监测_页面_0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修改    曲沃县城市区域声环境功能区划分调整环境质量现状噪声监测_页面_02"/>
                    <pic:cNvPicPr>
                      <a:picLocks noChangeAspect="true"/>
                    </pic:cNvPicPr>
                  </pic:nvPicPr>
                  <pic:blipFill>
                    <a:blip r:embed="rId58"/>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706368" behindDoc="1" locked="0" layoutInCell="1" allowOverlap="1">
            <wp:simplePos x="0" y="0"/>
            <wp:positionH relativeFrom="column">
              <wp:posOffset>-2607945</wp:posOffset>
            </wp:positionH>
            <wp:positionV relativeFrom="paragraph">
              <wp:posOffset>800100</wp:posOffset>
            </wp:positionV>
            <wp:extent cx="10690225" cy="7560310"/>
            <wp:effectExtent l="0" t="5715" r="65405" b="29210"/>
            <wp:wrapNone/>
            <wp:docPr id="31" name="图片 31" descr="A200曲沃县城市区域声环境功能区划分调整环境质量现状噪声监测(1)_页面_0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1" name="图片 31" descr="A200曲沃县城市区域声环境功能区划分调整环境质量现状噪声监测(1)_页面_02"/>
                    <pic:cNvPicPr>
                      <a:picLocks noChangeAspect="true"/>
                    </pic:cNvPicPr>
                  </pic:nvPicPr>
                  <pic:blipFill>
                    <a:blip r:embed="rId59"/>
                    <a:stretch>
                      <a:fillRect/>
                    </a:stretch>
                  </pic:blipFill>
                  <pic:spPr>
                    <a:xfrm rot="16200000">
                      <a:off x="0" y="0"/>
                      <a:ext cx="10690225" cy="756031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706368" behindDoc="1" locked="0" layoutInCell="1" allowOverlap="1">
            <wp:simplePos x="0" y="0"/>
            <wp:positionH relativeFrom="column">
              <wp:posOffset>-2670175</wp:posOffset>
            </wp:positionH>
            <wp:positionV relativeFrom="paragraph">
              <wp:posOffset>819150</wp:posOffset>
            </wp:positionV>
            <wp:extent cx="10690860" cy="7560310"/>
            <wp:effectExtent l="33020" t="0" r="0" b="0"/>
            <wp:wrapNone/>
            <wp:docPr id="32" name="图片 32" descr="A200曲沃县城市区域声环境功能区划分调整环境质量现状噪声监测(1)_页面_0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2" name="图片 32" descr="A200曲沃县城市区域声环境功能区划分调整环境质量现状噪声监测(1)_页面_03"/>
                    <pic:cNvPicPr>
                      <a:picLocks noChangeAspect="true"/>
                    </pic:cNvPicPr>
                  </pic:nvPicPr>
                  <pic:blipFill>
                    <a:blip r:embed="rId60"/>
                    <a:stretch>
                      <a:fillRect/>
                    </a:stretch>
                  </pic:blipFill>
                  <pic:spPr>
                    <a:xfrm rot="16200000">
                      <a:off x="0" y="0"/>
                      <a:ext cx="10690860" cy="756031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706368"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33" name="图片 33" descr="A200曲沃县城市区域声环境功能区划分调整环境质量现状噪声监测(1)_页面_0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3" name="图片 33" descr="A200曲沃县城市区域声环境功能区划分调整环境质量现状噪声监测(1)_页面_04"/>
                    <pic:cNvPicPr>
                      <a:picLocks noChangeAspect="true"/>
                    </pic:cNvPicPr>
                  </pic:nvPicPr>
                  <pic:blipFill>
                    <a:blip r:embed="rId61"/>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91040"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63" name="图片 63" descr="A200曲沃县城市区域声环境功能区划分调整环境质量现状噪声监测(1)_页面_0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3" name="图片 63" descr="A200曲沃县城市区域声环境功能区划分调整环境质量现状噪声监测(1)_页面_05"/>
                    <pic:cNvPicPr>
                      <a:picLocks noChangeAspect="true"/>
                    </pic:cNvPicPr>
                  </pic:nvPicPr>
                  <pic:blipFill>
                    <a:blip r:embed="rId62"/>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757568"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35" name="图片 35" descr="A200曲沃县城市区域声环境功能区划分调整环境质量现状噪声监测(1)_页面_0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5" name="图片 35" descr="A200曲沃县城市区域声环境功能区划分调整环境质量现状噪声监测(1)_页面_06"/>
                    <pic:cNvPicPr>
                      <a:picLocks noChangeAspect="true"/>
                    </pic:cNvPicPr>
                  </pic:nvPicPr>
                  <pic:blipFill>
                    <a:blip r:embed="rId63"/>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758592"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36" name="图片 36" descr="A200曲沃县城市区域声环境功能区划分调整环境质量现状噪声监测(1)_页面_0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6" name="图片 36" descr="A200曲沃县城市区域声环境功能区划分调整环境质量现状噪声监测(1)_页面_07"/>
                    <pic:cNvPicPr>
                      <a:picLocks noChangeAspect="true"/>
                    </pic:cNvPicPr>
                  </pic:nvPicPr>
                  <pic:blipFill>
                    <a:blip r:embed="rId64"/>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759616"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37" name="图片 37" descr="A200曲沃县城市区域声环境功能区划分调整环境质量现状噪声监测(1)_页面_0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7" name="图片 37" descr="A200曲沃县城市区域声环境功能区划分调整环境质量现状噪声监测(1)_页面_08"/>
                    <pic:cNvPicPr>
                      <a:picLocks noChangeAspect="true"/>
                    </pic:cNvPicPr>
                  </pic:nvPicPr>
                  <pic:blipFill>
                    <a:blip r:embed="rId65"/>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65440" behindDoc="1" locked="0" layoutInCell="1" allowOverlap="1">
            <wp:simplePos x="0" y="0"/>
            <wp:positionH relativeFrom="column">
              <wp:posOffset>-8837295</wp:posOffset>
            </wp:positionH>
            <wp:positionV relativeFrom="paragraph">
              <wp:posOffset>-1507490</wp:posOffset>
            </wp:positionV>
            <wp:extent cx="7561580" cy="10692130"/>
            <wp:effectExtent l="0" t="0" r="1270" b="13970"/>
            <wp:wrapTight wrapText="bothSides">
              <wp:wrapPolygon>
                <wp:start x="0" y="0"/>
                <wp:lineTo x="0" y="21551"/>
                <wp:lineTo x="21549" y="21551"/>
                <wp:lineTo x="21549" y="0"/>
                <wp:lineTo x="0" y="0"/>
              </wp:wrapPolygon>
            </wp:wrapTight>
            <wp:docPr id="38" name="图片 38" descr="A200曲沃县城市区域声环境功能区划分调整环境质量现状噪声监测(1)_页面_0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8" name="图片 38" descr="A200曲沃县城市区域声环境功能区划分调整环境质量现状噪声监测(1)_页面_09"/>
                    <pic:cNvPicPr>
                      <a:picLocks noChangeAspect="true"/>
                    </pic:cNvPicPr>
                  </pic:nvPicPr>
                  <pic:blipFill>
                    <a:blip r:embed="rId66"/>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66464"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39" name="图片 39" descr="A200曲沃县城市区域声环境功能区划分调整环境质量现状噪声监测(1)_页面_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9" name="图片 39" descr="A200曲沃县城市区域声环境功能区划分调整环境质量现状噪声监测(1)_页面_10"/>
                    <pic:cNvPicPr>
                      <a:picLocks noChangeAspect="true"/>
                    </pic:cNvPicPr>
                  </pic:nvPicPr>
                  <pic:blipFill>
                    <a:blip r:embed="rId67"/>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67488"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40" name="图片 40" descr="A200曲沃县城市区域声环境功能区划分调整环境质量现状噪声监测(1)_页面_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0" name="图片 40" descr="A200曲沃县城市区域声环境功能区划分调整环境质量现状噪声监测(1)_页面_11"/>
                    <pic:cNvPicPr>
                      <a:picLocks noChangeAspect="true"/>
                    </pic:cNvPicPr>
                  </pic:nvPicPr>
                  <pic:blipFill>
                    <a:blip r:embed="rId68"/>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68512"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41" name="图片 41" descr="A200曲沃县城市区域声环境功能区划分调整环境质量现状噪声监测(1)_页面_1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1" name="图片 41" descr="A200曲沃县城市区域声环境功能区划分调整环境质量现状噪声监测(1)_页面_12"/>
                    <pic:cNvPicPr>
                      <a:picLocks noChangeAspect="true"/>
                    </pic:cNvPicPr>
                  </pic:nvPicPr>
                  <pic:blipFill>
                    <a:blip r:embed="rId69"/>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69536"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42" name="图片 42" descr="A200曲沃县城市区域声环境功能区划分调整环境质量现状噪声监测(1)_页面_1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2" name="图片 42" descr="A200曲沃县城市区域声环境功能区划分调整环境质量现状噪声监测(1)_页面_13"/>
                    <pic:cNvPicPr>
                      <a:picLocks noChangeAspect="true"/>
                    </pic:cNvPicPr>
                  </pic:nvPicPr>
                  <pic:blipFill>
                    <a:blip r:embed="rId70"/>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70560"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43" name="图片 43" descr="A200曲沃县城市区域声环境功能区划分调整环境质量现状噪声监测(1)_页面_1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3" name="图片 43" descr="A200曲沃县城市区域声环境功能区划分调整环境质量现状噪声监测(1)_页面_14"/>
                    <pic:cNvPicPr>
                      <a:picLocks noChangeAspect="true"/>
                    </pic:cNvPicPr>
                  </pic:nvPicPr>
                  <pic:blipFill>
                    <a:blip r:embed="rId71"/>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71584"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44" name="图片 44" descr="A200曲沃县城市区域声环境功能区划分调整环境质量现状噪声监测(1)_页面_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4" name="图片 44" descr="A200曲沃县城市区域声环境功能区划分调整环境质量现状噪声监测(1)_页面_15"/>
                    <pic:cNvPicPr>
                      <a:picLocks noChangeAspect="true"/>
                    </pic:cNvPicPr>
                  </pic:nvPicPr>
                  <pic:blipFill>
                    <a:blip r:embed="rId72"/>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72608"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45" name="图片 45" descr="A200曲沃县城市区域声环境功能区划分调整环境质量现状噪声监测(1)_页面_1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5" name="图片 45" descr="A200曲沃县城市区域声环境功能区划分调整环境质量现状噪声监测(1)_页面_16"/>
                    <pic:cNvPicPr>
                      <a:picLocks noChangeAspect="true"/>
                    </pic:cNvPicPr>
                  </pic:nvPicPr>
                  <pic:blipFill>
                    <a:blip r:embed="rId73"/>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73632"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46" name="图片 46" descr="A200曲沃县城市区域声环境功能区划分调整环境质量现状噪声监测(1)_页面_1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6" name="图片 46" descr="A200曲沃县城市区域声环境功能区划分调整环境质量现状噪声监测(1)_页面_17"/>
                    <pic:cNvPicPr>
                      <a:picLocks noChangeAspect="true"/>
                    </pic:cNvPicPr>
                  </pic:nvPicPr>
                  <pic:blipFill>
                    <a:blip r:embed="rId74"/>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74656"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47" name="图片 47" descr="A200曲沃县城市区域声环境功能区划分调整环境质量现状噪声监测(1)_页面_1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7" name="图片 47" descr="A200曲沃县城市区域声环境功能区划分调整环境质量现状噪声监测(1)_页面_18"/>
                    <pic:cNvPicPr>
                      <a:picLocks noChangeAspect="true"/>
                    </pic:cNvPicPr>
                  </pic:nvPicPr>
                  <pic:blipFill>
                    <a:blip r:embed="rId75"/>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75680"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48" name="图片 48" descr="A200曲沃县城市区域声环境功能区划分调整环境质量现状噪声监测(1)_页面_1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8" name="图片 48" descr="A200曲沃县城市区域声环境功能区划分调整环境质量现状噪声监测(1)_页面_19"/>
                    <pic:cNvPicPr>
                      <a:picLocks noChangeAspect="true"/>
                    </pic:cNvPicPr>
                  </pic:nvPicPr>
                  <pic:blipFill>
                    <a:blip r:embed="rId76"/>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76704"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49" name="图片 49" descr="A200曲沃县城市区域声环境功能区划分调整环境质量现状噪声监测(1)_页面_2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9" name="图片 49" descr="A200曲沃县城市区域声环境功能区划分调整环境质量现状噪声监测(1)_页面_20"/>
                    <pic:cNvPicPr>
                      <a:picLocks noChangeAspect="true"/>
                    </pic:cNvPicPr>
                  </pic:nvPicPr>
                  <pic:blipFill>
                    <a:blip r:embed="rId77"/>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77728" behindDoc="1" locked="0" layoutInCell="1" allowOverlap="1">
            <wp:simplePos x="0" y="0"/>
            <wp:positionH relativeFrom="column">
              <wp:posOffset>711200</wp:posOffset>
            </wp:positionH>
            <wp:positionV relativeFrom="paragraph">
              <wp:posOffset>0</wp:posOffset>
            </wp:positionV>
            <wp:extent cx="7561580" cy="10692130"/>
            <wp:effectExtent l="0" t="0" r="0" b="0"/>
            <wp:wrapTight wrapText="bothSides">
              <wp:wrapPolygon>
                <wp:start x="0" y="0"/>
                <wp:lineTo x="0" y="21551"/>
                <wp:lineTo x="21549" y="21551"/>
                <wp:lineTo x="21549" y="0"/>
                <wp:lineTo x="0" y="0"/>
              </wp:wrapPolygon>
            </wp:wrapTight>
            <wp:docPr id="50" name="图片 50" descr="A200曲沃县城市区域声环境功能区划分调整环境质量现状噪声监测(1)_页面_2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0" name="图片 50" descr="A200曲沃县城市区域声环境功能区划分调整环境质量现状噪声监测(1)_页面_21"/>
                    <pic:cNvPicPr>
                      <a:picLocks noChangeAspect="true"/>
                    </pic:cNvPicPr>
                  </pic:nvPicPr>
                  <pic:blipFill>
                    <a:blip r:embed="rId78"/>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78752"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51" name="图片 51" descr="A200曲沃县城市区域声环境功能区划分调整环境质量现状噪声监测(1)_页面_2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1" name="图片 51" descr="A200曲沃县城市区域声环境功能区划分调整环境质量现状噪声监测(1)_页面_22"/>
                    <pic:cNvPicPr>
                      <a:picLocks noChangeAspect="true"/>
                    </pic:cNvPicPr>
                  </pic:nvPicPr>
                  <pic:blipFill>
                    <a:blip r:embed="rId79"/>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79776"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52" name="图片 52" descr="A200曲沃县城市区域声环境功能区划分调整环境质量现状噪声监测(1)_页面_2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2" name="图片 52" descr="A200曲沃县城市区域声环境功能区划分调整环境质量现状噪声监测(1)_页面_23"/>
                    <pic:cNvPicPr>
                      <a:picLocks noChangeAspect="true"/>
                    </pic:cNvPicPr>
                  </pic:nvPicPr>
                  <pic:blipFill>
                    <a:blip r:embed="rId80"/>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80800"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53" name="图片 53" descr="A200曲沃县城市区域声环境功能区划分调整环境质量现状噪声监测(1)_页面_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3" name="图片 53" descr="A200曲沃县城市区域声环境功能区划分调整环境质量现状噪声监测(1)_页面_24"/>
                    <pic:cNvPicPr>
                      <a:picLocks noChangeAspect="true"/>
                    </pic:cNvPicPr>
                  </pic:nvPicPr>
                  <pic:blipFill>
                    <a:blip r:embed="rId81"/>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81824"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54" name="图片 54" descr="A200曲沃县城市区域声环境功能区划分调整环境质量现状噪声监测(1)_页面_2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4" name="图片 54" descr="A200曲沃县城市区域声环境功能区划分调整环境质量现状噪声监测(1)_页面_25"/>
                    <pic:cNvPicPr>
                      <a:picLocks noChangeAspect="true"/>
                    </pic:cNvPicPr>
                  </pic:nvPicPr>
                  <pic:blipFill>
                    <a:blip r:embed="rId82"/>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82848"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55" name="图片 55" descr="A200曲沃县城市区域声环境功能区划分调整环境质量现状噪声监测(1)_页面_2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5" name="图片 55" descr="A200曲沃县城市区域声环境功能区划分调整环境质量现状噪声监测(1)_页面_26"/>
                    <pic:cNvPicPr>
                      <a:picLocks noChangeAspect="true"/>
                    </pic:cNvPicPr>
                  </pic:nvPicPr>
                  <pic:blipFill>
                    <a:blip r:embed="rId83"/>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83872"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56" name="图片 56" descr="A200曲沃县城市区域声环境功能区划分调整环境质量现状噪声监测(1)_页面_2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6" name="图片 56" descr="A200曲沃县城市区域声环境功能区划分调整环境质量现状噪声监测(1)_页面_27"/>
                    <pic:cNvPicPr>
                      <a:picLocks noChangeAspect="true"/>
                    </pic:cNvPicPr>
                  </pic:nvPicPr>
                  <pic:blipFill>
                    <a:blip r:embed="rId84"/>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84896"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57" name="图片 57" descr="A200曲沃县城市区域声环境功能区划分调整环境质量现状噪声监测(1)_页面_2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7" name="图片 57" descr="A200曲沃县城市区域声环境功能区划分调整环境质量现状噪声监测(1)_页面_28"/>
                    <pic:cNvPicPr>
                      <a:picLocks noChangeAspect="true"/>
                    </pic:cNvPicPr>
                  </pic:nvPicPr>
                  <pic:blipFill>
                    <a:blip r:embed="rId85"/>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85920" behindDoc="1" locked="0" layoutInCell="1" allowOverlap="1">
            <wp:simplePos x="0" y="0"/>
            <wp:positionH relativeFrom="column">
              <wp:posOffset>711200</wp:posOffset>
            </wp:positionH>
            <wp:positionV relativeFrom="paragraph">
              <wp:posOffset>0</wp:posOffset>
            </wp:positionV>
            <wp:extent cx="7561580" cy="10692130"/>
            <wp:effectExtent l="0" t="0" r="0" b="0"/>
            <wp:wrapTight wrapText="bothSides">
              <wp:wrapPolygon>
                <wp:start x="0" y="0"/>
                <wp:lineTo x="0" y="21551"/>
                <wp:lineTo x="21549" y="21551"/>
                <wp:lineTo x="21549" y="0"/>
                <wp:lineTo x="0" y="0"/>
              </wp:wrapPolygon>
            </wp:wrapTight>
            <wp:docPr id="58" name="图片 58" descr="A200曲沃县城市区域声环境功能区划分调整环境质量现状噪声监测(1)_页面_2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8" name="图片 58" descr="A200曲沃县城市区域声环境功能区划分调整环境质量现状噪声监测(1)_页面_29"/>
                    <pic:cNvPicPr>
                      <a:picLocks noChangeAspect="true"/>
                    </pic:cNvPicPr>
                  </pic:nvPicPr>
                  <pic:blipFill>
                    <a:blip r:embed="rId86"/>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86944" behindDoc="1" locked="0" layoutInCell="1" allowOverlap="1">
            <wp:simplePos x="0" y="0"/>
            <wp:positionH relativeFrom="column">
              <wp:posOffset>711200</wp:posOffset>
            </wp:positionH>
            <wp:positionV relativeFrom="paragraph">
              <wp:posOffset>0</wp:posOffset>
            </wp:positionV>
            <wp:extent cx="7561580" cy="10692130"/>
            <wp:effectExtent l="0" t="0" r="0" b="0"/>
            <wp:wrapTight wrapText="bothSides">
              <wp:wrapPolygon>
                <wp:start x="0" y="0"/>
                <wp:lineTo x="0" y="21551"/>
                <wp:lineTo x="21549" y="21551"/>
                <wp:lineTo x="21549" y="0"/>
                <wp:lineTo x="0" y="0"/>
              </wp:wrapPolygon>
            </wp:wrapTight>
            <wp:docPr id="59" name="图片 59" descr="A200曲沃县城市区域声环境功能区划分调整环境质量现状噪声监测(1)_页面_3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9" name="图片 59" descr="A200曲沃县城市区域声环境功能区划分调整环境质量现状噪声监测(1)_页面_30"/>
                    <pic:cNvPicPr>
                      <a:picLocks noChangeAspect="true"/>
                    </pic:cNvPicPr>
                  </pic:nvPicPr>
                  <pic:blipFill>
                    <a:blip r:embed="rId87"/>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87968"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60" name="图片 60" descr="A200曲沃县城市区域声环境功能区划分调整环境质量现状噪声监测(1)_页面_3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0" name="图片 60" descr="A200曲沃县城市区域声环境功能区划分调整环境质量现状噪声监测(1)_页面_31"/>
                    <pic:cNvPicPr>
                      <a:picLocks noChangeAspect="true"/>
                    </pic:cNvPicPr>
                  </pic:nvPicPr>
                  <pic:blipFill>
                    <a:blip r:embed="rId88"/>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88992"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61" name="图片 61" descr="A200曲沃县城市区域声环境功能区划分调整环境质量现状噪声监测(1)_页面_3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1" name="图片 61" descr="A200曲沃县城市区域声环境功能区划分调整环境质量现状噪声监测(1)_页面_32"/>
                    <pic:cNvPicPr>
                      <a:picLocks noChangeAspect="true"/>
                    </pic:cNvPicPr>
                  </pic:nvPicPr>
                  <pic:blipFill>
                    <a:blip r:embed="rId89"/>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90016" behindDoc="1" locked="0" layoutInCell="1" allowOverlap="1">
            <wp:simplePos x="0" y="0"/>
            <wp:positionH relativeFrom="column">
              <wp:posOffset>711200</wp:posOffset>
            </wp:positionH>
            <wp:positionV relativeFrom="paragraph">
              <wp:posOffset>0</wp:posOffset>
            </wp:positionV>
            <wp:extent cx="7561580" cy="10692130"/>
            <wp:effectExtent l="0" t="0" r="1270" b="13970"/>
            <wp:wrapTight wrapText="bothSides">
              <wp:wrapPolygon>
                <wp:start x="0" y="0"/>
                <wp:lineTo x="0" y="21551"/>
                <wp:lineTo x="21549" y="21551"/>
                <wp:lineTo x="21549" y="0"/>
                <wp:lineTo x="0" y="0"/>
              </wp:wrapPolygon>
            </wp:wrapTight>
            <wp:docPr id="62" name="图片 62" descr="A200曲沃县城市区域声环境功能区划分调整环境质量现状噪声监测(1)_页面_3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2" name="图片 62" descr="A200曲沃县城市区域声环境功能区划分调整环境质量现状噪声监测(1)_页面_33"/>
                    <pic:cNvPicPr>
                      <a:picLocks noChangeAspect="true"/>
                    </pic:cNvPicPr>
                  </pic:nvPicPr>
                  <pic:blipFill>
                    <a:blip r:embed="rId90"/>
                    <a:stretch>
                      <a:fillRect/>
                    </a:stretch>
                  </pic:blipFill>
                  <pic:spPr>
                    <a:xfrm>
                      <a:off x="0" y="0"/>
                      <a:ext cx="756158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92064" behindDoc="1" locked="0" layoutInCell="1" allowOverlap="1">
            <wp:simplePos x="0" y="0"/>
            <wp:positionH relativeFrom="column">
              <wp:posOffset>711200</wp:posOffset>
            </wp:positionH>
            <wp:positionV relativeFrom="paragraph">
              <wp:posOffset>0</wp:posOffset>
            </wp:positionV>
            <wp:extent cx="7518400" cy="10692130"/>
            <wp:effectExtent l="0" t="0" r="0" b="0"/>
            <wp:wrapTight wrapText="bothSides">
              <wp:wrapPolygon>
                <wp:start x="0" y="0"/>
                <wp:lineTo x="0" y="21551"/>
                <wp:lineTo x="21564" y="21551"/>
                <wp:lineTo x="21564" y="0"/>
                <wp:lineTo x="0" y="0"/>
              </wp:wrapPolygon>
            </wp:wrapTight>
            <wp:docPr id="1" name="图片 1" descr="微信图片_2021012716593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微信图片_20210127165933"/>
                    <pic:cNvPicPr>
                      <a:picLocks noChangeAspect="true"/>
                    </pic:cNvPicPr>
                  </pic:nvPicPr>
                  <pic:blipFill>
                    <a:blip r:embed="rId91"/>
                    <a:stretch>
                      <a:fillRect/>
                    </a:stretch>
                  </pic:blipFill>
                  <pic:spPr>
                    <a:xfrm>
                      <a:off x="0" y="0"/>
                      <a:ext cx="751840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93088" behindDoc="1" locked="0" layoutInCell="1" allowOverlap="1">
            <wp:simplePos x="0" y="0"/>
            <wp:positionH relativeFrom="column">
              <wp:posOffset>-981075</wp:posOffset>
            </wp:positionH>
            <wp:positionV relativeFrom="paragraph">
              <wp:posOffset>-781050</wp:posOffset>
            </wp:positionV>
            <wp:extent cx="7152640" cy="10692130"/>
            <wp:effectExtent l="0" t="0" r="0" b="0"/>
            <wp:wrapTight wrapText="bothSides">
              <wp:wrapPolygon>
                <wp:start x="0" y="0"/>
                <wp:lineTo x="0" y="21551"/>
                <wp:lineTo x="21516" y="21551"/>
                <wp:lineTo x="21516" y="0"/>
                <wp:lineTo x="0" y="0"/>
              </wp:wrapPolygon>
            </wp:wrapTight>
            <wp:docPr id="8" name="图片 8" descr="微信图片_2021012716593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descr="微信图片_20210127165933"/>
                    <pic:cNvPicPr>
                      <a:picLocks noChangeAspect="true"/>
                    </pic:cNvPicPr>
                  </pic:nvPicPr>
                  <pic:blipFill>
                    <a:blip r:embed="rId92"/>
                    <a:stretch>
                      <a:fillRect/>
                    </a:stretch>
                  </pic:blipFill>
                  <pic:spPr>
                    <a:xfrm>
                      <a:off x="0" y="0"/>
                      <a:ext cx="715264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94112" behindDoc="1" locked="0" layoutInCell="1" allowOverlap="1">
            <wp:simplePos x="0" y="0"/>
            <wp:positionH relativeFrom="column">
              <wp:posOffset>711200</wp:posOffset>
            </wp:positionH>
            <wp:positionV relativeFrom="paragraph">
              <wp:posOffset>0</wp:posOffset>
            </wp:positionV>
            <wp:extent cx="7559040" cy="10692130"/>
            <wp:effectExtent l="0" t="0" r="0" b="0"/>
            <wp:wrapTight wrapText="bothSides">
              <wp:wrapPolygon>
                <wp:start x="0" y="0"/>
                <wp:lineTo x="0" y="21551"/>
                <wp:lineTo x="21556" y="21551"/>
                <wp:lineTo x="21556" y="0"/>
                <wp:lineTo x="0" y="0"/>
              </wp:wrapPolygon>
            </wp:wrapTight>
            <wp:docPr id="13" name="图片 13" descr="微信图片_20210127165933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3" descr="微信图片_202101271659331"/>
                    <pic:cNvPicPr>
                      <a:picLocks noChangeAspect="true"/>
                    </pic:cNvPicPr>
                  </pic:nvPicPr>
                  <pic:blipFill>
                    <a:blip r:embed="rId93"/>
                    <a:stretch>
                      <a:fillRect/>
                    </a:stretch>
                  </pic:blipFill>
                  <pic:spPr>
                    <a:xfrm>
                      <a:off x="0" y="0"/>
                      <a:ext cx="7559040" cy="10692130"/>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995136" behindDoc="1" locked="0" layoutInCell="1" allowOverlap="1">
            <wp:simplePos x="0" y="0"/>
            <wp:positionH relativeFrom="column">
              <wp:posOffset>-1141095</wp:posOffset>
            </wp:positionH>
            <wp:positionV relativeFrom="paragraph">
              <wp:posOffset>-914400</wp:posOffset>
            </wp:positionV>
            <wp:extent cx="7572375" cy="10663555"/>
            <wp:effectExtent l="0" t="0" r="9525" b="4445"/>
            <wp:wrapTight wrapText="bothSides">
              <wp:wrapPolygon>
                <wp:start x="0" y="0"/>
                <wp:lineTo x="0" y="21570"/>
                <wp:lineTo x="21573" y="21570"/>
                <wp:lineTo x="21573" y="0"/>
                <wp:lineTo x="0" y="0"/>
              </wp:wrapPolygon>
            </wp:wrapTight>
            <wp:docPr id="23" name="图片 23" descr="住建局"/>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 name="图片 23" descr="住建局"/>
                    <pic:cNvPicPr>
                      <a:picLocks noChangeAspect="true"/>
                    </pic:cNvPicPr>
                  </pic:nvPicPr>
                  <pic:blipFill>
                    <a:blip r:embed="rId94"/>
                    <a:stretch>
                      <a:fillRect/>
                    </a:stretch>
                  </pic:blipFill>
                  <pic:spPr>
                    <a:xfrm>
                      <a:off x="0" y="0"/>
                      <a:ext cx="7572375" cy="10663555"/>
                    </a:xfrm>
                    <a:prstGeom prst="rect">
                      <a:avLst/>
                    </a:prstGeom>
                  </pic:spPr>
                </pic:pic>
              </a:graphicData>
            </a:graphic>
          </wp:anchor>
        </w:drawing>
      </w:r>
    </w:p>
    <w:p>
      <w:pPr>
        <w:numPr>
          <w:ilvl w:val="0"/>
          <w:numId w:val="0"/>
        </w:numPr>
        <w:snapToGrid w:val="0"/>
        <w:ind w:firstLine="1120" w:firstLineChars="400"/>
        <w:jc w:val="center"/>
        <w:rPr>
          <w:rFonts w:hint="eastAsia" w:ascii="宋体" w:hAnsi="宋体" w:eastAsia="华文仿宋"/>
          <w:sz w:val="28"/>
          <w:lang w:eastAsia="zh-CN"/>
        </w:rPr>
      </w:pPr>
      <w:r>
        <w:rPr>
          <w:rFonts w:hint="eastAsia" w:ascii="宋体" w:hAnsi="宋体" w:eastAsia="华文仿宋"/>
          <w:sz w:val="28"/>
          <w:lang w:eastAsia="zh-CN"/>
        </w:rPr>
        <w:drawing>
          <wp:anchor distT="0" distB="0" distL="114300" distR="114300" simplePos="0" relativeHeight="251705344" behindDoc="1" locked="0" layoutInCell="1" allowOverlap="1">
            <wp:simplePos x="0" y="0"/>
            <wp:positionH relativeFrom="column">
              <wp:posOffset>-721995</wp:posOffset>
            </wp:positionH>
            <wp:positionV relativeFrom="paragraph">
              <wp:posOffset>-571500</wp:posOffset>
            </wp:positionV>
            <wp:extent cx="7773035" cy="10692130"/>
            <wp:effectExtent l="0" t="0" r="0" b="0"/>
            <wp:wrapTight wrapText="bothSides">
              <wp:wrapPolygon>
                <wp:start x="0" y="0"/>
                <wp:lineTo x="0" y="21551"/>
                <wp:lineTo x="21545" y="21551"/>
                <wp:lineTo x="21545" y="0"/>
                <wp:lineTo x="0" y="0"/>
              </wp:wrapPolygon>
            </wp:wrapTight>
            <wp:docPr id="29" name="图片 29" descr="意见"/>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9" name="图片 29" descr="意见"/>
                    <pic:cNvPicPr>
                      <a:picLocks noChangeAspect="true"/>
                    </pic:cNvPicPr>
                  </pic:nvPicPr>
                  <pic:blipFill>
                    <a:blip r:embed="rId95"/>
                    <a:stretch>
                      <a:fillRect/>
                    </a:stretch>
                  </pic:blipFill>
                  <pic:spPr>
                    <a:xfrm>
                      <a:off x="0" y="0"/>
                      <a:ext cx="7773035" cy="10692130"/>
                    </a:xfrm>
                    <a:prstGeom prst="rect">
                      <a:avLst/>
                    </a:prstGeom>
                  </pic:spPr>
                </pic:pic>
              </a:graphicData>
            </a:graphic>
          </wp:anchor>
        </w:drawing>
      </w:r>
    </w:p>
    <w:sectPr>
      <w:headerReference r:id="rId14" w:type="default"/>
      <w:pgSz w:w="11906" w:h="16838"/>
      <w:pgMar w:top="1440" w:right="1797" w:bottom="1440" w:left="1797"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华文仿宋">
    <w:altName w:val="仿宋"/>
    <w:panose1 w:val="02010600040101010101"/>
    <w:charset w:val="86"/>
    <w:family w:val="auto"/>
    <w:pitch w:val="default"/>
    <w:sig w:usb0="00000000" w:usb1="00000000" w:usb2="00000000" w:usb3="00000000" w:csb0="0004009F" w:csb1="DFD70000"/>
  </w:font>
  <w:font w:name="Cambria">
    <w:altName w:val="Noto Sans Syriac Eastern"/>
    <w:panose1 w:val="02040503050406030204"/>
    <w:charset w:val="00"/>
    <w:family w:val="roman"/>
    <w:pitch w:val="default"/>
    <w:sig w:usb0="00000000" w:usb1="00000000" w:usb2="00000000" w:usb3="00000000" w:csb0="2000019F" w:csb1="00000000"/>
  </w:font>
  <w:font w:name="宋体t.祯畴">
    <w:altName w:val="方正书宋_GBK"/>
    <w:panose1 w:val="00000000000000000000"/>
    <w:charset w:val="86"/>
    <w:family w:val="roman"/>
    <w:pitch w:val="default"/>
    <w:sig w:usb0="00000000" w:usb1="00000000" w:usb2="00000010" w:usb3="00000000" w:csb0="00040000" w:csb1="00000000"/>
  </w:font>
  <w:font w:name="方正小标宋简体">
    <w:panose1 w:val="02010601030101010101"/>
    <w:charset w:val="86"/>
    <w:family w:val="auto"/>
    <w:pitch w:val="default"/>
    <w:sig w:usb0="00000001" w:usb1="080E0000" w:usb2="00000000" w:usb3="00000000" w:csb0="00040000" w:csb1="00000000"/>
  </w:font>
  <w:font w:name="华文中宋">
    <w:altName w:val="方正书宋_GBK"/>
    <w:panose1 w:val="02010600040101010101"/>
    <w:charset w:val="86"/>
    <w:family w:val="auto"/>
    <w:pitch w:val="default"/>
    <w:sig w:usb0="00000000" w:usb1="00000000" w:usb2="00000000" w:usb3="00000000" w:csb0="0004009F" w:csb1="DFD70000"/>
  </w:font>
  <w:font w:name="MS-PGothic">
    <w:altName w:val="仿宋"/>
    <w:panose1 w:val="00000000000000000000"/>
    <w:charset w:val="86"/>
    <w:family w:val="auto"/>
    <w:pitch w:val="default"/>
    <w:sig w:usb0="00000000" w:usb1="00000000" w:usb2="00000000" w:usb3="00000000" w:csb0="00040000" w:csb1="00000000"/>
  </w:font>
  <w:font w:name="TimesNewRomanPSMT">
    <w:altName w:val="Nimbus Roman No9 L"/>
    <w:panose1 w:val="00000000000000000000"/>
    <w:charset w:val="86"/>
    <w:family w:val="auto"/>
    <w:pitch w:val="default"/>
    <w:sig w:usb0="00000000" w:usb1="00000000" w:usb2="00000000" w:usb3="00000000" w:csb0="00040000" w:csb1="00000000"/>
  </w:font>
  <w:font w:name="ËÎÌå">
    <w:altName w:val="DejaVu Math TeX Gyre"/>
    <w:panose1 w:val="00000000000000000000"/>
    <w:charset w:val="00"/>
    <w:family w:val="swiss"/>
    <w:pitch w:val="default"/>
    <w:sig w:usb0="00000000" w:usb1="00000000" w:usb2="00000000" w:usb3="00000000" w:csb0="00000001"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Noto Sans CJK JP Bold">
    <w:panose1 w:val="020B0800000000000000"/>
    <w:charset w:val="86"/>
    <w:family w:val="auto"/>
    <w:pitch w:val="default"/>
    <w:sig w:usb0="30000003" w:usb1="2BDF3C10" w:usb2="00000016" w:usb3="00000000" w:csb0="602E0107" w:csb1="00000000"/>
  </w:font>
  <w:font w:name="Noto Sans Syriac Eastern">
    <w:panose1 w:val="02040503050306020203"/>
    <w:charset w:val="86"/>
    <w:family w:val="auto"/>
    <w:pitch w:val="default"/>
    <w:sig w:usb0="00000000" w:usb1="00000000" w:usb2="00000080" w:usb3="00000000" w:csb0="203E0161" w:csb1="D7FF0000"/>
  </w:font>
  <w:font w:name="方正仿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jc w:val="center"/>
    </w:pPr>
    <w:r>
      <w:rPr>
        <w:sz w:val="18"/>
      </w:rPr>
      <w:pict>
        <v:shape id="_x0000_s2049" o:spid="_x0000_s204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17"/>
                  <w:rPr>
                    <w:rFonts w:hint="eastAsia" w:eastAsia="华文仿宋"/>
                    <w:sz w:val="21"/>
                    <w:szCs w:val="21"/>
                    <w:lang w:eastAsia="zh-CN"/>
                  </w:rPr>
                </w:pP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3</w:t>
                </w:r>
                <w:r>
                  <w:rPr>
                    <w:rFonts w:hint="eastAsia"/>
                    <w:sz w:val="21"/>
                    <w:szCs w:val="21"/>
                    <w:lang w:eastAsia="zh-CN"/>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spacing w:line="240" w:lineRule="auto"/>
      <w:ind w:firstLine="360"/>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曲沃县城市区域声环境功能区划</w:t>
    </w:r>
    <w:r>
      <w:rPr>
        <w:rFonts w:hint="eastAsia" w:cs="Times New Roman" w:eastAsiaTheme="minorEastAsia"/>
        <w:sz w:val="21"/>
        <w:szCs w:val="21"/>
        <w:lang w:val="en-US" w:eastAsia="zh-CN"/>
      </w:rPr>
      <w:t>分</w:t>
    </w:r>
    <w:r>
      <w:rPr>
        <w:rFonts w:hint="default" w:ascii="Times New Roman" w:hAnsi="Times New Roman" w:cs="Times New Roman" w:eastAsiaTheme="minorEastAsia"/>
        <w:sz w:val="21"/>
        <w:szCs w:val="21"/>
      </w:rPr>
      <w:t>调整技术报告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spacing w:line="240" w:lineRule="auto"/>
      <w:ind w:firstLine="360"/>
      <w:rPr>
        <w:rFonts w:hint="default" w:ascii="Times New Roman" w:hAnsi="Times New Roman" w:cs="Times New Roman" w:eastAsiaTheme="minorEastAsia"/>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7DFD7"/>
    <w:multiLevelType w:val="singleLevel"/>
    <w:tmpl w:val="B177DFD7"/>
    <w:lvl w:ilvl="0" w:tentative="0">
      <w:start w:val="2"/>
      <w:numFmt w:val="decimal"/>
      <w:suff w:val="nothing"/>
      <w:lvlText w:val="%1-"/>
      <w:lvlJc w:val="left"/>
    </w:lvl>
  </w:abstractNum>
  <w:abstractNum w:abstractNumId="1">
    <w:nsid w:val="D7F2B096"/>
    <w:multiLevelType w:val="singleLevel"/>
    <w:tmpl w:val="D7F2B096"/>
    <w:lvl w:ilvl="0" w:tentative="0">
      <w:start w:val="6"/>
      <w:numFmt w:val="decimal"/>
      <w:suff w:val="nothing"/>
      <w:lvlText w:val="（%1）"/>
      <w:lvlJc w:val="left"/>
    </w:lvl>
  </w:abstractNum>
  <w:abstractNum w:abstractNumId="2">
    <w:nsid w:val="FF788039"/>
    <w:multiLevelType w:val="singleLevel"/>
    <w:tmpl w:val="FF788039"/>
    <w:lvl w:ilvl="0" w:tentative="0">
      <w:start w:val="1"/>
      <w:numFmt w:val="decimal"/>
      <w:suff w:val="nothing"/>
      <w:lvlText w:val="（%1）"/>
      <w:lvlJc w:val="left"/>
    </w:lvl>
  </w:abstractNum>
  <w:abstractNum w:abstractNumId="3">
    <w:nsid w:val="7540388D"/>
    <w:multiLevelType w:val="singleLevel"/>
    <w:tmpl w:val="7540388D"/>
    <w:lvl w:ilvl="0" w:tentative="0">
      <w:start w:val="1"/>
      <w:numFmt w:val="decimal"/>
      <w:suff w:val="nothing"/>
      <w:lvlText w:val="%1-"/>
      <w:lvlJc w:val="left"/>
    </w:lvl>
  </w:abstractNum>
  <w:abstractNum w:abstractNumId="4">
    <w:nsid w:val="7E834954"/>
    <w:multiLevelType w:val="multilevel"/>
    <w:tmpl w:val="7E834954"/>
    <w:lvl w:ilvl="0" w:tentative="0">
      <w:start w:val="1"/>
      <w:numFmt w:val="decimal"/>
      <w:pStyle w:val="2"/>
      <w:suff w:val="space"/>
      <w:lvlText w:val="%1"/>
      <w:lvlJc w:val="left"/>
      <w:pPr>
        <w:ind w:left="2694"/>
      </w:pPr>
      <w:rPr>
        <w:rFonts w:hint="eastAsia" w:cs="Times New Roman"/>
      </w:rPr>
    </w:lvl>
    <w:lvl w:ilvl="1" w:tentative="0">
      <w:start w:val="1"/>
      <w:numFmt w:val="decimal"/>
      <w:pStyle w:val="3"/>
      <w:suff w:val="space"/>
      <w:lvlText w:val="%1.%2"/>
      <w:lvlJc w:val="left"/>
      <w:pPr>
        <w:ind w:left="1418"/>
      </w:pPr>
      <w:rPr>
        <w:rFonts w:hint="eastAsia" w:cs="Times New Roman"/>
      </w:rPr>
    </w:lvl>
    <w:lvl w:ilvl="2" w:tentative="0">
      <w:start w:val="1"/>
      <w:numFmt w:val="decimal"/>
      <w:pStyle w:val="4"/>
      <w:suff w:val="space"/>
      <w:lvlText w:val="%1.%2.%3"/>
      <w:lvlJc w:val="left"/>
      <w:pPr>
        <w:ind w:left="2269"/>
      </w:pPr>
      <w:rPr>
        <w:rFonts w:hint="eastAsia" w:cs="Times New Roman"/>
      </w:rPr>
    </w:lvl>
    <w:lvl w:ilvl="3" w:tentative="0">
      <w:start w:val="1"/>
      <w:numFmt w:val="decimal"/>
      <w:pStyle w:val="5"/>
      <w:suff w:val="space"/>
      <w:lvlText w:val="%1.%2.%3.%4"/>
      <w:lvlJc w:val="left"/>
      <w:pPr>
        <w:ind w:left="2977"/>
      </w:pPr>
      <w:rPr>
        <w:rFonts w:hint="eastAsia" w:cs="Times New Roman"/>
      </w:rPr>
    </w:lvl>
    <w:lvl w:ilvl="4" w:tentative="0">
      <w:start w:val="1"/>
      <w:numFmt w:val="decimal"/>
      <w:lvlText w:val="%1.%2.%3.%4.%5"/>
      <w:lvlJc w:val="left"/>
      <w:pPr>
        <w:ind w:left="2551" w:hanging="850"/>
      </w:pPr>
      <w:rPr>
        <w:rFonts w:hint="eastAsia" w:cs="Times New Roman"/>
      </w:rPr>
    </w:lvl>
    <w:lvl w:ilvl="5" w:tentative="0">
      <w:start w:val="1"/>
      <w:numFmt w:val="decimal"/>
      <w:lvlText w:val="%1.%2.%3.%4.%5.%6"/>
      <w:lvlJc w:val="left"/>
      <w:pPr>
        <w:ind w:left="3260" w:hanging="1134"/>
      </w:pPr>
      <w:rPr>
        <w:rFonts w:hint="eastAsia" w:cs="Times New Roman"/>
      </w:rPr>
    </w:lvl>
    <w:lvl w:ilvl="6" w:tentative="0">
      <w:start w:val="1"/>
      <w:numFmt w:val="decimal"/>
      <w:lvlText w:val="%1.%2.%3.%4.%5.%6.%7"/>
      <w:lvlJc w:val="left"/>
      <w:pPr>
        <w:ind w:left="3827" w:hanging="1276"/>
      </w:pPr>
      <w:rPr>
        <w:rFonts w:hint="eastAsia" w:cs="Times New Roman"/>
      </w:rPr>
    </w:lvl>
    <w:lvl w:ilvl="7" w:tentative="0">
      <w:start w:val="1"/>
      <w:numFmt w:val="decimal"/>
      <w:lvlText w:val="%1.%2.%3.%4.%5.%6.%7.%8"/>
      <w:lvlJc w:val="left"/>
      <w:pPr>
        <w:ind w:left="4394" w:hanging="1418"/>
      </w:pPr>
      <w:rPr>
        <w:rFonts w:hint="eastAsia" w:cs="Times New Roman"/>
      </w:rPr>
    </w:lvl>
    <w:lvl w:ilvl="8" w:tentative="0">
      <w:start w:val="1"/>
      <w:numFmt w:val="decimal"/>
      <w:lvlText w:val="%1.%2.%3.%4.%5.%6.%7.%8.%9"/>
      <w:lvlJc w:val="left"/>
      <w:pPr>
        <w:ind w:left="5102" w:hanging="1700"/>
      </w:pPr>
      <w:rPr>
        <w:rFonts w:hint="eastAsia" w:cs="Times New Roman"/>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false"/>
  <w:bordersDoNotSurroundFooter w:val="false"/>
  <w:hideSpellingErrors/>
  <w:documentProtection w:enforcement="0"/>
  <w:defaultTabStop w:val="420"/>
  <w:drawingGridHorizontalSpacing w:val="140"/>
  <w:drawingGridVerticalSpacing w:val="381"/>
  <w:displayHorizontalDrawingGridEvery w:val="1"/>
  <w:displayVerticalDrawingGridEvery w:val="1"/>
  <w:noPunctuationKerning w:val="true"/>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04FA4"/>
    <w:rsid w:val="00005832"/>
    <w:rsid w:val="000156AC"/>
    <w:rsid w:val="0004500A"/>
    <w:rsid w:val="0005044F"/>
    <w:rsid w:val="00055A33"/>
    <w:rsid w:val="00055B81"/>
    <w:rsid w:val="000570B2"/>
    <w:rsid w:val="00060BB0"/>
    <w:rsid w:val="0006526E"/>
    <w:rsid w:val="000872B9"/>
    <w:rsid w:val="000A36BD"/>
    <w:rsid w:val="000B4519"/>
    <w:rsid w:val="000D2829"/>
    <w:rsid w:val="000D45F1"/>
    <w:rsid w:val="000E32C9"/>
    <w:rsid w:val="000F3FD2"/>
    <w:rsid w:val="000F7EB3"/>
    <w:rsid w:val="00105F37"/>
    <w:rsid w:val="001101F0"/>
    <w:rsid w:val="00131D19"/>
    <w:rsid w:val="00136411"/>
    <w:rsid w:val="00136C73"/>
    <w:rsid w:val="00141758"/>
    <w:rsid w:val="00142950"/>
    <w:rsid w:val="00152F66"/>
    <w:rsid w:val="0015350B"/>
    <w:rsid w:val="0015629E"/>
    <w:rsid w:val="00156DFF"/>
    <w:rsid w:val="001620E3"/>
    <w:rsid w:val="00166BC9"/>
    <w:rsid w:val="001737AA"/>
    <w:rsid w:val="00175990"/>
    <w:rsid w:val="00176916"/>
    <w:rsid w:val="0018701C"/>
    <w:rsid w:val="001977A9"/>
    <w:rsid w:val="001A5533"/>
    <w:rsid w:val="001A70DA"/>
    <w:rsid w:val="001C3329"/>
    <w:rsid w:val="001D126B"/>
    <w:rsid w:val="001D6867"/>
    <w:rsid w:val="001E5242"/>
    <w:rsid w:val="001E5D89"/>
    <w:rsid w:val="00200E4B"/>
    <w:rsid w:val="00205422"/>
    <w:rsid w:val="0021359D"/>
    <w:rsid w:val="00225B41"/>
    <w:rsid w:val="002407B8"/>
    <w:rsid w:val="002514CC"/>
    <w:rsid w:val="0025312D"/>
    <w:rsid w:val="0026199D"/>
    <w:rsid w:val="002807C3"/>
    <w:rsid w:val="00281F84"/>
    <w:rsid w:val="00291432"/>
    <w:rsid w:val="00291FFB"/>
    <w:rsid w:val="00294B5F"/>
    <w:rsid w:val="002C0C4E"/>
    <w:rsid w:val="002C242C"/>
    <w:rsid w:val="002C4107"/>
    <w:rsid w:val="002E22A1"/>
    <w:rsid w:val="002E41D1"/>
    <w:rsid w:val="002E4CF9"/>
    <w:rsid w:val="002E544B"/>
    <w:rsid w:val="002E54AD"/>
    <w:rsid w:val="002F7EE7"/>
    <w:rsid w:val="003248D7"/>
    <w:rsid w:val="003471F1"/>
    <w:rsid w:val="00350863"/>
    <w:rsid w:val="003526C7"/>
    <w:rsid w:val="00356A12"/>
    <w:rsid w:val="003733F9"/>
    <w:rsid w:val="003924E9"/>
    <w:rsid w:val="003A4107"/>
    <w:rsid w:val="003A7BA7"/>
    <w:rsid w:val="003E5704"/>
    <w:rsid w:val="00406073"/>
    <w:rsid w:val="0041612B"/>
    <w:rsid w:val="00437F72"/>
    <w:rsid w:val="0044220A"/>
    <w:rsid w:val="00444619"/>
    <w:rsid w:val="00450EAE"/>
    <w:rsid w:val="004613D5"/>
    <w:rsid w:val="00484214"/>
    <w:rsid w:val="004B6080"/>
    <w:rsid w:val="004E370E"/>
    <w:rsid w:val="004F3465"/>
    <w:rsid w:val="004F63CF"/>
    <w:rsid w:val="00505355"/>
    <w:rsid w:val="005110F2"/>
    <w:rsid w:val="005115F0"/>
    <w:rsid w:val="005119C6"/>
    <w:rsid w:val="005201BF"/>
    <w:rsid w:val="005276EC"/>
    <w:rsid w:val="0053446A"/>
    <w:rsid w:val="00553D51"/>
    <w:rsid w:val="005729AB"/>
    <w:rsid w:val="00573418"/>
    <w:rsid w:val="00593680"/>
    <w:rsid w:val="005B623C"/>
    <w:rsid w:val="005C2017"/>
    <w:rsid w:val="005D6784"/>
    <w:rsid w:val="005E14DD"/>
    <w:rsid w:val="005E3789"/>
    <w:rsid w:val="005F0264"/>
    <w:rsid w:val="005F3421"/>
    <w:rsid w:val="00614FC1"/>
    <w:rsid w:val="00620EDF"/>
    <w:rsid w:val="00623F21"/>
    <w:rsid w:val="0063497F"/>
    <w:rsid w:val="006638C6"/>
    <w:rsid w:val="00665721"/>
    <w:rsid w:val="00674E97"/>
    <w:rsid w:val="006762CD"/>
    <w:rsid w:val="006866C8"/>
    <w:rsid w:val="00687295"/>
    <w:rsid w:val="0069128E"/>
    <w:rsid w:val="00694A16"/>
    <w:rsid w:val="006B3979"/>
    <w:rsid w:val="006B66AC"/>
    <w:rsid w:val="006B6B90"/>
    <w:rsid w:val="006B78E3"/>
    <w:rsid w:val="006C4255"/>
    <w:rsid w:val="006D62CD"/>
    <w:rsid w:val="006E0FC0"/>
    <w:rsid w:val="006E65AD"/>
    <w:rsid w:val="006F2A7C"/>
    <w:rsid w:val="007025CF"/>
    <w:rsid w:val="007464B3"/>
    <w:rsid w:val="00760543"/>
    <w:rsid w:val="0076440E"/>
    <w:rsid w:val="00773ACF"/>
    <w:rsid w:val="00784F01"/>
    <w:rsid w:val="00785A92"/>
    <w:rsid w:val="007911DC"/>
    <w:rsid w:val="00794E78"/>
    <w:rsid w:val="00795728"/>
    <w:rsid w:val="007A0382"/>
    <w:rsid w:val="007B3585"/>
    <w:rsid w:val="007B4179"/>
    <w:rsid w:val="007C21A4"/>
    <w:rsid w:val="007D7596"/>
    <w:rsid w:val="007E04F7"/>
    <w:rsid w:val="007E3445"/>
    <w:rsid w:val="0080496C"/>
    <w:rsid w:val="00810CF9"/>
    <w:rsid w:val="008120E7"/>
    <w:rsid w:val="00812EEE"/>
    <w:rsid w:val="0082348E"/>
    <w:rsid w:val="0082470C"/>
    <w:rsid w:val="00833B66"/>
    <w:rsid w:val="00842493"/>
    <w:rsid w:val="00851957"/>
    <w:rsid w:val="008614A9"/>
    <w:rsid w:val="0088566F"/>
    <w:rsid w:val="008945EB"/>
    <w:rsid w:val="008B2E54"/>
    <w:rsid w:val="008B6E61"/>
    <w:rsid w:val="008C7481"/>
    <w:rsid w:val="008E2FFC"/>
    <w:rsid w:val="008F1645"/>
    <w:rsid w:val="008F3103"/>
    <w:rsid w:val="008F70BD"/>
    <w:rsid w:val="00900A60"/>
    <w:rsid w:val="00926BB5"/>
    <w:rsid w:val="00927FC3"/>
    <w:rsid w:val="00934B6C"/>
    <w:rsid w:val="0093573D"/>
    <w:rsid w:val="00937774"/>
    <w:rsid w:val="009426CF"/>
    <w:rsid w:val="009451F3"/>
    <w:rsid w:val="00947614"/>
    <w:rsid w:val="00955B0E"/>
    <w:rsid w:val="00956B49"/>
    <w:rsid w:val="00963A6C"/>
    <w:rsid w:val="00980563"/>
    <w:rsid w:val="00986CA3"/>
    <w:rsid w:val="00992D81"/>
    <w:rsid w:val="009942A1"/>
    <w:rsid w:val="009A1DC4"/>
    <w:rsid w:val="009A6BBA"/>
    <w:rsid w:val="009B4F20"/>
    <w:rsid w:val="009B5156"/>
    <w:rsid w:val="009C0E98"/>
    <w:rsid w:val="009C1EB6"/>
    <w:rsid w:val="009C54C3"/>
    <w:rsid w:val="009D124E"/>
    <w:rsid w:val="009D4703"/>
    <w:rsid w:val="009F70F9"/>
    <w:rsid w:val="00A03A47"/>
    <w:rsid w:val="00A210A5"/>
    <w:rsid w:val="00A32054"/>
    <w:rsid w:val="00A346AC"/>
    <w:rsid w:val="00A51700"/>
    <w:rsid w:val="00A534D7"/>
    <w:rsid w:val="00A5715D"/>
    <w:rsid w:val="00A67F66"/>
    <w:rsid w:val="00A704A0"/>
    <w:rsid w:val="00A851DE"/>
    <w:rsid w:val="00A9366C"/>
    <w:rsid w:val="00AA342E"/>
    <w:rsid w:val="00AA377E"/>
    <w:rsid w:val="00AA4237"/>
    <w:rsid w:val="00AB23E5"/>
    <w:rsid w:val="00AC2885"/>
    <w:rsid w:val="00AD1A63"/>
    <w:rsid w:val="00AD7C92"/>
    <w:rsid w:val="00AF577C"/>
    <w:rsid w:val="00B11142"/>
    <w:rsid w:val="00B20FE0"/>
    <w:rsid w:val="00B2144D"/>
    <w:rsid w:val="00B3198F"/>
    <w:rsid w:val="00B40F57"/>
    <w:rsid w:val="00B474EF"/>
    <w:rsid w:val="00B66A96"/>
    <w:rsid w:val="00B84B92"/>
    <w:rsid w:val="00B9069E"/>
    <w:rsid w:val="00BA736E"/>
    <w:rsid w:val="00BB1403"/>
    <w:rsid w:val="00BC11CD"/>
    <w:rsid w:val="00BC68AA"/>
    <w:rsid w:val="00BC7386"/>
    <w:rsid w:val="00BC7E46"/>
    <w:rsid w:val="00BD3837"/>
    <w:rsid w:val="00BE4C94"/>
    <w:rsid w:val="00BF333B"/>
    <w:rsid w:val="00BF6E52"/>
    <w:rsid w:val="00C113E9"/>
    <w:rsid w:val="00C30ECB"/>
    <w:rsid w:val="00C44B03"/>
    <w:rsid w:val="00C523CE"/>
    <w:rsid w:val="00C56C64"/>
    <w:rsid w:val="00C63096"/>
    <w:rsid w:val="00CA3E0B"/>
    <w:rsid w:val="00CA511A"/>
    <w:rsid w:val="00CA75A5"/>
    <w:rsid w:val="00CE1120"/>
    <w:rsid w:val="00CE4E61"/>
    <w:rsid w:val="00CE5C2D"/>
    <w:rsid w:val="00CE70CF"/>
    <w:rsid w:val="00D35F6B"/>
    <w:rsid w:val="00D41005"/>
    <w:rsid w:val="00D44F78"/>
    <w:rsid w:val="00D4714A"/>
    <w:rsid w:val="00D631B3"/>
    <w:rsid w:val="00D63CFD"/>
    <w:rsid w:val="00D71F28"/>
    <w:rsid w:val="00D762F5"/>
    <w:rsid w:val="00D80331"/>
    <w:rsid w:val="00D9695F"/>
    <w:rsid w:val="00DB0063"/>
    <w:rsid w:val="00DD2D16"/>
    <w:rsid w:val="00DD333C"/>
    <w:rsid w:val="00DD7284"/>
    <w:rsid w:val="00DE04F2"/>
    <w:rsid w:val="00E00795"/>
    <w:rsid w:val="00E156F3"/>
    <w:rsid w:val="00E30B9F"/>
    <w:rsid w:val="00E33B0F"/>
    <w:rsid w:val="00E57E52"/>
    <w:rsid w:val="00E6069C"/>
    <w:rsid w:val="00E6385D"/>
    <w:rsid w:val="00E6474F"/>
    <w:rsid w:val="00E654B2"/>
    <w:rsid w:val="00E77E3A"/>
    <w:rsid w:val="00E827ED"/>
    <w:rsid w:val="00E94061"/>
    <w:rsid w:val="00EB256E"/>
    <w:rsid w:val="00EC3021"/>
    <w:rsid w:val="00EC6475"/>
    <w:rsid w:val="00EC76DB"/>
    <w:rsid w:val="00EC7BBE"/>
    <w:rsid w:val="00ED2722"/>
    <w:rsid w:val="00EF038F"/>
    <w:rsid w:val="00F03800"/>
    <w:rsid w:val="00F13955"/>
    <w:rsid w:val="00F34DEA"/>
    <w:rsid w:val="00F535D5"/>
    <w:rsid w:val="00F53976"/>
    <w:rsid w:val="00F72AB5"/>
    <w:rsid w:val="00F8366A"/>
    <w:rsid w:val="00F83F0E"/>
    <w:rsid w:val="00F867C1"/>
    <w:rsid w:val="00F915BB"/>
    <w:rsid w:val="00F935B3"/>
    <w:rsid w:val="00F93706"/>
    <w:rsid w:val="00F979A7"/>
    <w:rsid w:val="00FA0F99"/>
    <w:rsid w:val="00FB6AD6"/>
    <w:rsid w:val="00FD4483"/>
    <w:rsid w:val="00FF520D"/>
    <w:rsid w:val="00FF61B8"/>
    <w:rsid w:val="010F2A79"/>
    <w:rsid w:val="01274CDC"/>
    <w:rsid w:val="013545D2"/>
    <w:rsid w:val="013F62E8"/>
    <w:rsid w:val="01420D22"/>
    <w:rsid w:val="0146566B"/>
    <w:rsid w:val="014E5DA0"/>
    <w:rsid w:val="016163AD"/>
    <w:rsid w:val="01771BD8"/>
    <w:rsid w:val="017F5E3E"/>
    <w:rsid w:val="018F7904"/>
    <w:rsid w:val="01AA177F"/>
    <w:rsid w:val="01B2508B"/>
    <w:rsid w:val="01B953EB"/>
    <w:rsid w:val="01BA5E11"/>
    <w:rsid w:val="01BB7537"/>
    <w:rsid w:val="01D14528"/>
    <w:rsid w:val="01DD7449"/>
    <w:rsid w:val="01E549E7"/>
    <w:rsid w:val="01FF0C7A"/>
    <w:rsid w:val="020E18F4"/>
    <w:rsid w:val="0213607C"/>
    <w:rsid w:val="02163AD3"/>
    <w:rsid w:val="02181D77"/>
    <w:rsid w:val="021A0B40"/>
    <w:rsid w:val="021D7611"/>
    <w:rsid w:val="022A20F0"/>
    <w:rsid w:val="02315E52"/>
    <w:rsid w:val="023E60CB"/>
    <w:rsid w:val="02735336"/>
    <w:rsid w:val="027763DC"/>
    <w:rsid w:val="02977E98"/>
    <w:rsid w:val="0299661C"/>
    <w:rsid w:val="02A448EB"/>
    <w:rsid w:val="02A656FB"/>
    <w:rsid w:val="02A93C10"/>
    <w:rsid w:val="02BE3E04"/>
    <w:rsid w:val="02C67686"/>
    <w:rsid w:val="02D9198A"/>
    <w:rsid w:val="02D95524"/>
    <w:rsid w:val="02DA3DC5"/>
    <w:rsid w:val="02E62BD2"/>
    <w:rsid w:val="02EB56AB"/>
    <w:rsid w:val="02F31664"/>
    <w:rsid w:val="02FC78A6"/>
    <w:rsid w:val="030055CD"/>
    <w:rsid w:val="0301404E"/>
    <w:rsid w:val="032B7C5D"/>
    <w:rsid w:val="033C2FB1"/>
    <w:rsid w:val="034C3EFE"/>
    <w:rsid w:val="035309C3"/>
    <w:rsid w:val="035C3AA4"/>
    <w:rsid w:val="037503EF"/>
    <w:rsid w:val="03756389"/>
    <w:rsid w:val="03797A4C"/>
    <w:rsid w:val="037D5B96"/>
    <w:rsid w:val="03820DA5"/>
    <w:rsid w:val="0386042D"/>
    <w:rsid w:val="039263CA"/>
    <w:rsid w:val="0395284A"/>
    <w:rsid w:val="03AE6F0E"/>
    <w:rsid w:val="03BA0FC5"/>
    <w:rsid w:val="03C533A9"/>
    <w:rsid w:val="03CB43DB"/>
    <w:rsid w:val="03E214AA"/>
    <w:rsid w:val="03E25807"/>
    <w:rsid w:val="03E34A4F"/>
    <w:rsid w:val="03E82E7B"/>
    <w:rsid w:val="03EC02B0"/>
    <w:rsid w:val="03F0004F"/>
    <w:rsid w:val="03FD59F1"/>
    <w:rsid w:val="04002DED"/>
    <w:rsid w:val="04007FB4"/>
    <w:rsid w:val="04140AE7"/>
    <w:rsid w:val="041941A4"/>
    <w:rsid w:val="04321BCA"/>
    <w:rsid w:val="043A739B"/>
    <w:rsid w:val="043D6CDB"/>
    <w:rsid w:val="04511F47"/>
    <w:rsid w:val="04551CA9"/>
    <w:rsid w:val="04571A9F"/>
    <w:rsid w:val="04884215"/>
    <w:rsid w:val="048B4AF7"/>
    <w:rsid w:val="048B7FBF"/>
    <w:rsid w:val="04931401"/>
    <w:rsid w:val="049665E5"/>
    <w:rsid w:val="04A04B8C"/>
    <w:rsid w:val="04A721FD"/>
    <w:rsid w:val="04A8422E"/>
    <w:rsid w:val="04B96CD8"/>
    <w:rsid w:val="04BB1B54"/>
    <w:rsid w:val="04C05133"/>
    <w:rsid w:val="04DA5583"/>
    <w:rsid w:val="04E31D9C"/>
    <w:rsid w:val="04F171E6"/>
    <w:rsid w:val="04FF41A3"/>
    <w:rsid w:val="05033EB6"/>
    <w:rsid w:val="0507094A"/>
    <w:rsid w:val="050C1B0C"/>
    <w:rsid w:val="050E423D"/>
    <w:rsid w:val="050E514D"/>
    <w:rsid w:val="051429B4"/>
    <w:rsid w:val="051D17F1"/>
    <w:rsid w:val="052B6E59"/>
    <w:rsid w:val="054142EF"/>
    <w:rsid w:val="054F159D"/>
    <w:rsid w:val="05536AB3"/>
    <w:rsid w:val="05645EB9"/>
    <w:rsid w:val="05651506"/>
    <w:rsid w:val="056A08DA"/>
    <w:rsid w:val="056F3F07"/>
    <w:rsid w:val="057F353E"/>
    <w:rsid w:val="058E4713"/>
    <w:rsid w:val="05A527ED"/>
    <w:rsid w:val="05A5763A"/>
    <w:rsid w:val="05A7432C"/>
    <w:rsid w:val="05BF4939"/>
    <w:rsid w:val="05C30FD6"/>
    <w:rsid w:val="05C60410"/>
    <w:rsid w:val="05DC7275"/>
    <w:rsid w:val="05F13840"/>
    <w:rsid w:val="05FF041D"/>
    <w:rsid w:val="0606735B"/>
    <w:rsid w:val="06175684"/>
    <w:rsid w:val="064A70D4"/>
    <w:rsid w:val="065333D8"/>
    <w:rsid w:val="06595BFB"/>
    <w:rsid w:val="065B77C3"/>
    <w:rsid w:val="0686324D"/>
    <w:rsid w:val="068A4184"/>
    <w:rsid w:val="068D7B13"/>
    <w:rsid w:val="069E287C"/>
    <w:rsid w:val="06A20486"/>
    <w:rsid w:val="06C75D07"/>
    <w:rsid w:val="06D47B1F"/>
    <w:rsid w:val="06D647A5"/>
    <w:rsid w:val="06DF3DC0"/>
    <w:rsid w:val="06E45F3A"/>
    <w:rsid w:val="06E504D6"/>
    <w:rsid w:val="06E86104"/>
    <w:rsid w:val="06EA170B"/>
    <w:rsid w:val="06FF7003"/>
    <w:rsid w:val="070B48A3"/>
    <w:rsid w:val="07320ACD"/>
    <w:rsid w:val="073D1E89"/>
    <w:rsid w:val="07500CEE"/>
    <w:rsid w:val="075642A5"/>
    <w:rsid w:val="07625006"/>
    <w:rsid w:val="076869E3"/>
    <w:rsid w:val="076D19F5"/>
    <w:rsid w:val="076D204E"/>
    <w:rsid w:val="07700D93"/>
    <w:rsid w:val="07732882"/>
    <w:rsid w:val="0786199E"/>
    <w:rsid w:val="078F3776"/>
    <w:rsid w:val="07CB2370"/>
    <w:rsid w:val="07CD1B71"/>
    <w:rsid w:val="07D84C26"/>
    <w:rsid w:val="07DC7C18"/>
    <w:rsid w:val="07DF5072"/>
    <w:rsid w:val="07E41775"/>
    <w:rsid w:val="07EE1B98"/>
    <w:rsid w:val="07F32C57"/>
    <w:rsid w:val="07F701D0"/>
    <w:rsid w:val="07FC6536"/>
    <w:rsid w:val="07FE47EC"/>
    <w:rsid w:val="080735E8"/>
    <w:rsid w:val="082567C1"/>
    <w:rsid w:val="08301F0A"/>
    <w:rsid w:val="083701DE"/>
    <w:rsid w:val="084B17D3"/>
    <w:rsid w:val="085546F0"/>
    <w:rsid w:val="08761CE1"/>
    <w:rsid w:val="087C518C"/>
    <w:rsid w:val="08885BC1"/>
    <w:rsid w:val="088A3286"/>
    <w:rsid w:val="088C2D04"/>
    <w:rsid w:val="088D0824"/>
    <w:rsid w:val="08993352"/>
    <w:rsid w:val="089F11CC"/>
    <w:rsid w:val="08A72CFC"/>
    <w:rsid w:val="08A940DE"/>
    <w:rsid w:val="08B020E5"/>
    <w:rsid w:val="08B1070B"/>
    <w:rsid w:val="08B723FC"/>
    <w:rsid w:val="08B847E0"/>
    <w:rsid w:val="08BA252B"/>
    <w:rsid w:val="08BA7442"/>
    <w:rsid w:val="08C25C70"/>
    <w:rsid w:val="08D14E02"/>
    <w:rsid w:val="08D527EC"/>
    <w:rsid w:val="08E92149"/>
    <w:rsid w:val="08EA1427"/>
    <w:rsid w:val="08EE707F"/>
    <w:rsid w:val="08F214D1"/>
    <w:rsid w:val="090375A4"/>
    <w:rsid w:val="09074032"/>
    <w:rsid w:val="09146333"/>
    <w:rsid w:val="09233C1C"/>
    <w:rsid w:val="09355BA6"/>
    <w:rsid w:val="09414B2F"/>
    <w:rsid w:val="09424210"/>
    <w:rsid w:val="0943375C"/>
    <w:rsid w:val="094913E7"/>
    <w:rsid w:val="094D5D51"/>
    <w:rsid w:val="09573090"/>
    <w:rsid w:val="095B1E27"/>
    <w:rsid w:val="096505E6"/>
    <w:rsid w:val="09653D56"/>
    <w:rsid w:val="096D0A28"/>
    <w:rsid w:val="096E632D"/>
    <w:rsid w:val="09776CA2"/>
    <w:rsid w:val="098101F3"/>
    <w:rsid w:val="09873458"/>
    <w:rsid w:val="09873EF7"/>
    <w:rsid w:val="09897E22"/>
    <w:rsid w:val="09A044B0"/>
    <w:rsid w:val="09B97EE1"/>
    <w:rsid w:val="09BB6ED7"/>
    <w:rsid w:val="09BD7216"/>
    <w:rsid w:val="09DF49C4"/>
    <w:rsid w:val="09E243D6"/>
    <w:rsid w:val="09E913DF"/>
    <w:rsid w:val="09EA58F0"/>
    <w:rsid w:val="09F91DC0"/>
    <w:rsid w:val="0A092BF8"/>
    <w:rsid w:val="0A1846F5"/>
    <w:rsid w:val="0A21007D"/>
    <w:rsid w:val="0A2E2278"/>
    <w:rsid w:val="0A3003A8"/>
    <w:rsid w:val="0A3F0A52"/>
    <w:rsid w:val="0A53371F"/>
    <w:rsid w:val="0A592F66"/>
    <w:rsid w:val="0A5C2137"/>
    <w:rsid w:val="0A6A73E6"/>
    <w:rsid w:val="0A78285C"/>
    <w:rsid w:val="0A8A6BC2"/>
    <w:rsid w:val="0A8C1CFD"/>
    <w:rsid w:val="0A9A07A1"/>
    <w:rsid w:val="0AAD30FB"/>
    <w:rsid w:val="0AC0680A"/>
    <w:rsid w:val="0AC42156"/>
    <w:rsid w:val="0AC63BD1"/>
    <w:rsid w:val="0AD02C7D"/>
    <w:rsid w:val="0AD42A4F"/>
    <w:rsid w:val="0AD51EDB"/>
    <w:rsid w:val="0AD63479"/>
    <w:rsid w:val="0AE71B60"/>
    <w:rsid w:val="0AEB30E9"/>
    <w:rsid w:val="0AF07526"/>
    <w:rsid w:val="0AF15708"/>
    <w:rsid w:val="0AFA5CDE"/>
    <w:rsid w:val="0B0551C1"/>
    <w:rsid w:val="0B0E3F69"/>
    <w:rsid w:val="0B1142F0"/>
    <w:rsid w:val="0B133F02"/>
    <w:rsid w:val="0B32030C"/>
    <w:rsid w:val="0B4218CC"/>
    <w:rsid w:val="0B583C53"/>
    <w:rsid w:val="0B5A6B48"/>
    <w:rsid w:val="0B6F5633"/>
    <w:rsid w:val="0B805663"/>
    <w:rsid w:val="0B806A99"/>
    <w:rsid w:val="0B825F00"/>
    <w:rsid w:val="0B8C69FE"/>
    <w:rsid w:val="0BA06355"/>
    <w:rsid w:val="0BAD7BA9"/>
    <w:rsid w:val="0BB14FC5"/>
    <w:rsid w:val="0BB302AF"/>
    <w:rsid w:val="0BB6000B"/>
    <w:rsid w:val="0BB8368C"/>
    <w:rsid w:val="0BC34E2D"/>
    <w:rsid w:val="0BD17172"/>
    <w:rsid w:val="0BE662A3"/>
    <w:rsid w:val="0BF93876"/>
    <w:rsid w:val="0C0D2D54"/>
    <w:rsid w:val="0C0E5985"/>
    <w:rsid w:val="0C1713B0"/>
    <w:rsid w:val="0C194D76"/>
    <w:rsid w:val="0C1C23A0"/>
    <w:rsid w:val="0C28451E"/>
    <w:rsid w:val="0C3400CA"/>
    <w:rsid w:val="0C373CF5"/>
    <w:rsid w:val="0C3D4ABA"/>
    <w:rsid w:val="0C421729"/>
    <w:rsid w:val="0C4A4D82"/>
    <w:rsid w:val="0C5E7FC4"/>
    <w:rsid w:val="0C673059"/>
    <w:rsid w:val="0C6C53A4"/>
    <w:rsid w:val="0C7A0535"/>
    <w:rsid w:val="0C7E7DB3"/>
    <w:rsid w:val="0C834691"/>
    <w:rsid w:val="0C8B66FC"/>
    <w:rsid w:val="0C8D5704"/>
    <w:rsid w:val="0C91632E"/>
    <w:rsid w:val="0CA7298E"/>
    <w:rsid w:val="0CB47925"/>
    <w:rsid w:val="0CB53764"/>
    <w:rsid w:val="0CD1548F"/>
    <w:rsid w:val="0CD5105A"/>
    <w:rsid w:val="0CDC1E5B"/>
    <w:rsid w:val="0CE13962"/>
    <w:rsid w:val="0CE8326E"/>
    <w:rsid w:val="0CEA4DFA"/>
    <w:rsid w:val="0CEA507D"/>
    <w:rsid w:val="0CEC0A01"/>
    <w:rsid w:val="0CFB7497"/>
    <w:rsid w:val="0CFC1D3F"/>
    <w:rsid w:val="0D1146CD"/>
    <w:rsid w:val="0D131BDB"/>
    <w:rsid w:val="0D25376B"/>
    <w:rsid w:val="0D374239"/>
    <w:rsid w:val="0D6165E0"/>
    <w:rsid w:val="0D695392"/>
    <w:rsid w:val="0D6F159F"/>
    <w:rsid w:val="0D7752C2"/>
    <w:rsid w:val="0D8368B8"/>
    <w:rsid w:val="0D9143BA"/>
    <w:rsid w:val="0DAA0859"/>
    <w:rsid w:val="0DAD1A31"/>
    <w:rsid w:val="0DB56CD1"/>
    <w:rsid w:val="0DC24F01"/>
    <w:rsid w:val="0DDA7190"/>
    <w:rsid w:val="0DDB30C8"/>
    <w:rsid w:val="0DF95B80"/>
    <w:rsid w:val="0E075765"/>
    <w:rsid w:val="0E100DDB"/>
    <w:rsid w:val="0E167F6F"/>
    <w:rsid w:val="0E2D226E"/>
    <w:rsid w:val="0E3D0837"/>
    <w:rsid w:val="0E3D228B"/>
    <w:rsid w:val="0E453709"/>
    <w:rsid w:val="0E4651ED"/>
    <w:rsid w:val="0E4A5DFA"/>
    <w:rsid w:val="0E4D3341"/>
    <w:rsid w:val="0E585638"/>
    <w:rsid w:val="0E63501F"/>
    <w:rsid w:val="0E6B6400"/>
    <w:rsid w:val="0E793304"/>
    <w:rsid w:val="0E7D107B"/>
    <w:rsid w:val="0E7E736A"/>
    <w:rsid w:val="0E81756D"/>
    <w:rsid w:val="0E8420E9"/>
    <w:rsid w:val="0EAA6343"/>
    <w:rsid w:val="0EAE6B22"/>
    <w:rsid w:val="0EB00198"/>
    <w:rsid w:val="0EB61524"/>
    <w:rsid w:val="0EBC5964"/>
    <w:rsid w:val="0EBD327B"/>
    <w:rsid w:val="0EE943CA"/>
    <w:rsid w:val="0EED2933"/>
    <w:rsid w:val="0EED6F82"/>
    <w:rsid w:val="0EF64B3D"/>
    <w:rsid w:val="0EFD739C"/>
    <w:rsid w:val="0F1F1DE0"/>
    <w:rsid w:val="0F221DC8"/>
    <w:rsid w:val="0F417FB3"/>
    <w:rsid w:val="0F4D7E58"/>
    <w:rsid w:val="0F5D13A8"/>
    <w:rsid w:val="0F721539"/>
    <w:rsid w:val="0F7A40EC"/>
    <w:rsid w:val="0F886FD2"/>
    <w:rsid w:val="0F913DA1"/>
    <w:rsid w:val="0F9B3CA1"/>
    <w:rsid w:val="0FB3658A"/>
    <w:rsid w:val="0FB833F3"/>
    <w:rsid w:val="0FBA4A3D"/>
    <w:rsid w:val="0FBD5323"/>
    <w:rsid w:val="0FCD412C"/>
    <w:rsid w:val="0FD8257D"/>
    <w:rsid w:val="0FDF53F5"/>
    <w:rsid w:val="0FED40B0"/>
    <w:rsid w:val="0FFF2C79"/>
    <w:rsid w:val="100C6A79"/>
    <w:rsid w:val="100E326E"/>
    <w:rsid w:val="101F6465"/>
    <w:rsid w:val="10212DFE"/>
    <w:rsid w:val="10251EBE"/>
    <w:rsid w:val="10276FC5"/>
    <w:rsid w:val="10290B45"/>
    <w:rsid w:val="10364112"/>
    <w:rsid w:val="103E4CA1"/>
    <w:rsid w:val="104144DE"/>
    <w:rsid w:val="104A4132"/>
    <w:rsid w:val="104C5018"/>
    <w:rsid w:val="1064499C"/>
    <w:rsid w:val="10764E65"/>
    <w:rsid w:val="108557B1"/>
    <w:rsid w:val="10AD6CCE"/>
    <w:rsid w:val="10AE2200"/>
    <w:rsid w:val="10B27F0C"/>
    <w:rsid w:val="10D22682"/>
    <w:rsid w:val="10DD6485"/>
    <w:rsid w:val="10E21440"/>
    <w:rsid w:val="10E5738B"/>
    <w:rsid w:val="10F47E22"/>
    <w:rsid w:val="10FA4793"/>
    <w:rsid w:val="10FE043E"/>
    <w:rsid w:val="10FF7309"/>
    <w:rsid w:val="1104633A"/>
    <w:rsid w:val="110F10A2"/>
    <w:rsid w:val="110F2EB1"/>
    <w:rsid w:val="111C656F"/>
    <w:rsid w:val="111E3D67"/>
    <w:rsid w:val="11247177"/>
    <w:rsid w:val="112518F8"/>
    <w:rsid w:val="1125717B"/>
    <w:rsid w:val="112B4C3A"/>
    <w:rsid w:val="114C3072"/>
    <w:rsid w:val="115360ED"/>
    <w:rsid w:val="116317D5"/>
    <w:rsid w:val="1169732C"/>
    <w:rsid w:val="117745C8"/>
    <w:rsid w:val="117B5987"/>
    <w:rsid w:val="118C24B0"/>
    <w:rsid w:val="11905047"/>
    <w:rsid w:val="119A636C"/>
    <w:rsid w:val="119B59F7"/>
    <w:rsid w:val="11A07595"/>
    <w:rsid w:val="11A1749A"/>
    <w:rsid w:val="11B21FC6"/>
    <w:rsid w:val="11B62CAD"/>
    <w:rsid w:val="11C06F54"/>
    <w:rsid w:val="11C46576"/>
    <w:rsid w:val="11C65EE9"/>
    <w:rsid w:val="11CF2861"/>
    <w:rsid w:val="11CF3F6F"/>
    <w:rsid w:val="11D814DB"/>
    <w:rsid w:val="11F274E5"/>
    <w:rsid w:val="11FE0C81"/>
    <w:rsid w:val="11FE47D9"/>
    <w:rsid w:val="11FF245B"/>
    <w:rsid w:val="11FF2674"/>
    <w:rsid w:val="12030CC5"/>
    <w:rsid w:val="122A2624"/>
    <w:rsid w:val="123D46EE"/>
    <w:rsid w:val="12546128"/>
    <w:rsid w:val="1257632F"/>
    <w:rsid w:val="12576853"/>
    <w:rsid w:val="125A472B"/>
    <w:rsid w:val="12687904"/>
    <w:rsid w:val="12734753"/>
    <w:rsid w:val="127D08F5"/>
    <w:rsid w:val="128F012D"/>
    <w:rsid w:val="128F1907"/>
    <w:rsid w:val="12932C3B"/>
    <w:rsid w:val="12967702"/>
    <w:rsid w:val="129B3FCC"/>
    <w:rsid w:val="12A36A95"/>
    <w:rsid w:val="12A74239"/>
    <w:rsid w:val="12A97ABF"/>
    <w:rsid w:val="12B42BD4"/>
    <w:rsid w:val="12CA2196"/>
    <w:rsid w:val="12CB36CA"/>
    <w:rsid w:val="12D07F5C"/>
    <w:rsid w:val="12E57E26"/>
    <w:rsid w:val="12F3014F"/>
    <w:rsid w:val="12FF555F"/>
    <w:rsid w:val="12FF6586"/>
    <w:rsid w:val="130B607F"/>
    <w:rsid w:val="130E2F6D"/>
    <w:rsid w:val="13324B70"/>
    <w:rsid w:val="133E6170"/>
    <w:rsid w:val="134158E4"/>
    <w:rsid w:val="13443C55"/>
    <w:rsid w:val="13502EA7"/>
    <w:rsid w:val="13531A2B"/>
    <w:rsid w:val="135B3309"/>
    <w:rsid w:val="136A11C6"/>
    <w:rsid w:val="1377473A"/>
    <w:rsid w:val="139C7550"/>
    <w:rsid w:val="13B877A5"/>
    <w:rsid w:val="13BA0CF4"/>
    <w:rsid w:val="13BC7A1E"/>
    <w:rsid w:val="13D4554D"/>
    <w:rsid w:val="13D87C5C"/>
    <w:rsid w:val="13DF3B20"/>
    <w:rsid w:val="13E25EF7"/>
    <w:rsid w:val="13E7391D"/>
    <w:rsid w:val="13E82A07"/>
    <w:rsid w:val="13E865BE"/>
    <w:rsid w:val="13EB2CFA"/>
    <w:rsid w:val="13EF2C93"/>
    <w:rsid w:val="14020A84"/>
    <w:rsid w:val="14273F4F"/>
    <w:rsid w:val="143371AE"/>
    <w:rsid w:val="143A0180"/>
    <w:rsid w:val="144B6DA9"/>
    <w:rsid w:val="14512708"/>
    <w:rsid w:val="148209C5"/>
    <w:rsid w:val="14A87B04"/>
    <w:rsid w:val="14AB2651"/>
    <w:rsid w:val="14B643B7"/>
    <w:rsid w:val="14B67CC9"/>
    <w:rsid w:val="14B9631B"/>
    <w:rsid w:val="14CC328B"/>
    <w:rsid w:val="14DB7BDD"/>
    <w:rsid w:val="14DD03E8"/>
    <w:rsid w:val="14E02D95"/>
    <w:rsid w:val="14E11732"/>
    <w:rsid w:val="14E2643F"/>
    <w:rsid w:val="14E642EC"/>
    <w:rsid w:val="1509117C"/>
    <w:rsid w:val="150E47DB"/>
    <w:rsid w:val="15182AC4"/>
    <w:rsid w:val="152E4DA0"/>
    <w:rsid w:val="152F5B31"/>
    <w:rsid w:val="153447E9"/>
    <w:rsid w:val="154357A1"/>
    <w:rsid w:val="155A13BA"/>
    <w:rsid w:val="155B67AB"/>
    <w:rsid w:val="15605631"/>
    <w:rsid w:val="156D361B"/>
    <w:rsid w:val="156D76DF"/>
    <w:rsid w:val="15756694"/>
    <w:rsid w:val="158E5A3D"/>
    <w:rsid w:val="15933F12"/>
    <w:rsid w:val="15AA0458"/>
    <w:rsid w:val="15AA6EAD"/>
    <w:rsid w:val="15AB4692"/>
    <w:rsid w:val="15B153D1"/>
    <w:rsid w:val="15C56B31"/>
    <w:rsid w:val="15C80988"/>
    <w:rsid w:val="16053A99"/>
    <w:rsid w:val="160C3EBB"/>
    <w:rsid w:val="161073A4"/>
    <w:rsid w:val="162E0510"/>
    <w:rsid w:val="162F38C8"/>
    <w:rsid w:val="16380958"/>
    <w:rsid w:val="16381C40"/>
    <w:rsid w:val="16411593"/>
    <w:rsid w:val="165D5D60"/>
    <w:rsid w:val="165F6594"/>
    <w:rsid w:val="166178F6"/>
    <w:rsid w:val="16623735"/>
    <w:rsid w:val="16655792"/>
    <w:rsid w:val="166A339A"/>
    <w:rsid w:val="167026C8"/>
    <w:rsid w:val="16710927"/>
    <w:rsid w:val="16711D7C"/>
    <w:rsid w:val="167413A7"/>
    <w:rsid w:val="1679765C"/>
    <w:rsid w:val="167B3D4B"/>
    <w:rsid w:val="167E4347"/>
    <w:rsid w:val="16805B9A"/>
    <w:rsid w:val="168A00B7"/>
    <w:rsid w:val="16973C0E"/>
    <w:rsid w:val="1697535E"/>
    <w:rsid w:val="169E4D98"/>
    <w:rsid w:val="16A73955"/>
    <w:rsid w:val="16AC3E5F"/>
    <w:rsid w:val="16AC72F2"/>
    <w:rsid w:val="16C665A1"/>
    <w:rsid w:val="16C7384B"/>
    <w:rsid w:val="16C927D9"/>
    <w:rsid w:val="16CE5429"/>
    <w:rsid w:val="16D863BD"/>
    <w:rsid w:val="16DC2BD6"/>
    <w:rsid w:val="16E83AB9"/>
    <w:rsid w:val="16E92B57"/>
    <w:rsid w:val="16F168CF"/>
    <w:rsid w:val="17062FB3"/>
    <w:rsid w:val="17146D6E"/>
    <w:rsid w:val="172D4E01"/>
    <w:rsid w:val="172E3746"/>
    <w:rsid w:val="1735154F"/>
    <w:rsid w:val="1735585F"/>
    <w:rsid w:val="175408DB"/>
    <w:rsid w:val="17580BFA"/>
    <w:rsid w:val="175C5F54"/>
    <w:rsid w:val="17662B80"/>
    <w:rsid w:val="177806D7"/>
    <w:rsid w:val="177C4CCF"/>
    <w:rsid w:val="177E6738"/>
    <w:rsid w:val="178262FF"/>
    <w:rsid w:val="17885C49"/>
    <w:rsid w:val="178B300A"/>
    <w:rsid w:val="17972E54"/>
    <w:rsid w:val="17975717"/>
    <w:rsid w:val="17AB7EE2"/>
    <w:rsid w:val="17AE51AD"/>
    <w:rsid w:val="17C975A6"/>
    <w:rsid w:val="17D26312"/>
    <w:rsid w:val="17DD6D7C"/>
    <w:rsid w:val="17EA3757"/>
    <w:rsid w:val="18110B54"/>
    <w:rsid w:val="181C6025"/>
    <w:rsid w:val="182941A7"/>
    <w:rsid w:val="182B7277"/>
    <w:rsid w:val="183854F0"/>
    <w:rsid w:val="183A7A2F"/>
    <w:rsid w:val="1845143D"/>
    <w:rsid w:val="184D3D9B"/>
    <w:rsid w:val="185271E6"/>
    <w:rsid w:val="18595682"/>
    <w:rsid w:val="18691F1A"/>
    <w:rsid w:val="18694E02"/>
    <w:rsid w:val="186C1F36"/>
    <w:rsid w:val="186F04F9"/>
    <w:rsid w:val="186F5A80"/>
    <w:rsid w:val="187861B6"/>
    <w:rsid w:val="187E0FDF"/>
    <w:rsid w:val="18832269"/>
    <w:rsid w:val="188B1B49"/>
    <w:rsid w:val="1898593C"/>
    <w:rsid w:val="189D6131"/>
    <w:rsid w:val="189D72C6"/>
    <w:rsid w:val="18A92F58"/>
    <w:rsid w:val="18B7000E"/>
    <w:rsid w:val="18CD0364"/>
    <w:rsid w:val="18ED19C9"/>
    <w:rsid w:val="18F45C67"/>
    <w:rsid w:val="18F65616"/>
    <w:rsid w:val="18FC273E"/>
    <w:rsid w:val="19006360"/>
    <w:rsid w:val="19057781"/>
    <w:rsid w:val="19073455"/>
    <w:rsid w:val="190E24F8"/>
    <w:rsid w:val="19105FD3"/>
    <w:rsid w:val="193443A9"/>
    <w:rsid w:val="194D4DE3"/>
    <w:rsid w:val="194D570B"/>
    <w:rsid w:val="19513A98"/>
    <w:rsid w:val="1953353C"/>
    <w:rsid w:val="19570F26"/>
    <w:rsid w:val="19584D2C"/>
    <w:rsid w:val="195D7AD6"/>
    <w:rsid w:val="19661154"/>
    <w:rsid w:val="19672F9C"/>
    <w:rsid w:val="19780693"/>
    <w:rsid w:val="197E199B"/>
    <w:rsid w:val="198820F2"/>
    <w:rsid w:val="19893B1E"/>
    <w:rsid w:val="198B4C80"/>
    <w:rsid w:val="198D1DFB"/>
    <w:rsid w:val="198E713E"/>
    <w:rsid w:val="19922298"/>
    <w:rsid w:val="19AB73CC"/>
    <w:rsid w:val="19AD7668"/>
    <w:rsid w:val="19B55589"/>
    <w:rsid w:val="19B573D2"/>
    <w:rsid w:val="19BE5D3D"/>
    <w:rsid w:val="19C43997"/>
    <w:rsid w:val="19C8575F"/>
    <w:rsid w:val="19CC3E94"/>
    <w:rsid w:val="19CD6CDB"/>
    <w:rsid w:val="19E52665"/>
    <w:rsid w:val="19EE645E"/>
    <w:rsid w:val="19F1113F"/>
    <w:rsid w:val="19F43468"/>
    <w:rsid w:val="1A012402"/>
    <w:rsid w:val="1A076999"/>
    <w:rsid w:val="1A2D0B6F"/>
    <w:rsid w:val="1A320B3E"/>
    <w:rsid w:val="1A322992"/>
    <w:rsid w:val="1A3A0548"/>
    <w:rsid w:val="1A426052"/>
    <w:rsid w:val="1A6E0DEC"/>
    <w:rsid w:val="1A6F727E"/>
    <w:rsid w:val="1A75035B"/>
    <w:rsid w:val="1A7E4BB7"/>
    <w:rsid w:val="1A923FE7"/>
    <w:rsid w:val="1A965276"/>
    <w:rsid w:val="1A965B81"/>
    <w:rsid w:val="1A9A5D57"/>
    <w:rsid w:val="1AB01FD4"/>
    <w:rsid w:val="1ABE4585"/>
    <w:rsid w:val="1ACE0F3F"/>
    <w:rsid w:val="1AD75258"/>
    <w:rsid w:val="1AEB2282"/>
    <w:rsid w:val="1AF25494"/>
    <w:rsid w:val="1AF8075F"/>
    <w:rsid w:val="1B0470F1"/>
    <w:rsid w:val="1B0810C7"/>
    <w:rsid w:val="1B0A4579"/>
    <w:rsid w:val="1B34709D"/>
    <w:rsid w:val="1B3D5D5A"/>
    <w:rsid w:val="1B3D6FDB"/>
    <w:rsid w:val="1B3E6B43"/>
    <w:rsid w:val="1B40447F"/>
    <w:rsid w:val="1B434402"/>
    <w:rsid w:val="1B5320E1"/>
    <w:rsid w:val="1B667A89"/>
    <w:rsid w:val="1B6B200B"/>
    <w:rsid w:val="1B6E188F"/>
    <w:rsid w:val="1B73657F"/>
    <w:rsid w:val="1B7C0241"/>
    <w:rsid w:val="1B7E4801"/>
    <w:rsid w:val="1B850412"/>
    <w:rsid w:val="1B861011"/>
    <w:rsid w:val="1B8A5BA0"/>
    <w:rsid w:val="1B8E5E7E"/>
    <w:rsid w:val="1B9A1C56"/>
    <w:rsid w:val="1BA36DAE"/>
    <w:rsid w:val="1BA4372A"/>
    <w:rsid w:val="1BAC01BC"/>
    <w:rsid w:val="1BB83C4E"/>
    <w:rsid w:val="1BC46B5E"/>
    <w:rsid w:val="1BCA22DA"/>
    <w:rsid w:val="1BCF533D"/>
    <w:rsid w:val="1BE30445"/>
    <w:rsid w:val="1C070C3A"/>
    <w:rsid w:val="1C273392"/>
    <w:rsid w:val="1C3D30E2"/>
    <w:rsid w:val="1C75356F"/>
    <w:rsid w:val="1C8118C3"/>
    <w:rsid w:val="1C8843CB"/>
    <w:rsid w:val="1C894A35"/>
    <w:rsid w:val="1C90693D"/>
    <w:rsid w:val="1C971EF7"/>
    <w:rsid w:val="1CAA0C50"/>
    <w:rsid w:val="1CB75E16"/>
    <w:rsid w:val="1CB80DBB"/>
    <w:rsid w:val="1CC31FA7"/>
    <w:rsid w:val="1CDF596D"/>
    <w:rsid w:val="1CE21462"/>
    <w:rsid w:val="1CFA703A"/>
    <w:rsid w:val="1D0559AA"/>
    <w:rsid w:val="1D1E0907"/>
    <w:rsid w:val="1D322E9A"/>
    <w:rsid w:val="1D3B006C"/>
    <w:rsid w:val="1D3C4A55"/>
    <w:rsid w:val="1D3E4034"/>
    <w:rsid w:val="1D41263C"/>
    <w:rsid w:val="1D5A5A1E"/>
    <w:rsid w:val="1D5F175C"/>
    <w:rsid w:val="1D7A5592"/>
    <w:rsid w:val="1D7A6EBC"/>
    <w:rsid w:val="1D811594"/>
    <w:rsid w:val="1D8D0570"/>
    <w:rsid w:val="1D9405F4"/>
    <w:rsid w:val="1D9D061F"/>
    <w:rsid w:val="1D9D26F2"/>
    <w:rsid w:val="1DBD0E57"/>
    <w:rsid w:val="1DC06C1E"/>
    <w:rsid w:val="1DC15C59"/>
    <w:rsid w:val="1DC23E3D"/>
    <w:rsid w:val="1DC93F46"/>
    <w:rsid w:val="1DE13E60"/>
    <w:rsid w:val="1DEA02BB"/>
    <w:rsid w:val="1DEB362E"/>
    <w:rsid w:val="1DF129C0"/>
    <w:rsid w:val="1DF5537A"/>
    <w:rsid w:val="1DFA56C4"/>
    <w:rsid w:val="1E0203D7"/>
    <w:rsid w:val="1E0703DA"/>
    <w:rsid w:val="1E1C1848"/>
    <w:rsid w:val="1E254885"/>
    <w:rsid w:val="1E3466E5"/>
    <w:rsid w:val="1E350A29"/>
    <w:rsid w:val="1E3F28D7"/>
    <w:rsid w:val="1E73779A"/>
    <w:rsid w:val="1E787468"/>
    <w:rsid w:val="1E84158E"/>
    <w:rsid w:val="1E847496"/>
    <w:rsid w:val="1E866846"/>
    <w:rsid w:val="1E9275E5"/>
    <w:rsid w:val="1E950A65"/>
    <w:rsid w:val="1EA22BCB"/>
    <w:rsid w:val="1EAC45DD"/>
    <w:rsid w:val="1EB71F96"/>
    <w:rsid w:val="1EBF4A01"/>
    <w:rsid w:val="1EC51D21"/>
    <w:rsid w:val="1ED03740"/>
    <w:rsid w:val="1EE75415"/>
    <w:rsid w:val="1EE950B4"/>
    <w:rsid w:val="1EF027E5"/>
    <w:rsid w:val="1EF03DC7"/>
    <w:rsid w:val="1EFA043D"/>
    <w:rsid w:val="1EFA4F93"/>
    <w:rsid w:val="1F0B436C"/>
    <w:rsid w:val="1F0E5BC5"/>
    <w:rsid w:val="1F2402B4"/>
    <w:rsid w:val="1F271EA6"/>
    <w:rsid w:val="1F295FD6"/>
    <w:rsid w:val="1F3252A3"/>
    <w:rsid w:val="1F3255AC"/>
    <w:rsid w:val="1F3E3EC1"/>
    <w:rsid w:val="1F461399"/>
    <w:rsid w:val="1F4B1530"/>
    <w:rsid w:val="1F523A71"/>
    <w:rsid w:val="1F55107F"/>
    <w:rsid w:val="1F583B35"/>
    <w:rsid w:val="1F5D45AC"/>
    <w:rsid w:val="1F691B04"/>
    <w:rsid w:val="1F71558D"/>
    <w:rsid w:val="1F724EEF"/>
    <w:rsid w:val="1F816AD6"/>
    <w:rsid w:val="1F883A95"/>
    <w:rsid w:val="1F9D0D19"/>
    <w:rsid w:val="1FA17176"/>
    <w:rsid w:val="1FA356D8"/>
    <w:rsid w:val="1FA671C0"/>
    <w:rsid w:val="1FC03531"/>
    <w:rsid w:val="1FC87825"/>
    <w:rsid w:val="1FC90E24"/>
    <w:rsid w:val="1FCA13F1"/>
    <w:rsid w:val="1FCE452E"/>
    <w:rsid w:val="1FCF64FF"/>
    <w:rsid w:val="1FDB1312"/>
    <w:rsid w:val="1FF118BB"/>
    <w:rsid w:val="1FF46574"/>
    <w:rsid w:val="20050465"/>
    <w:rsid w:val="200C71F0"/>
    <w:rsid w:val="200F30BB"/>
    <w:rsid w:val="201E2B93"/>
    <w:rsid w:val="202A0C87"/>
    <w:rsid w:val="202A390C"/>
    <w:rsid w:val="202D03E2"/>
    <w:rsid w:val="20306356"/>
    <w:rsid w:val="203B0D10"/>
    <w:rsid w:val="205C5558"/>
    <w:rsid w:val="20624C7A"/>
    <w:rsid w:val="20640801"/>
    <w:rsid w:val="20750F63"/>
    <w:rsid w:val="208676AD"/>
    <w:rsid w:val="208F0C30"/>
    <w:rsid w:val="20B31ACF"/>
    <w:rsid w:val="20B43FC1"/>
    <w:rsid w:val="20B64419"/>
    <w:rsid w:val="20BC278F"/>
    <w:rsid w:val="20C35D43"/>
    <w:rsid w:val="20C80401"/>
    <w:rsid w:val="20CB2D48"/>
    <w:rsid w:val="20D74661"/>
    <w:rsid w:val="20D92E5A"/>
    <w:rsid w:val="20E57E13"/>
    <w:rsid w:val="20E96CBF"/>
    <w:rsid w:val="20F15475"/>
    <w:rsid w:val="20F97E6C"/>
    <w:rsid w:val="20FF3CAE"/>
    <w:rsid w:val="21076E1A"/>
    <w:rsid w:val="21097771"/>
    <w:rsid w:val="210B265B"/>
    <w:rsid w:val="21276CE4"/>
    <w:rsid w:val="212B5F2D"/>
    <w:rsid w:val="212D04FC"/>
    <w:rsid w:val="21394FC8"/>
    <w:rsid w:val="215277A1"/>
    <w:rsid w:val="215E4F41"/>
    <w:rsid w:val="216216B1"/>
    <w:rsid w:val="21637528"/>
    <w:rsid w:val="21647051"/>
    <w:rsid w:val="216E00B8"/>
    <w:rsid w:val="2170564E"/>
    <w:rsid w:val="217D5F4B"/>
    <w:rsid w:val="21865BDE"/>
    <w:rsid w:val="21880022"/>
    <w:rsid w:val="21952C95"/>
    <w:rsid w:val="21A7016F"/>
    <w:rsid w:val="21A72B6F"/>
    <w:rsid w:val="21A866AE"/>
    <w:rsid w:val="21AF4388"/>
    <w:rsid w:val="21C53B8C"/>
    <w:rsid w:val="21CF5785"/>
    <w:rsid w:val="21D36BC2"/>
    <w:rsid w:val="21E1696C"/>
    <w:rsid w:val="21E27F18"/>
    <w:rsid w:val="21E80063"/>
    <w:rsid w:val="21E81810"/>
    <w:rsid w:val="21EA0FB8"/>
    <w:rsid w:val="21EA3BE8"/>
    <w:rsid w:val="21F01E57"/>
    <w:rsid w:val="21F10F1A"/>
    <w:rsid w:val="21FE5A22"/>
    <w:rsid w:val="220549C9"/>
    <w:rsid w:val="221B5C9D"/>
    <w:rsid w:val="22201913"/>
    <w:rsid w:val="22383D4C"/>
    <w:rsid w:val="22543685"/>
    <w:rsid w:val="22547999"/>
    <w:rsid w:val="22643DAA"/>
    <w:rsid w:val="226C48DF"/>
    <w:rsid w:val="227E7705"/>
    <w:rsid w:val="228A0179"/>
    <w:rsid w:val="228F21A5"/>
    <w:rsid w:val="229071EB"/>
    <w:rsid w:val="22913208"/>
    <w:rsid w:val="22BB471F"/>
    <w:rsid w:val="22CF46F0"/>
    <w:rsid w:val="22D53F2E"/>
    <w:rsid w:val="22EB28E4"/>
    <w:rsid w:val="230326B3"/>
    <w:rsid w:val="2307460F"/>
    <w:rsid w:val="23077761"/>
    <w:rsid w:val="231019BB"/>
    <w:rsid w:val="232E20B3"/>
    <w:rsid w:val="232E62E2"/>
    <w:rsid w:val="23324038"/>
    <w:rsid w:val="23334B8C"/>
    <w:rsid w:val="2342290A"/>
    <w:rsid w:val="23494D97"/>
    <w:rsid w:val="234D5D60"/>
    <w:rsid w:val="234F052F"/>
    <w:rsid w:val="23504EFB"/>
    <w:rsid w:val="23522174"/>
    <w:rsid w:val="23573AAC"/>
    <w:rsid w:val="2359375A"/>
    <w:rsid w:val="2368047E"/>
    <w:rsid w:val="23702454"/>
    <w:rsid w:val="23816025"/>
    <w:rsid w:val="2389619D"/>
    <w:rsid w:val="238A1057"/>
    <w:rsid w:val="23931128"/>
    <w:rsid w:val="239900AB"/>
    <w:rsid w:val="23A52928"/>
    <w:rsid w:val="23B822D7"/>
    <w:rsid w:val="23BB47E1"/>
    <w:rsid w:val="23BF0A46"/>
    <w:rsid w:val="23C82AD2"/>
    <w:rsid w:val="23CF16CC"/>
    <w:rsid w:val="23D1738F"/>
    <w:rsid w:val="23D271F3"/>
    <w:rsid w:val="23D3288E"/>
    <w:rsid w:val="23D33E51"/>
    <w:rsid w:val="23E50305"/>
    <w:rsid w:val="23F5445F"/>
    <w:rsid w:val="2400776D"/>
    <w:rsid w:val="240C7CB5"/>
    <w:rsid w:val="240D5235"/>
    <w:rsid w:val="240E55D7"/>
    <w:rsid w:val="241714E9"/>
    <w:rsid w:val="242E2799"/>
    <w:rsid w:val="2432774F"/>
    <w:rsid w:val="24346CD5"/>
    <w:rsid w:val="2437033B"/>
    <w:rsid w:val="245C5916"/>
    <w:rsid w:val="24795318"/>
    <w:rsid w:val="247B5A47"/>
    <w:rsid w:val="247D3E43"/>
    <w:rsid w:val="248069E5"/>
    <w:rsid w:val="248824F3"/>
    <w:rsid w:val="24884CB6"/>
    <w:rsid w:val="248A7A06"/>
    <w:rsid w:val="24975723"/>
    <w:rsid w:val="249C0D75"/>
    <w:rsid w:val="249E649D"/>
    <w:rsid w:val="24A668FA"/>
    <w:rsid w:val="24B45CA7"/>
    <w:rsid w:val="24D53010"/>
    <w:rsid w:val="24DF2A10"/>
    <w:rsid w:val="24E476F0"/>
    <w:rsid w:val="24E50305"/>
    <w:rsid w:val="24EB2E45"/>
    <w:rsid w:val="24EE37F7"/>
    <w:rsid w:val="24F3020D"/>
    <w:rsid w:val="25024213"/>
    <w:rsid w:val="2507398E"/>
    <w:rsid w:val="250C797A"/>
    <w:rsid w:val="25115943"/>
    <w:rsid w:val="25253C13"/>
    <w:rsid w:val="2532216A"/>
    <w:rsid w:val="253A4B9E"/>
    <w:rsid w:val="25497EB9"/>
    <w:rsid w:val="254D0421"/>
    <w:rsid w:val="25545B89"/>
    <w:rsid w:val="25731596"/>
    <w:rsid w:val="2599260A"/>
    <w:rsid w:val="25995042"/>
    <w:rsid w:val="25AB2795"/>
    <w:rsid w:val="25DA73EB"/>
    <w:rsid w:val="25DF70A0"/>
    <w:rsid w:val="25E33512"/>
    <w:rsid w:val="25E64996"/>
    <w:rsid w:val="25F12678"/>
    <w:rsid w:val="25F25380"/>
    <w:rsid w:val="25FE3370"/>
    <w:rsid w:val="2601508F"/>
    <w:rsid w:val="260F73AD"/>
    <w:rsid w:val="26191D4C"/>
    <w:rsid w:val="262D6415"/>
    <w:rsid w:val="26393332"/>
    <w:rsid w:val="263E24B9"/>
    <w:rsid w:val="26403AE0"/>
    <w:rsid w:val="265A5CC5"/>
    <w:rsid w:val="265E4452"/>
    <w:rsid w:val="26697541"/>
    <w:rsid w:val="267451D9"/>
    <w:rsid w:val="26790707"/>
    <w:rsid w:val="267907DD"/>
    <w:rsid w:val="267D224A"/>
    <w:rsid w:val="268603D9"/>
    <w:rsid w:val="2687482C"/>
    <w:rsid w:val="268857D5"/>
    <w:rsid w:val="26895A63"/>
    <w:rsid w:val="26953729"/>
    <w:rsid w:val="26A5417D"/>
    <w:rsid w:val="26B95024"/>
    <w:rsid w:val="26BB0916"/>
    <w:rsid w:val="26BB754F"/>
    <w:rsid w:val="26CB5266"/>
    <w:rsid w:val="26D300D3"/>
    <w:rsid w:val="26E029CA"/>
    <w:rsid w:val="26E67667"/>
    <w:rsid w:val="26E73396"/>
    <w:rsid w:val="26F33E7D"/>
    <w:rsid w:val="26FC4647"/>
    <w:rsid w:val="26FF11B5"/>
    <w:rsid w:val="27093D40"/>
    <w:rsid w:val="270C4BE5"/>
    <w:rsid w:val="2715201B"/>
    <w:rsid w:val="271A2370"/>
    <w:rsid w:val="27234C63"/>
    <w:rsid w:val="272C1AC5"/>
    <w:rsid w:val="2740282D"/>
    <w:rsid w:val="27464796"/>
    <w:rsid w:val="2750396B"/>
    <w:rsid w:val="27556D8D"/>
    <w:rsid w:val="275D474F"/>
    <w:rsid w:val="275F177F"/>
    <w:rsid w:val="27647C3F"/>
    <w:rsid w:val="27680552"/>
    <w:rsid w:val="277C63E4"/>
    <w:rsid w:val="27941EBE"/>
    <w:rsid w:val="27B5026B"/>
    <w:rsid w:val="27BB4FA9"/>
    <w:rsid w:val="27C744C6"/>
    <w:rsid w:val="27D705BE"/>
    <w:rsid w:val="27DA6CB7"/>
    <w:rsid w:val="27EB67A6"/>
    <w:rsid w:val="27EC718B"/>
    <w:rsid w:val="27F12792"/>
    <w:rsid w:val="27F5058B"/>
    <w:rsid w:val="280124C6"/>
    <w:rsid w:val="28057B04"/>
    <w:rsid w:val="280B67A5"/>
    <w:rsid w:val="281651CB"/>
    <w:rsid w:val="281B57EB"/>
    <w:rsid w:val="28270881"/>
    <w:rsid w:val="282C106B"/>
    <w:rsid w:val="282C75D6"/>
    <w:rsid w:val="28343883"/>
    <w:rsid w:val="284F1322"/>
    <w:rsid w:val="285B6EB2"/>
    <w:rsid w:val="286869A4"/>
    <w:rsid w:val="286A4C98"/>
    <w:rsid w:val="286E1036"/>
    <w:rsid w:val="288809FA"/>
    <w:rsid w:val="2893202B"/>
    <w:rsid w:val="28941CA0"/>
    <w:rsid w:val="28970BBF"/>
    <w:rsid w:val="289D39AA"/>
    <w:rsid w:val="28AC4C9B"/>
    <w:rsid w:val="28C53A10"/>
    <w:rsid w:val="28D516B5"/>
    <w:rsid w:val="28D706E0"/>
    <w:rsid w:val="28E110E7"/>
    <w:rsid w:val="28E64996"/>
    <w:rsid w:val="28F42493"/>
    <w:rsid w:val="29015197"/>
    <w:rsid w:val="29032AED"/>
    <w:rsid w:val="291A2DEE"/>
    <w:rsid w:val="29212124"/>
    <w:rsid w:val="29235AB3"/>
    <w:rsid w:val="293F14BD"/>
    <w:rsid w:val="296C2D1E"/>
    <w:rsid w:val="297E5A59"/>
    <w:rsid w:val="29890BD4"/>
    <w:rsid w:val="298A4045"/>
    <w:rsid w:val="298A4457"/>
    <w:rsid w:val="299E1A14"/>
    <w:rsid w:val="29B15C7D"/>
    <w:rsid w:val="29C222C0"/>
    <w:rsid w:val="29C36D08"/>
    <w:rsid w:val="29D34244"/>
    <w:rsid w:val="29E146C9"/>
    <w:rsid w:val="29EE1614"/>
    <w:rsid w:val="2A06191E"/>
    <w:rsid w:val="2A220866"/>
    <w:rsid w:val="2A2732AA"/>
    <w:rsid w:val="2A316884"/>
    <w:rsid w:val="2A464410"/>
    <w:rsid w:val="2A466B9D"/>
    <w:rsid w:val="2A5556DD"/>
    <w:rsid w:val="2A6A7121"/>
    <w:rsid w:val="2A874A49"/>
    <w:rsid w:val="2A8B13F6"/>
    <w:rsid w:val="2A913260"/>
    <w:rsid w:val="2AA96FD9"/>
    <w:rsid w:val="2AEF341F"/>
    <w:rsid w:val="2AF072C8"/>
    <w:rsid w:val="2B041481"/>
    <w:rsid w:val="2B185877"/>
    <w:rsid w:val="2B1A2D24"/>
    <w:rsid w:val="2B205178"/>
    <w:rsid w:val="2B2E2374"/>
    <w:rsid w:val="2B2F3A61"/>
    <w:rsid w:val="2B355A13"/>
    <w:rsid w:val="2B3E63BC"/>
    <w:rsid w:val="2B42469A"/>
    <w:rsid w:val="2B4369D3"/>
    <w:rsid w:val="2B4E2FDB"/>
    <w:rsid w:val="2B5013E4"/>
    <w:rsid w:val="2B526813"/>
    <w:rsid w:val="2B543356"/>
    <w:rsid w:val="2B584E95"/>
    <w:rsid w:val="2B6215B4"/>
    <w:rsid w:val="2B634E5E"/>
    <w:rsid w:val="2B6A6E6F"/>
    <w:rsid w:val="2B6C57FF"/>
    <w:rsid w:val="2B8B291E"/>
    <w:rsid w:val="2B8C011D"/>
    <w:rsid w:val="2B9841EF"/>
    <w:rsid w:val="2BA46441"/>
    <w:rsid w:val="2BB40845"/>
    <w:rsid w:val="2BB62097"/>
    <w:rsid w:val="2BC33A9D"/>
    <w:rsid w:val="2BD37043"/>
    <w:rsid w:val="2BD37AE9"/>
    <w:rsid w:val="2BFB3C7C"/>
    <w:rsid w:val="2C046F2B"/>
    <w:rsid w:val="2C2B431D"/>
    <w:rsid w:val="2C335246"/>
    <w:rsid w:val="2C353402"/>
    <w:rsid w:val="2C377ED2"/>
    <w:rsid w:val="2C44550A"/>
    <w:rsid w:val="2C462D77"/>
    <w:rsid w:val="2C522B4E"/>
    <w:rsid w:val="2C6E4630"/>
    <w:rsid w:val="2C981322"/>
    <w:rsid w:val="2C9D47CF"/>
    <w:rsid w:val="2CA92DD3"/>
    <w:rsid w:val="2CBB4770"/>
    <w:rsid w:val="2CC2666F"/>
    <w:rsid w:val="2CDF7D92"/>
    <w:rsid w:val="2CE77FB6"/>
    <w:rsid w:val="2D06323A"/>
    <w:rsid w:val="2D0957BD"/>
    <w:rsid w:val="2D0D340C"/>
    <w:rsid w:val="2D3A32F3"/>
    <w:rsid w:val="2D435087"/>
    <w:rsid w:val="2D5706A2"/>
    <w:rsid w:val="2D681D87"/>
    <w:rsid w:val="2D695F06"/>
    <w:rsid w:val="2D6D3914"/>
    <w:rsid w:val="2D80254D"/>
    <w:rsid w:val="2D806A79"/>
    <w:rsid w:val="2D8B1B77"/>
    <w:rsid w:val="2D8C3710"/>
    <w:rsid w:val="2D901149"/>
    <w:rsid w:val="2D926E67"/>
    <w:rsid w:val="2D98177D"/>
    <w:rsid w:val="2DAA3C0F"/>
    <w:rsid w:val="2DAF05EB"/>
    <w:rsid w:val="2DB25262"/>
    <w:rsid w:val="2DB566BD"/>
    <w:rsid w:val="2DC6098F"/>
    <w:rsid w:val="2DC629CF"/>
    <w:rsid w:val="2DD8097A"/>
    <w:rsid w:val="2DDE48AD"/>
    <w:rsid w:val="2DEF6428"/>
    <w:rsid w:val="2E012838"/>
    <w:rsid w:val="2E0870DD"/>
    <w:rsid w:val="2E2C5A31"/>
    <w:rsid w:val="2E2E2AF1"/>
    <w:rsid w:val="2E3342D9"/>
    <w:rsid w:val="2E44429D"/>
    <w:rsid w:val="2E4868DE"/>
    <w:rsid w:val="2E4E31BA"/>
    <w:rsid w:val="2E5F3E24"/>
    <w:rsid w:val="2E6708F9"/>
    <w:rsid w:val="2E6A0A43"/>
    <w:rsid w:val="2E763E93"/>
    <w:rsid w:val="2E7A7C19"/>
    <w:rsid w:val="2E8B3167"/>
    <w:rsid w:val="2E98072D"/>
    <w:rsid w:val="2EA36C2D"/>
    <w:rsid w:val="2EA47B3C"/>
    <w:rsid w:val="2EB5108A"/>
    <w:rsid w:val="2EC55783"/>
    <w:rsid w:val="2ED84B50"/>
    <w:rsid w:val="2EED26EC"/>
    <w:rsid w:val="2EEE0BF6"/>
    <w:rsid w:val="2EF05461"/>
    <w:rsid w:val="2EF73914"/>
    <w:rsid w:val="2F070AD3"/>
    <w:rsid w:val="2F120D11"/>
    <w:rsid w:val="2F1C29AA"/>
    <w:rsid w:val="2F1E0710"/>
    <w:rsid w:val="2F315824"/>
    <w:rsid w:val="2F3A1154"/>
    <w:rsid w:val="2F467327"/>
    <w:rsid w:val="2F6B3C7B"/>
    <w:rsid w:val="2F792341"/>
    <w:rsid w:val="2F864FEC"/>
    <w:rsid w:val="2F9E3E4E"/>
    <w:rsid w:val="2FB81075"/>
    <w:rsid w:val="2FCB1485"/>
    <w:rsid w:val="2FD92DE2"/>
    <w:rsid w:val="2FDB4C11"/>
    <w:rsid w:val="2FE42A83"/>
    <w:rsid w:val="2FE82EBF"/>
    <w:rsid w:val="2FEB372C"/>
    <w:rsid w:val="2FEE1547"/>
    <w:rsid w:val="2FF27121"/>
    <w:rsid w:val="2FF9479C"/>
    <w:rsid w:val="300C75FD"/>
    <w:rsid w:val="30181FE9"/>
    <w:rsid w:val="3041640D"/>
    <w:rsid w:val="30573739"/>
    <w:rsid w:val="306138FE"/>
    <w:rsid w:val="30682D43"/>
    <w:rsid w:val="308A0DEE"/>
    <w:rsid w:val="308C021F"/>
    <w:rsid w:val="30974C23"/>
    <w:rsid w:val="30A412D4"/>
    <w:rsid w:val="30A511CC"/>
    <w:rsid w:val="30B216D7"/>
    <w:rsid w:val="30BA6CEE"/>
    <w:rsid w:val="30CC58C6"/>
    <w:rsid w:val="30DF1A46"/>
    <w:rsid w:val="31014382"/>
    <w:rsid w:val="310578CC"/>
    <w:rsid w:val="31096574"/>
    <w:rsid w:val="310F3910"/>
    <w:rsid w:val="31274AEB"/>
    <w:rsid w:val="31275F51"/>
    <w:rsid w:val="3135131B"/>
    <w:rsid w:val="313E6CAF"/>
    <w:rsid w:val="314400ED"/>
    <w:rsid w:val="314E2CD3"/>
    <w:rsid w:val="31551471"/>
    <w:rsid w:val="31560872"/>
    <w:rsid w:val="31646823"/>
    <w:rsid w:val="31725D34"/>
    <w:rsid w:val="317B5BD5"/>
    <w:rsid w:val="318A6298"/>
    <w:rsid w:val="31954D67"/>
    <w:rsid w:val="319A4EEF"/>
    <w:rsid w:val="31AC72EA"/>
    <w:rsid w:val="31B33832"/>
    <w:rsid w:val="31B46FB0"/>
    <w:rsid w:val="31B530B3"/>
    <w:rsid w:val="31C24E7E"/>
    <w:rsid w:val="31C377A3"/>
    <w:rsid w:val="31CA67B3"/>
    <w:rsid w:val="31DA5B58"/>
    <w:rsid w:val="31DA6CC0"/>
    <w:rsid w:val="31F36E2D"/>
    <w:rsid w:val="31F47D31"/>
    <w:rsid w:val="32004AB9"/>
    <w:rsid w:val="320D2DFE"/>
    <w:rsid w:val="321973A4"/>
    <w:rsid w:val="321A4558"/>
    <w:rsid w:val="322228D1"/>
    <w:rsid w:val="32224852"/>
    <w:rsid w:val="32382CB7"/>
    <w:rsid w:val="325245B1"/>
    <w:rsid w:val="325B367F"/>
    <w:rsid w:val="326D2431"/>
    <w:rsid w:val="3271458E"/>
    <w:rsid w:val="32784429"/>
    <w:rsid w:val="327B460C"/>
    <w:rsid w:val="327D31AF"/>
    <w:rsid w:val="328B1A83"/>
    <w:rsid w:val="328D49B6"/>
    <w:rsid w:val="328E6548"/>
    <w:rsid w:val="32925479"/>
    <w:rsid w:val="3297743B"/>
    <w:rsid w:val="32AB34A8"/>
    <w:rsid w:val="32B23B29"/>
    <w:rsid w:val="32BD5D60"/>
    <w:rsid w:val="32C10C04"/>
    <w:rsid w:val="32C10EAC"/>
    <w:rsid w:val="32C65396"/>
    <w:rsid w:val="32D0411F"/>
    <w:rsid w:val="32D1440C"/>
    <w:rsid w:val="32D271CB"/>
    <w:rsid w:val="32D52DF7"/>
    <w:rsid w:val="32D87C01"/>
    <w:rsid w:val="32DE6CD3"/>
    <w:rsid w:val="32E12EE0"/>
    <w:rsid w:val="32E54630"/>
    <w:rsid w:val="32FA5EF5"/>
    <w:rsid w:val="32FF7C44"/>
    <w:rsid w:val="330E70DC"/>
    <w:rsid w:val="33114A20"/>
    <w:rsid w:val="333F4A18"/>
    <w:rsid w:val="33487E17"/>
    <w:rsid w:val="335E7841"/>
    <w:rsid w:val="3363677F"/>
    <w:rsid w:val="336A10EB"/>
    <w:rsid w:val="33780C28"/>
    <w:rsid w:val="338A3EA1"/>
    <w:rsid w:val="33977767"/>
    <w:rsid w:val="339D1A16"/>
    <w:rsid w:val="33A83A42"/>
    <w:rsid w:val="33C053D3"/>
    <w:rsid w:val="33C15422"/>
    <w:rsid w:val="33C731C1"/>
    <w:rsid w:val="33D8383B"/>
    <w:rsid w:val="33EE4C48"/>
    <w:rsid w:val="33F50CC4"/>
    <w:rsid w:val="33F75A3E"/>
    <w:rsid w:val="33FD0B58"/>
    <w:rsid w:val="340031DB"/>
    <w:rsid w:val="34021DB0"/>
    <w:rsid w:val="34067E54"/>
    <w:rsid w:val="340744D9"/>
    <w:rsid w:val="340D21EA"/>
    <w:rsid w:val="340D579D"/>
    <w:rsid w:val="34187E0F"/>
    <w:rsid w:val="341E16C1"/>
    <w:rsid w:val="34373C66"/>
    <w:rsid w:val="34377944"/>
    <w:rsid w:val="34432367"/>
    <w:rsid w:val="344529FF"/>
    <w:rsid w:val="34521A45"/>
    <w:rsid w:val="34653DCA"/>
    <w:rsid w:val="347515AC"/>
    <w:rsid w:val="347A5CC9"/>
    <w:rsid w:val="347F7F13"/>
    <w:rsid w:val="3494333C"/>
    <w:rsid w:val="34A459D8"/>
    <w:rsid w:val="34AF2FE3"/>
    <w:rsid w:val="34B440BF"/>
    <w:rsid w:val="34BD09DA"/>
    <w:rsid w:val="34C078BD"/>
    <w:rsid w:val="34C70E9B"/>
    <w:rsid w:val="34D058E0"/>
    <w:rsid w:val="34DF0A44"/>
    <w:rsid w:val="34E751E0"/>
    <w:rsid w:val="34E97E53"/>
    <w:rsid w:val="34F33886"/>
    <w:rsid w:val="34F60C0F"/>
    <w:rsid w:val="35005BCD"/>
    <w:rsid w:val="35151BFA"/>
    <w:rsid w:val="3519166C"/>
    <w:rsid w:val="351B3FCF"/>
    <w:rsid w:val="351F327E"/>
    <w:rsid w:val="351F4550"/>
    <w:rsid w:val="352246B1"/>
    <w:rsid w:val="353062C2"/>
    <w:rsid w:val="35331E25"/>
    <w:rsid w:val="35362070"/>
    <w:rsid w:val="353A08FD"/>
    <w:rsid w:val="353A4020"/>
    <w:rsid w:val="353D33B7"/>
    <w:rsid w:val="355453B2"/>
    <w:rsid w:val="356033F1"/>
    <w:rsid w:val="3567514F"/>
    <w:rsid w:val="356A272F"/>
    <w:rsid w:val="356C6BCE"/>
    <w:rsid w:val="35712004"/>
    <w:rsid w:val="35714972"/>
    <w:rsid w:val="357531C2"/>
    <w:rsid w:val="35760F90"/>
    <w:rsid w:val="3583033D"/>
    <w:rsid w:val="358D3707"/>
    <w:rsid w:val="359404A4"/>
    <w:rsid w:val="35A609E5"/>
    <w:rsid w:val="35B225E4"/>
    <w:rsid w:val="35B7346F"/>
    <w:rsid w:val="35D6479A"/>
    <w:rsid w:val="35D82ACB"/>
    <w:rsid w:val="35D978FC"/>
    <w:rsid w:val="35DC57D4"/>
    <w:rsid w:val="35E73685"/>
    <w:rsid w:val="35FE75CD"/>
    <w:rsid w:val="35FF7726"/>
    <w:rsid w:val="36060A1C"/>
    <w:rsid w:val="361A23B3"/>
    <w:rsid w:val="36274A52"/>
    <w:rsid w:val="362930E9"/>
    <w:rsid w:val="362A14F2"/>
    <w:rsid w:val="362B7B99"/>
    <w:rsid w:val="362D506D"/>
    <w:rsid w:val="36310D19"/>
    <w:rsid w:val="36345893"/>
    <w:rsid w:val="364D7327"/>
    <w:rsid w:val="3660723A"/>
    <w:rsid w:val="36620662"/>
    <w:rsid w:val="36686975"/>
    <w:rsid w:val="366B07D3"/>
    <w:rsid w:val="366E0E1D"/>
    <w:rsid w:val="366E1462"/>
    <w:rsid w:val="36724AE0"/>
    <w:rsid w:val="367F5FE7"/>
    <w:rsid w:val="36927FD5"/>
    <w:rsid w:val="369658D8"/>
    <w:rsid w:val="369C0FBD"/>
    <w:rsid w:val="369E4742"/>
    <w:rsid w:val="36A06BB5"/>
    <w:rsid w:val="36C02229"/>
    <w:rsid w:val="36C86FE0"/>
    <w:rsid w:val="36CB6B1C"/>
    <w:rsid w:val="36D90579"/>
    <w:rsid w:val="36E174AE"/>
    <w:rsid w:val="36E36F82"/>
    <w:rsid w:val="36EA620E"/>
    <w:rsid w:val="36EB210C"/>
    <w:rsid w:val="36F1264D"/>
    <w:rsid w:val="36F43112"/>
    <w:rsid w:val="37057E46"/>
    <w:rsid w:val="37166B1A"/>
    <w:rsid w:val="371E62D0"/>
    <w:rsid w:val="372009C9"/>
    <w:rsid w:val="372A3483"/>
    <w:rsid w:val="373510F4"/>
    <w:rsid w:val="37494C24"/>
    <w:rsid w:val="374B2F27"/>
    <w:rsid w:val="374C36BD"/>
    <w:rsid w:val="374C7415"/>
    <w:rsid w:val="374E0BA4"/>
    <w:rsid w:val="37771BC2"/>
    <w:rsid w:val="377D1978"/>
    <w:rsid w:val="378105FF"/>
    <w:rsid w:val="378923B9"/>
    <w:rsid w:val="37896136"/>
    <w:rsid w:val="379113F1"/>
    <w:rsid w:val="37A404DB"/>
    <w:rsid w:val="37A90C70"/>
    <w:rsid w:val="37AD1D85"/>
    <w:rsid w:val="37C5472B"/>
    <w:rsid w:val="37CD6666"/>
    <w:rsid w:val="37D46141"/>
    <w:rsid w:val="37D85988"/>
    <w:rsid w:val="37ED7912"/>
    <w:rsid w:val="380D569B"/>
    <w:rsid w:val="381A0E04"/>
    <w:rsid w:val="381E37CD"/>
    <w:rsid w:val="38222E9A"/>
    <w:rsid w:val="38335857"/>
    <w:rsid w:val="384014A5"/>
    <w:rsid w:val="38410E2D"/>
    <w:rsid w:val="38436168"/>
    <w:rsid w:val="384B4463"/>
    <w:rsid w:val="385A621D"/>
    <w:rsid w:val="385D0691"/>
    <w:rsid w:val="386A522A"/>
    <w:rsid w:val="386C1CA4"/>
    <w:rsid w:val="387A5427"/>
    <w:rsid w:val="3885409D"/>
    <w:rsid w:val="388A5501"/>
    <w:rsid w:val="38944FED"/>
    <w:rsid w:val="38B15384"/>
    <w:rsid w:val="38BC6C46"/>
    <w:rsid w:val="38BF7F8D"/>
    <w:rsid w:val="38C50CBE"/>
    <w:rsid w:val="38D44853"/>
    <w:rsid w:val="38D734F4"/>
    <w:rsid w:val="38D84F54"/>
    <w:rsid w:val="38E41C19"/>
    <w:rsid w:val="38EC4169"/>
    <w:rsid w:val="38FF5CAE"/>
    <w:rsid w:val="390F7740"/>
    <w:rsid w:val="391136DA"/>
    <w:rsid w:val="391A24B9"/>
    <w:rsid w:val="391D46C4"/>
    <w:rsid w:val="391F7465"/>
    <w:rsid w:val="39204DC0"/>
    <w:rsid w:val="39315DF7"/>
    <w:rsid w:val="393252F4"/>
    <w:rsid w:val="393C0282"/>
    <w:rsid w:val="395534ED"/>
    <w:rsid w:val="39605048"/>
    <w:rsid w:val="396A40B0"/>
    <w:rsid w:val="39711C65"/>
    <w:rsid w:val="3973550A"/>
    <w:rsid w:val="3991146E"/>
    <w:rsid w:val="399F04A5"/>
    <w:rsid w:val="39A11AD6"/>
    <w:rsid w:val="39B1036C"/>
    <w:rsid w:val="39B26675"/>
    <w:rsid w:val="39B94389"/>
    <w:rsid w:val="39BC38C8"/>
    <w:rsid w:val="39BC3C22"/>
    <w:rsid w:val="39C840A6"/>
    <w:rsid w:val="39CA5A5A"/>
    <w:rsid w:val="39CD4202"/>
    <w:rsid w:val="39EA13BF"/>
    <w:rsid w:val="39EE487A"/>
    <w:rsid w:val="39F909DF"/>
    <w:rsid w:val="3A031021"/>
    <w:rsid w:val="3A0C1900"/>
    <w:rsid w:val="3A177F3A"/>
    <w:rsid w:val="3A2349D6"/>
    <w:rsid w:val="3A2A6640"/>
    <w:rsid w:val="3A330479"/>
    <w:rsid w:val="3A336360"/>
    <w:rsid w:val="3A4B3803"/>
    <w:rsid w:val="3A5027FE"/>
    <w:rsid w:val="3A591164"/>
    <w:rsid w:val="3A5C268A"/>
    <w:rsid w:val="3A7136CA"/>
    <w:rsid w:val="3A714644"/>
    <w:rsid w:val="3A770ACC"/>
    <w:rsid w:val="3A787289"/>
    <w:rsid w:val="3A7D06ED"/>
    <w:rsid w:val="3A872301"/>
    <w:rsid w:val="3A8D30A7"/>
    <w:rsid w:val="3A8D45C1"/>
    <w:rsid w:val="3A8E1EA9"/>
    <w:rsid w:val="3AA02B16"/>
    <w:rsid w:val="3AAA4601"/>
    <w:rsid w:val="3AC52AEA"/>
    <w:rsid w:val="3AD177F4"/>
    <w:rsid w:val="3ADF4788"/>
    <w:rsid w:val="3AE345E0"/>
    <w:rsid w:val="3AE35669"/>
    <w:rsid w:val="3AE61CF0"/>
    <w:rsid w:val="3AF93D95"/>
    <w:rsid w:val="3B020B69"/>
    <w:rsid w:val="3B0F63A9"/>
    <w:rsid w:val="3B1E2A29"/>
    <w:rsid w:val="3B281B1F"/>
    <w:rsid w:val="3B343951"/>
    <w:rsid w:val="3B3B5382"/>
    <w:rsid w:val="3B4C04A4"/>
    <w:rsid w:val="3B5B451C"/>
    <w:rsid w:val="3B5C0F91"/>
    <w:rsid w:val="3B61703D"/>
    <w:rsid w:val="3B6772C1"/>
    <w:rsid w:val="3B706E01"/>
    <w:rsid w:val="3B734E34"/>
    <w:rsid w:val="3B8121B5"/>
    <w:rsid w:val="3B8258E4"/>
    <w:rsid w:val="3B876617"/>
    <w:rsid w:val="3B8D1B3F"/>
    <w:rsid w:val="3B937418"/>
    <w:rsid w:val="3B9907BB"/>
    <w:rsid w:val="3B995332"/>
    <w:rsid w:val="3BAC374D"/>
    <w:rsid w:val="3BB77B5B"/>
    <w:rsid w:val="3BB91F32"/>
    <w:rsid w:val="3BB96CD6"/>
    <w:rsid w:val="3BF4679B"/>
    <w:rsid w:val="3BFA54B7"/>
    <w:rsid w:val="3BFD66F3"/>
    <w:rsid w:val="3C042BA4"/>
    <w:rsid w:val="3C052981"/>
    <w:rsid w:val="3C162506"/>
    <w:rsid w:val="3C1F7B8F"/>
    <w:rsid w:val="3C275F40"/>
    <w:rsid w:val="3C3871BA"/>
    <w:rsid w:val="3C5670AA"/>
    <w:rsid w:val="3C667061"/>
    <w:rsid w:val="3C8377CD"/>
    <w:rsid w:val="3C8E2BEE"/>
    <w:rsid w:val="3C8E5179"/>
    <w:rsid w:val="3C985CD9"/>
    <w:rsid w:val="3C997656"/>
    <w:rsid w:val="3CA64928"/>
    <w:rsid w:val="3CA667B8"/>
    <w:rsid w:val="3CA82D58"/>
    <w:rsid w:val="3CAB44BA"/>
    <w:rsid w:val="3CB45982"/>
    <w:rsid w:val="3CB67F9D"/>
    <w:rsid w:val="3CBC24D8"/>
    <w:rsid w:val="3CD02A35"/>
    <w:rsid w:val="3CD40001"/>
    <w:rsid w:val="3CD82935"/>
    <w:rsid w:val="3CE47ECA"/>
    <w:rsid w:val="3CF96C95"/>
    <w:rsid w:val="3D073E6E"/>
    <w:rsid w:val="3D1C0889"/>
    <w:rsid w:val="3D224E80"/>
    <w:rsid w:val="3D4E5EB3"/>
    <w:rsid w:val="3D544975"/>
    <w:rsid w:val="3D5A092C"/>
    <w:rsid w:val="3D5A64E9"/>
    <w:rsid w:val="3D7074F4"/>
    <w:rsid w:val="3D7D28AF"/>
    <w:rsid w:val="3D7F17F9"/>
    <w:rsid w:val="3D96279C"/>
    <w:rsid w:val="3D9D4DA7"/>
    <w:rsid w:val="3DB11CFA"/>
    <w:rsid w:val="3DBC50D2"/>
    <w:rsid w:val="3DC64826"/>
    <w:rsid w:val="3DC67C0D"/>
    <w:rsid w:val="3DCE3636"/>
    <w:rsid w:val="3DD624BD"/>
    <w:rsid w:val="3DF108D4"/>
    <w:rsid w:val="3E127FEB"/>
    <w:rsid w:val="3E19786B"/>
    <w:rsid w:val="3E220BEC"/>
    <w:rsid w:val="3E2C62F1"/>
    <w:rsid w:val="3E2D38EE"/>
    <w:rsid w:val="3E3634D2"/>
    <w:rsid w:val="3E3D1A4C"/>
    <w:rsid w:val="3E561434"/>
    <w:rsid w:val="3E5703E1"/>
    <w:rsid w:val="3E5A00AD"/>
    <w:rsid w:val="3E5A3F8C"/>
    <w:rsid w:val="3E5C0668"/>
    <w:rsid w:val="3E62579C"/>
    <w:rsid w:val="3E656EC6"/>
    <w:rsid w:val="3E6F034F"/>
    <w:rsid w:val="3E7D26CA"/>
    <w:rsid w:val="3E800D10"/>
    <w:rsid w:val="3E822A28"/>
    <w:rsid w:val="3E885457"/>
    <w:rsid w:val="3E8B1388"/>
    <w:rsid w:val="3EA51BE1"/>
    <w:rsid w:val="3EAA1BC4"/>
    <w:rsid w:val="3EC1577A"/>
    <w:rsid w:val="3ED038FA"/>
    <w:rsid w:val="3ED12332"/>
    <w:rsid w:val="3ED372EF"/>
    <w:rsid w:val="3ED50A92"/>
    <w:rsid w:val="3EE0647C"/>
    <w:rsid w:val="3EE51535"/>
    <w:rsid w:val="3EF57B02"/>
    <w:rsid w:val="3EFE3224"/>
    <w:rsid w:val="3F071879"/>
    <w:rsid w:val="3F1107F2"/>
    <w:rsid w:val="3F1A0B74"/>
    <w:rsid w:val="3F2074D8"/>
    <w:rsid w:val="3F2974C6"/>
    <w:rsid w:val="3F6F1E3B"/>
    <w:rsid w:val="3F730D78"/>
    <w:rsid w:val="3F821F3F"/>
    <w:rsid w:val="3F965E18"/>
    <w:rsid w:val="3F9F16BE"/>
    <w:rsid w:val="3FA07A37"/>
    <w:rsid w:val="3FA679F7"/>
    <w:rsid w:val="3FAE1D21"/>
    <w:rsid w:val="3FB16F62"/>
    <w:rsid w:val="3FBA5663"/>
    <w:rsid w:val="3FC1317E"/>
    <w:rsid w:val="3FC95DAF"/>
    <w:rsid w:val="3FD569E6"/>
    <w:rsid w:val="3FE36083"/>
    <w:rsid w:val="3FE553A2"/>
    <w:rsid w:val="3FE97E5C"/>
    <w:rsid w:val="4003100E"/>
    <w:rsid w:val="400962A3"/>
    <w:rsid w:val="4011673D"/>
    <w:rsid w:val="40155246"/>
    <w:rsid w:val="401F5E0D"/>
    <w:rsid w:val="402914D9"/>
    <w:rsid w:val="40326E7D"/>
    <w:rsid w:val="40370216"/>
    <w:rsid w:val="40406EF6"/>
    <w:rsid w:val="404953E3"/>
    <w:rsid w:val="404B1CEB"/>
    <w:rsid w:val="404B3677"/>
    <w:rsid w:val="404C5DB6"/>
    <w:rsid w:val="405972D8"/>
    <w:rsid w:val="405E7091"/>
    <w:rsid w:val="4064339A"/>
    <w:rsid w:val="4067616F"/>
    <w:rsid w:val="40693633"/>
    <w:rsid w:val="40832CCE"/>
    <w:rsid w:val="40882B4D"/>
    <w:rsid w:val="408B66DE"/>
    <w:rsid w:val="409431FE"/>
    <w:rsid w:val="409B3E0F"/>
    <w:rsid w:val="40A347DF"/>
    <w:rsid w:val="40B1347E"/>
    <w:rsid w:val="40B37406"/>
    <w:rsid w:val="40C16317"/>
    <w:rsid w:val="40D416B4"/>
    <w:rsid w:val="40D45AC4"/>
    <w:rsid w:val="40E45163"/>
    <w:rsid w:val="41025CF9"/>
    <w:rsid w:val="410302E2"/>
    <w:rsid w:val="410F381D"/>
    <w:rsid w:val="41215058"/>
    <w:rsid w:val="4125693B"/>
    <w:rsid w:val="41344336"/>
    <w:rsid w:val="413824FC"/>
    <w:rsid w:val="413D31D9"/>
    <w:rsid w:val="41442E08"/>
    <w:rsid w:val="41471677"/>
    <w:rsid w:val="41526D77"/>
    <w:rsid w:val="415676BA"/>
    <w:rsid w:val="4161194D"/>
    <w:rsid w:val="417A08B2"/>
    <w:rsid w:val="417D33BA"/>
    <w:rsid w:val="417E3C17"/>
    <w:rsid w:val="41823FB1"/>
    <w:rsid w:val="4186411C"/>
    <w:rsid w:val="4198539F"/>
    <w:rsid w:val="419B6D24"/>
    <w:rsid w:val="419F764B"/>
    <w:rsid w:val="41B41779"/>
    <w:rsid w:val="41C20260"/>
    <w:rsid w:val="41C70FDA"/>
    <w:rsid w:val="41CE3009"/>
    <w:rsid w:val="41D142CA"/>
    <w:rsid w:val="41D26D17"/>
    <w:rsid w:val="41EE1A10"/>
    <w:rsid w:val="41FB3E94"/>
    <w:rsid w:val="41FE2067"/>
    <w:rsid w:val="42023C6C"/>
    <w:rsid w:val="421310F8"/>
    <w:rsid w:val="4228188F"/>
    <w:rsid w:val="423A4DAB"/>
    <w:rsid w:val="425F50F6"/>
    <w:rsid w:val="427120DF"/>
    <w:rsid w:val="427B3D0E"/>
    <w:rsid w:val="4280380E"/>
    <w:rsid w:val="428B5862"/>
    <w:rsid w:val="42A94FC2"/>
    <w:rsid w:val="42B3063E"/>
    <w:rsid w:val="42B758DC"/>
    <w:rsid w:val="42B96BC2"/>
    <w:rsid w:val="42DC527B"/>
    <w:rsid w:val="42DD31C6"/>
    <w:rsid w:val="42E652E6"/>
    <w:rsid w:val="42EB5BC9"/>
    <w:rsid w:val="42EC12B7"/>
    <w:rsid w:val="42F55600"/>
    <w:rsid w:val="42F80557"/>
    <w:rsid w:val="42F824DD"/>
    <w:rsid w:val="42F84881"/>
    <w:rsid w:val="42F90CC8"/>
    <w:rsid w:val="43234141"/>
    <w:rsid w:val="432900C8"/>
    <w:rsid w:val="432E6415"/>
    <w:rsid w:val="43311251"/>
    <w:rsid w:val="433D207E"/>
    <w:rsid w:val="4342672D"/>
    <w:rsid w:val="435374BB"/>
    <w:rsid w:val="43555E11"/>
    <w:rsid w:val="43595808"/>
    <w:rsid w:val="435E4216"/>
    <w:rsid w:val="43615385"/>
    <w:rsid w:val="436C60FC"/>
    <w:rsid w:val="43753617"/>
    <w:rsid w:val="437C497B"/>
    <w:rsid w:val="437F1996"/>
    <w:rsid w:val="43862692"/>
    <w:rsid w:val="438A6B84"/>
    <w:rsid w:val="43B05A91"/>
    <w:rsid w:val="43C85B32"/>
    <w:rsid w:val="43D42112"/>
    <w:rsid w:val="43D71697"/>
    <w:rsid w:val="43DB13D5"/>
    <w:rsid w:val="43DD4777"/>
    <w:rsid w:val="43E225FB"/>
    <w:rsid w:val="43E74F46"/>
    <w:rsid w:val="43E769C6"/>
    <w:rsid w:val="43EA53CC"/>
    <w:rsid w:val="43EE21D3"/>
    <w:rsid w:val="43EF208B"/>
    <w:rsid w:val="43F138FB"/>
    <w:rsid w:val="44163972"/>
    <w:rsid w:val="441A5FBF"/>
    <w:rsid w:val="443E727D"/>
    <w:rsid w:val="444B4F82"/>
    <w:rsid w:val="445A2A5D"/>
    <w:rsid w:val="44664DFB"/>
    <w:rsid w:val="44716A59"/>
    <w:rsid w:val="4473483E"/>
    <w:rsid w:val="447650A6"/>
    <w:rsid w:val="44836296"/>
    <w:rsid w:val="449C6F90"/>
    <w:rsid w:val="44A7719E"/>
    <w:rsid w:val="44D143E5"/>
    <w:rsid w:val="44D75B1D"/>
    <w:rsid w:val="44DA44C0"/>
    <w:rsid w:val="44EA1E3A"/>
    <w:rsid w:val="44F1612B"/>
    <w:rsid w:val="44F35D75"/>
    <w:rsid w:val="45003034"/>
    <w:rsid w:val="450A0C1E"/>
    <w:rsid w:val="45113941"/>
    <w:rsid w:val="452D7215"/>
    <w:rsid w:val="45432853"/>
    <w:rsid w:val="454C7312"/>
    <w:rsid w:val="454D6C9B"/>
    <w:rsid w:val="45524B04"/>
    <w:rsid w:val="455B0F44"/>
    <w:rsid w:val="45635179"/>
    <w:rsid w:val="457466CF"/>
    <w:rsid w:val="45850B92"/>
    <w:rsid w:val="458965C0"/>
    <w:rsid w:val="458A397A"/>
    <w:rsid w:val="45A31ABC"/>
    <w:rsid w:val="45AE21D7"/>
    <w:rsid w:val="45B73F5E"/>
    <w:rsid w:val="45D70409"/>
    <w:rsid w:val="45DA5136"/>
    <w:rsid w:val="45E71E3A"/>
    <w:rsid w:val="4602549C"/>
    <w:rsid w:val="46073E15"/>
    <w:rsid w:val="460C6A9E"/>
    <w:rsid w:val="460E21F0"/>
    <w:rsid w:val="46103B5E"/>
    <w:rsid w:val="461C74DF"/>
    <w:rsid w:val="461D1A9F"/>
    <w:rsid w:val="462E2C9C"/>
    <w:rsid w:val="46405654"/>
    <w:rsid w:val="464E66D0"/>
    <w:rsid w:val="46624BE4"/>
    <w:rsid w:val="466812FC"/>
    <w:rsid w:val="46726F3C"/>
    <w:rsid w:val="46743A5B"/>
    <w:rsid w:val="467908AB"/>
    <w:rsid w:val="46796D4A"/>
    <w:rsid w:val="467C21F5"/>
    <w:rsid w:val="468213A2"/>
    <w:rsid w:val="46894E21"/>
    <w:rsid w:val="46991547"/>
    <w:rsid w:val="46A103B5"/>
    <w:rsid w:val="46AD0F95"/>
    <w:rsid w:val="46B32052"/>
    <w:rsid w:val="46B532E8"/>
    <w:rsid w:val="46B878CA"/>
    <w:rsid w:val="46BF28DD"/>
    <w:rsid w:val="46C06D40"/>
    <w:rsid w:val="46D5135D"/>
    <w:rsid w:val="46E563DA"/>
    <w:rsid w:val="46F02CA1"/>
    <w:rsid w:val="46F05178"/>
    <w:rsid w:val="46F60E67"/>
    <w:rsid w:val="46F67400"/>
    <w:rsid w:val="47002FE3"/>
    <w:rsid w:val="470E368B"/>
    <w:rsid w:val="47261825"/>
    <w:rsid w:val="473D1C12"/>
    <w:rsid w:val="474D7A6E"/>
    <w:rsid w:val="47554F37"/>
    <w:rsid w:val="47586459"/>
    <w:rsid w:val="47602017"/>
    <w:rsid w:val="477D757D"/>
    <w:rsid w:val="477F09B3"/>
    <w:rsid w:val="4780343D"/>
    <w:rsid w:val="478A1B53"/>
    <w:rsid w:val="478E05F8"/>
    <w:rsid w:val="47944283"/>
    <w:rsid w:val="479F6C30"/>
    <w:rsid w:val="47A75DFA"/>
    <w:rsid w:val="47B20D6B"/>
    <w:rsid w:val="47CF3EEE"/>
    <w:rsid w:val="47D33DA0"/>
    <w:rsid w:val="47D35C36"/>
    <w:rsid w:val="47D767AF"/>
    <w:rsid w:val="47DC456A"/>
    <w:rsid w:val="481B0D15"/>
    <w:rsid w:val="481F0BE8"/>
    <w:rsid w:val="4822779F"/>
    <w:rsid w:val="4824573F"/>
    <w:rsid w:val="48246823"/>
    <w:rsid w:val="482C7538"/>
    <w:rsid w:val="482F3476"/>
    <w:rsid w:val="4843473D"/>
    <w:rsid w:val="485405F7"/>
    <w:rsid w:val="48683159"/>
    <w:rsid w:val="48705A94"/>
    <w:rsid w:val="487447F6"/>
    <w:rsid w:val="48927499"/>
    <w:rsid w:val="48944C74"/>
    <w:rsid w:val="48956CD6"/>
    <w:rsid w:val="48BC19E8"/>
    <w:rsid w:val="48C37280"/>
    <w:rsid w:val="48CB6C93"/>
    <w:rsid w:val="48D506DB"/>
    <w:rsid w:val="48D576A6"/>
    <w:rsid w:val="48E2453E"/>
    <w:rsid w:val="48E66C93"/>
    <w:rsid w:val="49035900"/>
    <w:rsid w:val="49083210"/>
    <w:rsid w:val="4909088D"/>
    <w:rsid w:val="491B5DDE"/>
    <w:rsid w:val="492A5BAD"/>
    <w:rsid w:val="492B7B6F"/>
    <w:rsid w:val="492C7DB2"/>
    <w:rsid w:val="49362B07"/>
    <w:rsid w:val="493E0E05"/>
    <w:rsid w:val="49486801"/>
    <w:rsid w:val="49521B1C"/>
    <w:rsid w:val="495D41DC"/>
    <w:rsid w:val="49643907"/>
    <w:rsid w:val="49706638"/>
    <w:rsid w:val="49713751"/>
    <w:rsid w:val="497B4A52"/>
    <w:rsid w:val="497E76B1"/>
    <w:rsid w:val="4988468A"/>
    <w:rsid w:val="49894557"/>
    <w:rsid w:val="498B1488"/>
    <w:rsid w:val="49913CF4"/>
    <w:rsid w:val="49923C18"/>
    <w:rsid w:val="49932BB5"/>
    <w:rsid w:val="499F625B"/>
    <w:rsid w:val="49A071FC"/>
    <w:rsid w:val="49BB52F3"/>
    <w:rsid w:val="49C27C71"/>
    <w:rsid w:val="49D5597B"/>
    <w:rsid w:val="49DB49C7"/>
    <w:rsid w:val="49E2084E"/>
    <w:rsid w:val="49FB296C"/>
    <w:rsid w:val="4A005C1C"/>
    <w:rsid w:val="4A0B7D98"/>
    <w:rsid w:val="4A0E6B9B"/>
    <w:rsid w:val="4A143C57"/>
    <w:rsid w:val="4A2546E1"/>
    <w:rsid w:val="4A311570"/>
    <w:rsid w:val="4A3702F3"/>
    <w:rsid w:val="4A495332"/>
    <w:rsid w:val="4A6142C0"/>
    <w:rsid w:val="4A625155"/>
    <w:rsid w:val="4A6928DE"/>
    <w:rsid w:val="4A7F0EDB"/>
    <w:rsid w:val="4A8A2173"/>
    <w:rsid w:val="4A985587"/>
    <w:rsid w:val="4A9A4470"/>
    <w:rsid w:val="4AA27139"/>
    <w:rsid w:val="4AA673AA"/>
    <w:rsid w:val="4AAC2074"/>
    <w:rsid w:val="4AB93F7A"/>
    <w:rsid w:val="4AC67518"/>
    <w:rsid w:val="4ACC52B0"/>
    <w:rsid w:val="4ACE4959"/>
    <w:rsid w:val="4AEB6B00"/>
    <w:rsid w:val="4AF71BBA"/>
    <w:rsid w:val="4B007792"/>
    <w:rsid w:val="4B060BC9"/>
    <w:rsid w:val="4B0B2674"/>
    <w:rsid w:val="4B0D476A"/>
    <w:rsid w:val="4B0E08F4"/>
    <w:rsid w:val="4B0E6091"/>
    <w:rsid w:val="4B2B2282"/>
    <w:rsid w:val="4B343F15"/>
    <w:rsid w:val="4B3D3FCF"/>
    <w:rsid w:val="4B3F634B"/>
    <w:rsid w:val="4B4933C1"/>
    <w:rsid w:val="4B4B029F"/>
    <w:rsid w:val="4B4C453B"/>
    <w:rsid w:val="4B567E82"/>
    <w:rsid w:val="4B572F84"/>
    <w:rsid w:val="4B5953E1"/>
    <w:rsid w:val="4B636AB4"/>
    <w:rsid w:val="4B6A147E"/>
    <w:rsid w:val="4B6D25FD"/>
    <w:rsid w:val="4B76781C"/>
    <w:rsid w:val="4B863119"/>
    <w:rsid w:val="4B895F6D"/>
    <w:rsid w:val="4B8F17F3"/>
    <w:rsid w:val="4B92010F"/>
    <w:rsid w:val="4B97225C"/>
    <w:rsid w:val="4B9806B4"/>
    <w:rsid w:val="4BAC20DB"/>
    <w:rsid w:val="4BBB7333"/>
    <w:rsid w:val="4BD1485C"/>
    <w:rsid w:val="4BD91DC1"/>
    <w:rsid w:val="4BD94586"/>
    <w:rsid w:val="4BEE4270"/>
    <w:rsid w:val="4BF83473"/>
    <w:rsid w:val="4BFE042A"/>
    <w:rsid w:val="4C065BA3"/>
    <w:rsid w:val="4C0705A5"/>
    <w:rsid w:val="4C107008"/>
    <w:rsid w:val="4C32679E"/>
    <w:rsid w:val="4C380C71"/>
    <w:rsid w:val="4C5A2AA2"/>
    <w:rsid w:val="4C65679E"/>
    <w:rsid w:val="4C6839DE"/>
    <w:rsid w:val="4C786D5D"/>
    <w:rsid w:val="4C79527F"/>
    <w:rsid w:val="4C7A7899"/>
    <w:rsid w:val="4C841133"/>
    <w:rsid w:val="4C982409"/>
    <w:rsid w:val="4CA00699"/>
    <w:rsid w:val="4CA133B6"/>
    <w:rsid w:val="4CB46DA5"/>
    <w:rsid w:val="4CB96E2D"/>
    <w:rsid w:val="4CBD19B5"/>
    <w:rsid w:val="4CE27426"/>
    <w:rsid w:val="4CE40587"/>
    <w:rsid w:val="4CE417CC"/>
    <w:rsid w:val="4CE63EEB"/>
    <w:rsid w:val="4CE7291A"/>
    <w:rsid w:val="4CF0605D"/>
    <w:rsid w:val="4D0659EC"/>
    <w:rsid w:val="4D2B0929"/>
    <w:rsid w:val="4D2D7896"/>
    <w:rsid w:val="4D325C8E"/>
    <w:rsid w:val="4D404AB6"/>
    <w:rsid w:val="4D443ACB"/>
    <w:rsid w:val="4D4F73BA"/>
    <w:rsid w:val="4D500076"/>
    <w:rsid w:val="4D6A3D6E"/>
    <w:rsid w:val="4D6A67D6"/>
    <w:rsid w:val="4D6C0366"/>
    <w:rsid w:val="4D6D78FA"/>
    <w:rsid w:val="4D7A4E7C"/>
    <w:rsid w:val="4D80029C"/>
    <w:rsid w:val="4D950446"/>
    <w:rsid w:val="4D994E16"/>
    <w:rsid w:val="4DAC1D97"/>
    <w:rsid w:val="4DAD5C58"/>
    <w:rsid w:val="4DB50EFE"/>
    <w:rsid w:val="4DC616CA"/>
    <w:rsid w:val="4DCA4656"/>
    <w:rsid w:val="4DCF23AB"/>
    <w:rsid w:val="4DD06F7E"/>
    <w:rsid w:val="4DD2640B"/>
    <w:rsid w:val="4DD90E9F"/>
    <w:rsid w:val="4DDC21FD"/>
    <w:rsid w:val="4DF16CA6"/>
    <w:rsid w:val="4DF576F7"/>
    <w:rsid w:val="4E0A4054"/>
    <w:rsid w:val="4E0A6A6D"/>
    <w:rsid w:val="4E1220E2"/>
    <w:rsid w:val="4E1554B7"/>
    <w:rsid w:val="4E1975BF"/>
    <w:rsid w:val="4E1E3DC9"/>
    <w:rsid w:val="4E1F3AA1"/>
    <w:rsid w:val="4E276BF1"/>
    <w:rsid w:val="4E286F58"/>
    <w:rsid w:val="4E2975D3"/>
    <w:rsid w:val="4E2D52A6"/>
    <w:rsid w:val="4E327507"/>
    <w:rsid w:val="4E332761"/>
    <w:rsid w:val="4E3A7B0E"/>
    <w:rsid w:val="4E433B99"/>
    <w:rsid w:val="4E451DBA"/>
    <w:rsid w:val="4E4C4DF8"/>
    <w:rsid w:val="4E693FA6"/>
    <w:rsid w:val="4E6C3E0B"/>
    <w:rsid w:val="4E8032FB"/>
    <w:rsid w:val="4E974E9B"/>
    <w:rsid w:val="4E991FA5"/>
    <w:rsid w:val="4EA405DA"/>
    <w:rsid w:val="4EA77A6E"/>
    <w:rsid w:val="4EE27F9B"/>
    <w:rsid w:val="4EF77B22"/>
    <w:rsid w:val="4EFA376E"/>
    <w:rsid w:val="4F00276C"/>
    <w:rsid w:val="4F020F37"/>
    <w:rsid w:val="4F022C69"/>
    <w:rsid w:val="4F0C4AC7"/>
    <w:rsid w:val="4F0E566D"/>
    <w:rsid w:val="4F104722"/>
    <w:rsid w:val="4F12162C"/>
    <w:rsid w:val="4F1305CE"/>
    <w:rsid w:val="4F1444EF"/>
    <w:rsid w:val="4F1B2526"/>
    <w:rsid w:val="4F2C0036"/>
    <w:rsid w:val="4F3C22D5"/>
    <w:rsid w:val="4F3F0504"/>
    <w:rsid w:val="4F4B6396"/>
    <w:rsid w:val="4F4E0E41"/>
    <w:rsid w:val="4F500DF7"/>
    <w:rsid w:val="4F505B63"/>
    <w:rsid w:val="4F584C0B"/>
    <w:rsid w:val="4F5C5DFD"/>
    <w:rsid w:val="4F714EF8"/>
    <w:rsid w:val="4F855D3D"/>
    <w:rsid w:val="4F8E3035"/>
    <w:rsid w:val="4F9D47A4"/>
    <w:rsid w:val="4FAA1EA1"/>
    <w:rsid w:val="4FB2314F"/>
    <w:rsid w:val="4FB97C75"/>
    <w:rsid w:val="4FDB07ED"/>
    <w:rsid w:val="4FDB2527"/>
    <w:rsid w:val="4FE65F8B"/>
    <w:rsid w:val="4FE71143"/>
    <w:rsid w:val="4FEE206C"/>
    <w:rsid w:val="4FFD1B64"/>
    <w:rsid w:val="4FFD1FBC"/>
    <w:rsid w:val="500119D1"/>
    <w:rsid w:val="500C70AF"/>
    <w:rsid w:val="501B0F64"/>
    <w:rsid w:val="50227D47"/>
    <w:rsid w:val="5025437C"/>
    <w:rsid w:val="50260A54"/>
    <w:rsid w:val="50291286"/>
    <w:rsid w:val="5035534F"/>
    <w:rsid w:val="503C540C"/>
    <w:rsid w:val="504508D6"/>
    <w:rsid w:val="50456560"/>
    <w:rsid w:val="50596ECF"/>
    <w:rsid w:val="50650CD4"/>
    <w:rsid w:val="50680B89"/>
    <w:rsid w:val="50724188"/>
    <w:rsid w:val="507D4CA3"/>
    <w:rsid w:val="50802FA3"/>
    <w:rsid w:val="50AA11CB"/>
    <w:rsid w:val="50AC412E"/>
    <w:rsid w:val="50B36B4A"/>
    <w:rsid w:val="50B45C62"/>
    <w:rsid w:val="50CF0A7F"/>
    <w:rsid w:val="50D34B1B"/>
    <w:rsid w:val="50D372D6"/>
    <w:rsid w:val="50D62A72"/>
    <w:rsid w:val="50DA71EC"/>
    <w:rsid w:val="50E244BE"/>
    <w:rsid w:val="50F35913"/>
    <w:rsid w:val="50F63959"/>
    <w:rsid w:val="50FE34AF"/>
    <w:rsid w:val="51097FFA"/>
    <w:rsid w:val="51251291"/>
    <w:rsid w:val="512567BE"/>
    <w:rsid w:val="513B487A"/>
    <w:rsid w:val="513C0141"/>
    <w:rsid w:val="513C26A8"/>
    <w:rsid w:val="514A7BEA"/>
    <w:rsid w:val="517412A6"/>
    <w:rsid w:val="517D0591"/>
    <w:rsid w:val="518312C5"/>
    <w:rsid w:val="519C1631"/>
    <w:rsid w:val="51A34F74"/>
    <w:rsid w:val="51B31712"/>
    <w:rsid w:val="51BE6C4D"/>
    <w:rsid w:val="51BF0A49"/>
    <w:rsid w:val="51C16628"/>
    <w:rsid w:val="51C601BD"/>
    <w:rsid w:val="51D245EB"/>
    <w:rsid w:val="51E850B7"/>
    <w:rsid w:val="51F60CE9"/>
    <w:rsid w:val="51FA7DB1"/>
    <w:rsid w:val="520049CC"/>
    <w:rsid w:val="520B4DCE"/>
    <w:rsid w:val="522B4882"/>
    <w:rsid w:val="52411CCB"/>
    <w:rsid w:val="524261EA"/>
    <w:rsid w:val="524451AD"/>
    <w:rsid w:val="524D1AB1"/>
    <w:rsid w:val="525259E6"/>
    <w:rsid w:val="525D3D9F"/>
    <w:rsid w:val="52714C40"/>
    <w:rsid w:val="52744FCE"/>
    <w:rsid w:val="528644E1"/>
    <w:rsid w:val="529662B9"/>
    <w:rsid w:val="52A20F41"/>
    <w:rsid w:val="52AA755B"/>
    <w:rsid w:val="52AD554A"/>
    <w:rsid w:val="52B84016"/>
    <w:rsid w:val="52C607F5"/>
    <w:rsid w:val="52CF52CC"/>
    <w:rsid w:val="52D205BF"/>
    <w:rsid w:val="52F249CC"/>
    <w:rsid w:val="52F41C24"/>
    <w:rsid w:val="53042C8D"/>
    <w:rsid w:val="530C030D"/>
    <w:rsid w:val="530D6DF5"/>
    <w:rsid w:val="5318790D"/>
    <w:rsid w:val="531C48BF"/>
    <w:rsid w:val="531E1826"/>
    <w:rsid w:val="53250857"/>
    <w:rsid w:val="532B7728"/>
    <w:rsid w:val="532C728A"/>
    <w:rsid w:val="532E605B"/>
    <w:rsid w:val="533D268F"/>
    <w:rsid w:val="533E7245"/>
    <w:rsid w:val="5361200A"/>
    <w:rsid w:val="53842930"/>
    <w:rsid w:val="538513C7"/>
    <w:rsid w:val="539B6DD6"/>
    <w:rsid w:val="53A50D76"/>
    <w:rsid w:val="53A73A98"/>
    <w:rsid w:val="53AA1556"/>
    <w:rsid w:val="53B52719"/>
    <w:rsid w:val="53BD53BF"/>
    <w:rsid w:val="53DF1216"/>
    <w:rsid w:val="53E971B4"/>
    <w:rsid w:val="53F770C3"/>
    <w:rsid w:val="53F77B85"/>
    <w:rsid w:val="53F97A03"/>
    <w:rsid w:val="53FC1AAA"/>
    <w:rsid w:val="5428105B"/>
    <w:rsid w:val="54323877"/>
    <w:rsid w:val="543721FD"/>
    <w:rsid w:val="543865D9"/>
    <w:rsid w:val="5439640D"/>
    <w:rsid w:val="543E45BD"/>
    <w:rsid w:val="54402EDB"/>
    <w:rsid w:val="54404442"/>
    <w:rsid w:val="546641DF"/>
    <w:rsid w:val="54720B2A"/>
    <w:rsid w:val="548A5352"/>
    <w:rsid w:val="549627E0"/>
    <w:rsid w:val="54AF0115"/>
    <w:rsid w:val="54C550F6"/>
    <w:rsid w:val="54CE28D0"/>
    <w:rsid w:val="54DA70AD"/>
    <w:rsid w:val="54DE4BF3"/>
    <w:rsid w:val="54E933C7"/>
    <w:rsid w:val="54EB61FA"/>
    <w:rsid w:val="54F20051"/>
    <w:rsid w:val="55194598"/>
    <w:rsid w:val="55196A06"/>
    <w:rsid w:val="552240F6"/>
    <w:rsid w:val="55293D25"/>
    <w:rsid w:val="55453C5C"/>
    <w:rsid w:val="55493AFF"/>
    <w:rsid w:val="55716293"/>
    <w:rsid w:val="55735CCD"/>
    <w:rsid w:val="557644BA"/>
    <w:rsid w:val="55892B90"/>
    <w:rsid w:val="559167F6"/>
    <w:rsid w:val="559218D6"/>
    <w:rsid w:val="559B5121"/>
    <w:rsid w:val="559B7047"/>
    <w:rsid w:val="559F56D3"/>
    <w:rsid w:val="55A330C2"/>
    <w:rsid w:val="55A44757"/>
    <w:rsid w:val="55A82F65"/>
    <w:rsid w:val="55A90B8C"/>
    <w:rsid w:val="55D66F7E"/>
    <w:rsid w:val="55DD735B"/>
    <w:rsid w:val="55E61362"/>
    <w:rsid w:val="55E65121"/>
    <w:rsid w:val="55EB5DA9"/>
    <w:rsid w:val="55ED0121"/>
    <w:rsid w:val="55F02136"/>
    <w:rsid w:val="55F36A06"/>
    <w:rsid w:val="560528A5"/>
    <w:rsid w:val="560A3BE8"/>
    <w:rsid w:val="5610255E"/>
    <w:rsid w:val="56267A43"/>
    <w:rsid w:val="56277D08"/>
    <w:rsid w:val="56315BAC"/>
    <w:rsid w:val="5642796E"/>
    <w:rsid w:val="5646615A"/>
    <w:rsid w:val="564E176D"/>
    <w:rsid w:val="56570448"/>
    <w:rsid w:val="56592D08"/>
    <w:rsid w:val="566916FC"/>
    <w:rsid w:val="5674185B"/>
    <w:rsid w:val="56743ED5"/>
    <w:rsid w:val="567969AB"/>
    <w:rsid w:val="567B5D14"/>
    <w:rsid w:val="568372D2"/>
    <w:rsid w:val="569250FB"/>
    <w:rsid w:val="56954A8C"/>
    <w:rsid w:val="56A6522A"/>
    <w:rsid w:val="56AE646D"/>
    <w:rsid w:val="56B0125B"/>
    <w:rsid w:val="56BA0C17"/>
    <w:rsid w:val="56C2243A"/>
    <w:rsid w:val="56CA7566"/>
    <w:rsid w:val="56D2772B"/>
    <w:rsid w:val="56D40D6A"/>
    <w:rsid w:val="56D63239"/>
    <w:rsid w:val="56DA7E38"/>
    <w:rsid w:val="56DD2800"/>
    <w:rsid w:val="56FA66D5"/>
    <w:rsid w:val="56FB1001"/>
    <w:rsid w:val="57003D9B"/>
    <w:rsid w:val="570A1DFE"/>
    <w:rsid w:val="571A0020"/>
    <w:rsid w:val="572908D7"/>
    <w:rsid w:val="573020C3"/>
    <w:rsid w:val="573070DC"/>
    <w:rsid w:val="57350B35"/>
    <w:rsid w:val="573B1486"/>
    <w:rsid w:val="573B49C6"/>
    <w:rsid w:val="5742070B"/>
    <w:rsid w:val="57464DEA"/>
    <w:rsid w:val="57480C10"/>
    <w:rsid w:val="57493FB5"/>
    <w:rsid w:val="574A158D"/>
    <w:rsid w:val="5762606B"/>
    <w:rsid w:val="5777116D"/>
    <w:rsid w:val="57855152"/>
    <w:rsid w:val="578E5AFF"/>
    <w:rsid w:val="579C4C08"/>
    <w:rsid w:val="579F5E64"/>
    <w:rsid w:val="579F6731"/>
    <w:rsid w:val="57AA0E74"/>
    <w:rsid w:val="57AA7FE5"/>
    <w:rsid w:val="57AD5A1F"/>
    <w:rsid w:val="57D77E32"/>
    <w:rsid w:val="57E13AB5"/>
    <w:rsid w:val="57EC153F"/>
    <w:rsid w:val="57FF6BFC"/>
    <w:rsid w:val="580339FB"/>
    <w:rsid w:val="580F407F"/>
    <w:rsid w:val="581E57C5"/>
    <w:rsid w:val="58237B1B"/>
    <w:rsid w:val="58266EAA"/>
    <w:rsid w:val="58277A75"/>
    <w:rsid w:val="582D0D56"/>
    <w:rsid w:val="58307107"/>
    <w:rsid w:val="583442C1"/>
    <w:rsid w:val="5835448F"/>
    <w:rsid w:val="584D5056"/>
    <w:rsid w:val="585708A7"/>
    <w:rsid w:val="58587933"/>
    <w:rsid w:val="585D0CEA"/>
    <w:rsid w:val="58617C4B"/>
    <w:rsid w:val="5866568B"/>
    <w:rsid w:val="586903E7"/>
    <w:rsid w:val="586E206B"/>
    <w:rsid w:val="58733233"/>
    <w:rsid w:val="58825B72"/>
    <w:rsid w:val="588875D4"/>
    <w:rsid w:val="589168BF"/>
    <w:rsid w:val="58A329F3"/>
    <w:rsid w:val="58B403D3"/>
    <w:rsid w:val="58BB7442"/>
    <w:rsid w:val="58BF35ED"/>
    <w:rsid w:val="58DB728F"/>
    <w:rsid w:val="58E17F83"/>
    <w:rsid w:val="58E60271"/>
    <w:rsid w:val="58F5682E"/>
    <w:rsid w:val="5901545E"/>
    <w:rsid w:val="59137D6C"/>
    <w:rsid w:val="59157603"/>
    <w:rsid w:val="59167488"/>
    <w:rsid w:val="591A1D91"/>
    <w:rsid w:val="591C1B71"/>
    <w:rsid w:val="592A7378"/>
    <w:rsid w:val="59407095"/>
    <w:rsid w:val="596035F9"/>
    <w:rsid w:val="59687215"/>
    <w:rsid w:val="596E53EA"/>
    <w:rsid w:val="597B3924"/>
    <w:rsid w:val="59837D7F"/>
    <w:rsid w:val="59855F02"/>
    <w:rsid w:val="59884B87"/>
    <w:rsid w:val="599E5B79"/>
    <w:rsid w:val="59B629BD"/>
    <w:rsid w:val="59D16C29"/>
    <w:rsid w:val="59D26864"/>
    <w:rsid w:val="59D8621B"/>
    <w:rsid w:val="5A014D00"/>
    <w:rsid w:val="5A2310E3"/>
    <w:rsid w:val="5A274567"/>
    <w:rsid w:val="5A2B2F8B"/>
    <w:rsid w:val="5A3051FD"/>
    <w:rsid w:val="5A362A91"/>
    <w:rsid w:val="5A53188B"/>
    <w:rsid w:val="5A550003"/>
    <w:rsid w:val="5A596A8F"/>
    <w:rsid w:val="5A5D11FE"/>
    <w:rsid w:val="5A6204D2"/>
    <w:rsid w:val="5A682782"/>
    <w:rsid w:val="5A8405A9"/>
    <w:rsid w:val="5A852C53"/>
    <w:rsid w:val="5A86052C"/>
    <w:rsid w:val="5A9A1E5A"/>
    <w:rsid w:val="5AAC151A"/>
    <w:rsid w:val="5AB57799"/>
    <w:rsid w:val="5AC171B7"/>
    <w:rsid w:val="5AC75E39"/>
    <w:rsid w:val="5ADF6088"/>
    <w:rsid w:val="5AE00269"/>
    <w:rsid w:val="5AE643F0"/>
    <w:rsid w:val="5AE77F99"/>
    <w:rsid w:val="5AED1DB1"/>
    <w:rsid w:val="5AFA45EA"/>
    <w:rsid w:val="5B00550A"/>
    <w:rsid w:val="5B0A613E"/>
    <w:rsid w:val="5B195C72"/>
    <w:rsid w:val="5B19641A"/>
    <w:rsid w:val="5B1F6405"/>
    <w:rsid w:val="5B22273C"/>
    <w:rsid w:val="5B3F76AD"/>
    <w:rsid w:val="5B424E5C"/>
    <w:rsid w:val="5B4B1221"/>
    <w:rsid w:val="5B510672"/>
    <w:rsid w:val="5B8A10EF"/>
    <w:rsid w:val="5B8B09D8"/>
    <w:rsid w:val="5B8E79B3"/>
    <w:rsid w:val="5BA20883"/>
    <w:rsid w:val="5BA84579"/>
    <w:rsid w:val="5BAC648F"/>
    <w:rsid w:val="5BAC7457"/>
    <w:rsid w:val="5BB874A5"/>
    <w:rsid w:val="5BBE7E5A"/>
    <w:rsid w:val="5BD50ACD"/>
    <w:rsid w:val="5BDA3A7F"/>
    <w:rsid w:val="5BDD0DAC"/>
    <w:rsid w:val="5BE2081E"/>
    <w:rsid w:val="5BE44E59"/>
    <w:rsid w:val="5BEF0743"/>
    <w:rsid w:val="5BFA5060"/>
    <w:rsid w:val="5BFC04B8"/>
    <w:rsid w:val="5C016B15"/>
    <w:rsid w:val="5C076FB6"/>
    <w:rsid w:val="5C0B3F8F"/>
    <w:rsid w:val="5C0E07B9"/>
    <w:rsid w:val="5C0F77AE"/>
    <w:rsid w:val="5C1D17BD"/>
    <w:rsid w:val="5C2B6ADC"/>
    <w:rsid w:val="5C2E06BD"/>
    <w:rsid w:val="5C394CD3"/>
    <w:rsid w:val="5C4872A0"/>
    <w:rsid w:val="5C531B7A"/>
    <w:rsid w:val="5C534305"/>
    <w:rsid w:val="5C59113A"/>
    <w:rsid w:val="5C5B52D4"/>
    <w:rsid w:val="5C632EEB"/>
    <w:rsid w:val="5C644AAC"/>
    <w:rsid w:val="5C6A1F19"/>
    <w:rsid w:val="5C6C1366"/>
    <w:rsid w:val="5C6C5788"/>
    <w:rsid w:val="5C6E723A"/>
    <w:rsid w:val="5C8155EA"/>
    <w:rsid w:val="5C8A10F1"/>
    <w:rsid w:val="5C8B6D35"/>
    <w:rsid w:val="5CAD11CF"/>
    <w:rsid w:val="5CAF69A0"/>
    <w:rsid w:val="5CB07EEC"/>
    <w:rsid w:val="5CC9619B"/>
    <w:rsid w:val="5CCC6423"/>
    <w:rsid w:val="5CCD651E"/>
    <w:rsid w:val="5CD21B66"/>
    <w:rsid w:val="5CE32233"/>
    <w:rsid w:val="5CF311AD"/>
    <w:rsid w:val="5CF80EE2"/>
    <w:rsid w:val="5CFC0557"/>
    <w:rsid w:val="5D026579"/>
    <w:rsid w:val="5D076944"/>
    <w:rsid w:val="5D122ED9"/>
    <w:rsid w:val="5D1D320C"/>
    <w:rsid w:val="5D2D70B6"/>
    <w:rsid w:val="5D331F22"/>
    <w:rsid w:val="5D3F4C34"/>
    <w:rsid w:val="5D3F536B"/>
    <w:rsid w:val="5D4351A2"/>
    <w:rsid w:val="5D4410A1"/>
    <w:rsid w:val="5D4A3603"/>
    <w:rsid w:val="5D591CB5"/>
    <w:rsid w:val="5D5E687B"/>
    <w:rsid w:val="5D6535A6"/>
    <w:rsid w:val="5D724D88"/>
    <w:rsid w:val="5D7B0BAD"/>
    <w:rsid w:val="5D8E2786"/>
    <w:rsid w:val="5D9535BC"/>
    <w:rsid w:val="5D992450"/>
    <w:rsid w:val="5DA4087B"/>
    <w:rsid w:val="5DAD1154"/>
    <w:rsid w:val="5DAD2CE5"/>
    <w:rsid w:val="5DBD3A08"/>
    <w:rsid w:val="5DCB47AF"/>
    <w:rsid w:val="5DDF7205"/>
    <w:rsid w:val="5DED35CB"/>
    <w:rsid w:val="5DF04E27"/>
    <w:rsid w:val="5DF20160"/>
    <w:rsid w:val="5DF65085"/>
    <w:rsid w:val="5E2718ED"/>
    <w:rsid w:val="5E3517AD"/>
    <w:rsid w:val="5E3A1026"/>
    <w:rsid w:val="5E42198B"/>
    <w:rsid w:val="5E454E88"/>
    <w:rsid w:val="5E493A38"/>
    <w:rsid w:val="5E4D3427"/>
    <w:rsid w:val="5E5B0855"/>
    <w:rsid w:val="5E681784"/>
    <w:rsid w:val="5E684997"/>
    <w:rsid w:val="5E723779"/>
    <w:rsid w:val="5E763D35"/>
    <w:rsid w:val="5E9646E8"/>
    <w:rsid w:val="5E9A1185"/>
    <w:rsid w:val="5E9E487E"/>
    <w:rsid w:val="5EAB1D91"/>
    <w:rsid w:val="5EAB5D47"/>
    <w:rsid w:val="5EB00997"/>
    <w:rsid w:val="5EBB7FFD"/>
    <w:rsid w:val="5EC119D1"/>
    <w:rsid w:val="5ECF3648"/>
    <w:rsid w:val="5ED160B2"/>
    <w:rsid w:val="5ED80310"/>
    <w:rsid w:val="5EDD46A1"/>
    <w:rsid w:val="5EE64BD6"/>
    <w:rsid w:val="5EE86ADB"/>
    <w:rsid w:val="5EF87A76"/>
    <w:rsid w:val="5F065DAD"/>
    <w:rsid w:val="5F111EFC"/>
    <w:rsid w:val="5F1172D5"/>
    <w:rsid w:val="5F18356B"/>
    <w:rsid w:val="5F1928AD"/>
    <w:rsid w:val="5F303A69"/>
    <w:rsid w:val="5F464435"/>
    <w:rsid w:val="5F717D1C"/>
    <w:rsid w:val="5F74646B"/>
    <w:rsid w:val="5F7774DB"/>
    <w:rsid w:val="5F7D62E2"/>
    <w:rsid w:val="5F834CB0"/>
    <w:rsid w:val="5F9D5336"/>
    <w:rsid w:val="5FA10CA0"/>
    <w:rsid w:val="5FAD789F"/>
    <w:rsid w:val="5FAF4E81"/>
    <w:rsid w:val="5FBE74CC"/>
    <w:rsid w:val="5FCA0925"/>
    <w:rsid w:val="5FCA55B1"/>
    <w:rsid w:val="5FD818D6"/>
    <w:rsid w:val="5FDF2D41"/>
    <w:rsid w:val="5FEB2DF9"/>
    <w:rsid w:val="5FED37FF"/>
    <w:rsid w:val="5FEE4A35"/>
    <w:rsid w:val="5FFC5054"/>
    <w:rsid w:val="5FFF3A6E"/>
    <w:rsid w:val="60033FB1"/>
    <w:rsid w:val="60110EBC"/>
    <w:rsid w:val="601D0D94"/>
    <w:rsid w:val="60287699"/>
    <w:rsid w:val="603E2FFD"/>
    <w:rsid w:val="60520463"/>
    <w:rsid w:val="60555EA6"/>
    <w:rsid w:val="60582D4A"/>
    <w:rsid w:val="60661E89"/>
    <w:rsid w:val="606D0168"/>
    <w:rsid w:val="60714994"/>
    <w:rsid w:val="60785CD1"/>
    <w:rsid w:val="607C6187"/>
    <w:rsid w:val="60816625"/>
    <w:rsid w:val="60830C42"/>
    <w:rsid w:val="608355F8"/>
    <w:rsid w:val="608A091E"/>
    <w:rsid w:val="60A21F6D"/>
    <w:rsid w:val="60A83171"/>
    <w:rsid w:val="60B3705F"/>
    <w:rsid w:val="60BB1760"/>
    <w:rsid w:val="60BE1E7A"/>
    <w:rsid w:val="60BF0503"/>
    <w:rsid w:val="60C0532F"/>
    <w:rsid w:val="60D62506"/>
    <w:rsid w:val="60D861E6"/>
    <w:rsid w:val="60DB0010"/>
    <w:rsid w:val="60E8361E"/>
    <w:rsid w:val="60F81552"/>
    <w:rsid w:val="60FE2DAF"/>
    <w:rsid w:val="610225E1"/>
    <w:rsid w:val="6103126A"/>
    <w:rsid w:val="61157336"/>
    <w:rsid w:val="612260CC"/>
    <w:rsid w:val="612F6C05"/>
    <w:rsid w:val="613A1145"/>
    <w:rsid w:val="614E6B30"/>
    <w:rsid w:val="615B6989"/>
    <w:rsid w:val="61710099"/>
    <w:rsid w:val="619C4BC8"/>
    <w:rsid w:val="619E3F80"/>
    <w:rsid w:val="61A13045"/>
    <w:rsid w:val="61B13B9E"/>
    <w:rsid w:val="61D60928"/>
    <w:rsid w:val="61F25CE3"/>
    <w:rsid w:val="61FE0EB3"/>
    <w:rsid w:val="62065B66"/>
    <w:rsid w:val="62225940"/>
    <w:rsid w:val="62292D56"/>
    <w:rsid w:val="62301F44"/>
    <w:rsid w:val="623020A1"/>
    <w:rsid w:val="62302785"/>
    <w:rsid w:val="624337A9"/>
    <w:rsid w:val="62462BB8"/>
    <w:rsid w:val="6247712A"/>
    <w:rsid w:val="624E2F54"/>
    <w:rsid w:val="624E7A75"/>
    <w:rsid w:val="625068F1"/>
    <w:rsid w:val="62557233"/>
    <w:rsid w:val="6259612A"/>
    <w:rsid w:val="625B6451"/>
    <w:rsid w:val="62631BF8"/>
    <w:rsid w:val="6279791B"/>
    <w:rsid w:val="627A790C"/>
    <w:rsid w:val="627B3997"/>
    <w:rsid w:val="627D7EF2"/>
    <w:rsid w:val="62812967"/>
    <w:rsid w:val="62822BB5"/>
    <w:rsid w:val="62935AE2"/>
    <w:rsid w:val="629D2A79"/>
    <w:rsid w:val="629D461A"/>
    <w:rsid w:val="62AA3279"/>
    <w:rsid w:val="62C07128"/>
    <w:rsid w:val="62CA4DF2"/>
    <w:rsid w:val="62DC4310"/>
    <w:rsid w:val="62E32764"/>
    <w:rsid w:val="62E57817"/>
    <w:rsid w:val="62E850C8"/>
    <w:rsid w:val="62E86969"/>
    <w:rsid w:val="62EC3D86"/>
    <w:rsid w:val="62EF4553"/>
    <w:rsid w:val="62EF5E9B"/>
    <w:rsid w:val="62FB6965"/>
    <w:rsid w:val="63056158"/>
    <w:rsid w:val="63067B53"/>
    <w:rsid w:val="630A2E9C"/>
    <w:rsid w:val="63114C36"/>
    <w:rsid w:val="6319313B"/>
    <w:rsid w:val="631B0E2D"/>
    <w:rsid w:val="63263E47"/>
    <w:rsid w:val="63341491"/>
    <w:rsid w:val="6341655C"/>
    <w:rsid w:val="6346413B"/>
    <w:rsid w:val="635E0F13"/>
    <w:rsid w:val="63652CB0"/>
    <w:rsid w:val="63694EC2"/>
    <w:rsid w:val="636F28F6"/>
    <w:rsid w:val="63920123"/>
    <w:rsid w:val="63933A5B"/>
    <w:rsid w:val="63952787"/>
    <w:rsid w:val="639A6C03"/>
    <w:rsid w:val="639E6F33"/>
    <w:rsid w:val="63B550A2"/>
    <w:rsid w:val="63CF5BF0"/>
    <w:rsid w:val="63E159F1"/>
    <w:rsid w:val="63E17C97"/>
    <w:rsid w:val="63F46E71"/>
    <w:rsid w:val="64027D10"/>
    <w:rsid w:val="640610A4"/>
    <w:rsid w:val="640653BB"/>
    <w:rsid w:val="641438BE"/>
    <w:rsid w:val="64170577"/>
    <w:rsid w:val="6419103E"/>
    <w:rsid w:val="641A1F46"/>
    <w:rsid w:val="642456D7"/>
    <w:rsid w:val="643D6860"/>
    <w:rsid w:val="644165E9"/>
    <w:rsid w:val="64453AD6"/>
    <w:rsid w:val="64455162"/>
    <w:rsid w:val="644F1747"/>
    <w:rsid w:val="644F3CDD"/>
    <w:rsid w:val="6461410D"/>
    <w:rsid w:val="646950E3"/>
    <w:rsid w:val="64716397"/>
    <w:rsid w:val="648827CE"/>
    <w:rsid w:val="6498383F"/>
    <w:rsid w:val="64A66D1E"/>
    <w:rsid w:val="64B40950"/>
    <w:rsid w:val="64B7101D"/>
    <w:rsid w:val="64CF38AD"/>
    <w:rsid w:val="64D4251D"/>
    <w:rsid w:val="64E16A5C"/>
    <w:rsid w:val="64E40555"/>
    <w:rsid w:val="64F27F28"/>
    <w:rsid w:val="65085B8A"/>
    <w:rsid w:val="65112283"/>
    <w:rsid w:val="6511391B"/>
    <w:rsid w:val="65162815"/>
    <w:rsid w:val="651B2CA6"/>
    <w:rsid w:val="651E4428"/>
    <w:rsid w:val="652304F0"/>
    <w:rsid w:val="652A395F"/>
    <w:rsid w:val="652B7208"/>
    <w:rsid w:val="653673C3"/>
    <w:rsid w:val="654F49F6"/>
    <w:rsid w:val="65601DE4"/>
    <w:rsid w:val="65604A7E"/>
    <w:rsid w:val="65735E17"/>
    <w:rsid w:val="65746115"/>
    <w:rsid w:val="65807B12"/>
    <w:rsid w:val="658809FC"/>
    <w:rsid w:val="658D5EA2"/>
    <w:rsid w:val="659B7859"/>
    <w:rsid w:val="659F21D3"/>
    <w:rsid w:val="65A1151E"/>
    <w:rsid w:val="65A570ED"/>
    <w:rsid w:val="65B460BD"/>
    <w:rsid w:val="65C14B58"/>
    <w:rsid w:val="65C83EC5"/>
    <w:rsid w:val="65D32604"/>
    <w:rsid w:val="65D63D36"/>
    <w:rsid w:val="65DD57CE"/>
    <w:rsid w:val="65E4550E"/>
    <w:rsid w:val="65EA69BE"/>
    <w:rsid w:val="65EC7E19"/>
    <w:rsid w:val="65F91811"/>
    <w:rsid w:val="65F95549"/>
    <w:rsid w:val="65F976B7"/>
    <w:rsid w:val="65FF5D0E"/>
    <w:rsid w:val="66076AF6"/>
    <w:rsid w:val="66082A60"/>
    <w:rsid w:val="660A2F37"/>
    <w:rsid w:val="6621559D"/>
    <w:rsid w:val="6665557B"/>
    <w:rsid w:val="66700599"/>
    <w:rsid w:val="66897DE5"/>
    <w:rsid w:val="668D1023"/>
    <w:rsid w:val="668E0745"/>
    <w:rsid w:val="6699691E"/>
    <w:rsid w:val="669D003D"/>
    <w:rsid w:val="66AF364B"/>
    <w:rsid w:val="66AF7D58"/>
    <w:rsid w:val="66D15BC9"/>
    <w:rsid w:val="66D41089"/>
    <w:rsid w:val="66D87928"/>
    <w:rsid w:val="66E36E66"/>
    <w:rsid w:val="66E77462"/>
    <w:rsid w:val="66EE7910"/>
    <w:rsid w:val="66F0711D"/>
    <w:rsid w:val="66F7245B"/>
    <w:rsid w:val="67036430"/>
    <w:rsid w:val="670C5A2F"/>
    <w:rsid w:val="671D7148"/>
    <w:rsid w:val="67271C0E"/>
    <w:rsid w:val="672B2005"/>
    <w:rsid w:val="67306914"/>
    <w:rsid w:val="673112BC"/>
    <w:rsid w:val="67342C21"/>
    <w:rsid w:val="67363049"/>
    <w:rsid w:val="673E07F1"/>
    <w:rsid w:val="67626EBE"/>
    <w:rsid w:val="676E4C0E"/>
    <w:rsid w:val="677015AB"/>
    <w:rsid w:val="67857319"/>
    <w:rsid w:val="67980216"/>
    <w:rsid w:val="679A7D85"/>
    <w:rsid w:val="679C6020"/>
    <w:rsid w:val="67A25116"/>
    <w:rsid w:val="67A661C5"/>
    <w:rsid w:val="67B37C8C"/>
    <w:rsid w:val="67C32582"/>
    <w:rsid w:val="67CF4F6E"/>
    <w:rsid w:val="67D4402F"/>
    <w:rsid w:val="67D85993"/>
    <w:rsid w:val="67DB123F"/>
    <w:rsid w:val="67F82CCE"/>
    <w:rsid w:val="680F2C70"/>
    <w:rsid w:val="68385671"/>
    <w:rsid w:val="683B0820"/>
    <w:rsid w:val="684A1BA9"/>
    <w:rsid w:val="6850437B"/>
    <w:rsid w:val="68557217"/>
    <w:rsid w:val="6859255A"/>
    <w:rsid w:val="685D660C"/>
    <w:rsid w:val="6869138F"/>
    <w:rsid w:val="68794EBF"/>
    <w:rsid w:val="687D0398"/>
    <w:rsid w:val="68890659"/>
    <w:rsid w:val="68950ACF"/>
    <w:rsid w:val="68B058EF"/>
    <w:rsid w:val="68BA49B0"/>
    <w:rsid w:val="68BF642E"/>
    <w:rsid w:val="68D31214"/>
    <w:rsid w:val="68E23026"/>
    <w:rsid w:val="6906578E"/>
    <w:rsid w:val="69166122"/>
    <w:rsid w:val="6918222A"/>
    <w:rsid w:val="69256948"/>
    <w:rsid w:val="6938019E"/>
    <w:rsid w:val="693F5406"/>
    <w:rsid w:val="69466776"/>
    <w:rsid w:val="69474D27"/>
    <w:rsid w:val="696A76A8"/>
    <w:rsid w:val="69717A70"/>
    <w:rsid w:val="697423C0"/>
    <w:rsid w:val="69753F47"/>
    <w:rsid w:val="698C73CC"/>
    <w:rsid w:val="6994478C"/>
    <w:rsid w:val="69991BB5"/>
    <w:rsid w:val="699C369D"/>
    <w:rsid w:val="699F5A75"/>
    <w:rsid w:val="69A04DC6"/>
    <w:rsid w:val="69A50324"/>
    <w:rsid w:val="69A86FC4"/>
    <w:rsid w:val="69B207E3"/>
    <w:rsid w:val="69BE00CD"/>
    <w:rsid w:val="69C94AA5"/>
    <w:rsid w:val="69CA0C2F"/>
    <w:rsid w:val="69CE0F3C"/>
    <w:rsid w:val="69D0382D"/>
    <w:rsid w:val="69E20FE8"/>
    <w:rsid w:val="69E4387D"/>
    <w:rsid w:val="69E47FA6"/>
    <w:rsid w:val="69ED1E85"/>
    <w:rsid w:val="69F219C2"/>
    <w:rsid w:val="69F535EF"/>
    <w:rsid w:val="69F743CC"/>
    <w:rsid w:val="69F75D89"/>
    <w:rsid w:val="69F919E5"/>
    <w:rsid w:val="69FC2724"/>
    <w:rsid w:val="6A014A5B"/>
    <w:rsid w:val="6A062BF8"/>
    <w:rsid w:val="6A077233"/>
    <w:rsid w:val="6A0A009D"/>
    <w:rsid w:val="6A1E4A12"/>
    <w:rsid w:val="6A20093F"/>
    <w:rsid w:val="6A407BC8"/>
    <w:rsid w:val="6A4A51B1"/>
    <w:rsid w:val="6A4F3496"/>
    <w:rsid w:val="6A6134B0"/>
    <w:rsid w:val="6A680A66"/>
    <w:rsid w:val="6A7149E3"/>
    <w:rsid w:val="6A7D7CF9"/>
    <w:rsid w:val="6A806E5E"/>
    <w:rsid w:val="6A84361A"/>
    <w:rsid w:val="6A871192"/>
    <w:rsid w:val="6A8912DE"/>
    <w:rsid w:val="6A8A0EEB"/>
    <w:rsid w:val="6A974836"/>
    <w:rsid w:val="6A9C45EB"/>
    <w:rsid w:val="6ABC3752"/>
    <w:rsid w:val="6AD32B3B"/>
    <w:rsid w:val="6ADE2FCB"/>
    <w:rsid w:val="6AF5460B"/>
    <w:rsid w:val="6AFD0F93"/>
    <w:rsid w:val="6B1A60AB"/>
    <w:rsid w:val="6B1D0186"/>
    <w:rsid w:val="6B255C57"/>
    <w:rsid w:val="6B321EF7"/>
    <w:rsid w:val="6B3A6396"/>
    <w:rsid w:val="6B421E28"/>
    <w:rsid w:val="6B431EDD"/>
    <w:rsid w:val="6B480276"/>
    <w:rsid w:val="6B7469C6"/>
    <w:rsid w:val="6B773F32"/>
    <w:rsid w:val="6B7A7123"/>
    <w:rsid w:val="6B820EEA"/>
    <w:rsid w:val="6B8F6ECD"/>
    <w:rsid w:val="6B90759B"/>
    <w:rsid w:val="6B9C6671"/>
    <w:rsid w:val="6BA11BBD"/>
    <w:rsid w:val="6BA64BF7"/>
    <w:rsid w:val="6BBC4B7E"/>
    <w:rsid w:val="6BC10815"/>
    <w:rsid w:val="6BC608E3"/>
    <w:rsid w:val="6BCD42E8"/>
    <w:rsid w:val="6BE63A82"/>
    <w:rsid w:val="6BE64EC8"/>
    <w:rsid w:val="6BF73444"/>
    <w:rsid w:val="6BF81573"/>
    <w:rsid w:val="6BF84F47"/>
    <w:rsid w:val="6BFA12B2"/>
    <w:rsid w:val="6C00715A"/>
    <w:rsid w:val="6C0B4928"/>
    <w:rsid w:val="6C126ABF"/>
    <w:rsid w:val="6C166267"/>
    <w:rsid w:val="6C3F14F6"/>
    <w:rsid w:val="6C450745"/>
    <w:rsid w:val="6C5B0B09"/>
    <w:rsid w:val="6C5E4A4E"/>
    <w:rsid w:val="6C5F16D3"/>
    <w:rsid w:val="6C6E1254"/>
    <w:rsid w:val="6C6F6230"/>
    <w:rsid w:val="6C714703"/>
    <w:rsid w:val="6C7317EA"/>
    <w:rsid w:val="6C7C4950"/>
    <w:rsid w:val="6C7E7250"/>
    <w:rsid w:val="6C857018"/>
    <w:rsid w:val="6C8B63C4"/>
    <w:rsid w:val="6C904128"/>
    <w:rsid w:val="6C9D3C54"/>
    <w:rsid w:val="6C9D7AE1"/>
    <w:rsid w:val="6CB728C4"/>
    <w:rsid w:val="6CBA0338"/>
    <w:rsid w:val="6CBA5928"/>
    <w:rsid w:val="6CBE1669"/>
    <w:rsid w:val="6CCA1DCD"/>
    <w:rsid w:val="6CCD2504"/>
    <w:rsid w:val="6CD46FC0"/>
    <w:rsid w:val="6CF1539E"/>
    <w:rsid w:val="6D0B365E"/>
    <w:rsid w:val="6D177A9D"/>
    <w:rsid w:val="6D197DAE"/>
    <w:rsid w:val="6D1E7DFF"/>
    <w:rsid w:val="6D2F793D"/>
    <w:rsid w:val="6D3506F3"/>
    <w:rsid w:val="6D4F4FA8"/>
    <w:rsid w:val="6D581FBB"/>
    <w:rsid w:val="6D5D01E3"/>
    <w:rsid w:val="6D7D7989"/>
    <w:rsid w:val="6D8312E3"/>
    <w:rsid w:val="6D897E55"/>
    <w:rsid w:val="6D9107FE"/>
    <w:rsid w:val="6D9A7D4E"/>
    <w:rsid w:val="6DAD29A7"/>
    <w:rsid w:val="6DC43AAD"/>
    <w:rsid w:val="6DE9681A"/>
    <w:rsid w:val="6DEF349B"/>
    <w:rsid w:val="6DF23C64"/>
    <w:rsid w:val="6DF649C4"/>
    <w:rsid w:val="6E08353E"/>
    <w:rsid w:val="6E0A4A81"/>
    <w:rsid w:val="6E0B6952"/>
    <w:rsid w:val="6E150C76"/>
    <w:rsid w:val="6E2F1F85"/>
    <w:rsid w:val="6E5F76E0"/>
    <w:rsid w:val="6E630593"/>
    <w:rsid w:val="6E7B278A"/>
    <w:rsid w:val="6E840027"/>
    <w:rsid w:val="6E8B7601"/>
    <w:rsid w:val="6E8D36EF"/>
    <w:rsid w:val="6E9107DF"/>
    <w:rsid w:val="6E9F1EA7"/>
    <w:rsid w:val="6EA672AD"/>
    <w:rsid w:val="6EB13C00"/>
    <w:rsid w:val="6EBB1189"/>
    <w:rsid w:val="6EC077AC"/>
    <w:rsid w:val="6ECF14F5"/>
    <w:rsid w:val="6ED7088E"/>
    <w:rsid w:val="6EDB24AA"/>
    <w:rsid w:val="6EE34872"/>
    <w:rsid w:val="6EE570E0"/>
    <w:rsid w:val="6EE67503"/>
    <w:rsid w:val="6EE728F9"/>
    <w:rsid w:val="6F075599"/>
    <w:rsid w:val="6F10666D"/>
    <w:rsid w:val="6F1527B6"/>
    <w:rsid w:val="6F1C56A7"/>
    <w:rsid w:val="6F250960"/>
    <w:rsid w:val="6F2A2A2C"/>
    <w:rsid w:val="6F305957"/>
    <w:rsid w:val="6F366DCD"/>
    <w:rsid w:val="6F43071C"/>
    <w:rsid w:val="6F455FBE"/>
    <w:rsid w:val="6F676436"/>
    <w:rsid w:val="6F6F0DF9"/>
    <w:rsid w:val="6F776487"/>
    <w:rsid w:val="6F7F0FF7"/>
    <w:rsid w:val="6F8321D4"/>
    <w:rsid w:val="6F842CFE"/>
    <w:rsid w:val="6F8701BF"/>
    <w:rsid w:val="6F995123"/>
    <w:rsid w:val="6FAA6821"/>
    <w:rsid w:val="6FAE48B7"/>
    <w:rsid w:val="6FB80638"/>
    <w:rsid w:val="6FBB27C5"/>
    <w:rsid w:val="6FD03DDE"/>
    <w:rsid w:val="6FD12F72"/>
    <w:rsid w:val="6FDF04D4"/>
    <w:rsid w:val="6FE559D6"/>
    <w:rsid w:val="6FE7287D"/>
    <w:rsid w:val="6FEE26AD"/>
    <w:rsid w:val="6FF8230C"/>
    <w:rsid w:val="6FFC71BD"/>
    <w:rsid w:val="700455B4"/>
    <w:rsid w:val="700D72FC"/>
    <w:rsid w:val="70140560"/>
    <w:rsid w:val="70276974"/>
    <w:rsid w:val="702F001E"/>
    <w:rsid w:val="70315609"/>
    <w:rsid w:val="70326E55"/>
    <w:rsid w:val="703C337A"/>
    <w:rsid w:val="703D13E9"/>
    <w:rsid w:val="704142A8"/>
    <w:rsid w:val="704F5098"/>
    <w:rsid w:val="7055325D"/>
    <w:rsid w:val="70596113"/>
    <w:rsid w:val="70653601"/>
    <w:rsid w:val="706F4E68"/>
    <w:rsid w:val="707C3C0D"/>
    <w:rsid w:val="708055F4"/>
    <w:rsid w:val="70836251"/>
    <w:rsid w:val="709707A4"/>
    <w:rsid w:val="709C2DF2"/>
    <w:rsid w:val="709D52FA"/>
    <w:rsid w:val="70A037FA"/>
    <w:rsid w:val="70A951A8"/>
    <w:rsid w:val="70A9727A"/>
    <w:rsid w:val="70AC575A"/>
    <w:rsid w:val="70B97B14"/>
    <w:rsid w:val="70BA129E"/>
    <w:rsid w:val="70C77D40"/>
    <w:rsid w:val="70CD292F"/>
    <w:rsid w:val="70CE4C92"/>
    <w:rsid w:val="70DB4992"/>
    <w:rsid w:val="70DE0FFC"/>
    <w:rsid w:val="70F65648"/>
    <w:rsid w:val="70F74A29"/>
    <w:rsid w:val="710942D5"/>
    <w:rsid w:val="710F472E"/>
    <w:rsid w:val="711E330C"/>
    <w:rsid w:val="71265B92"/>
    <w:rsid w:val="712C226E"/>
    <w:rsid w:val="712D15EF"/>
    <w:rsid w:val="713742DF"/>
    <w:rsid w:val="713C52A0"/>
    <w:rsid w:val="71421757"/>
    <w:rsid w:val="71466889"/>
    <w:rsid w:val="714D26C5"/>
    <w:rsid w:val="715F287A"/>
    <w:rsid w:val="71604CD0"/>
    <w:rsid w:val="71612B49"/>
    <w:rsid w:val="7178099C"/>
    <w:rsid w:val="717B78F4"/>
    <w:rsid w:val="71832850"/>
    <w:rsid w:val="71845C0F"/>
    <w:rsid w:val="718B64BA"/>
    <w:rsid w:val="71932B51"/>
    <w:rsid w:val="71A62A29"/>
    <w:rsid w:val="71A858DC"/>
    <w:rsid w:val="71AB13FA"/>
    <w:rsid w:val="71B74D12"/>
    <w:rsid w:val="71C11F66"/>
    <w:rsid w:val="71C2096E"/>
    <w:rsid w:val="71CE4B47"/>
    <w:rsid w:val="71F427B8"/>
    <w:rsid w:val="71F42FF8"/>
    <w:rsid w:val="71F72343"/>
    <w:rsid w:val="71F84522"/>
    <w:rsid w:val="720063B6"/>
    <w:rsid w:val="720E7B9F"/>
    <w:rsid w:val="72124C39"/>
    <w:rsid w:val="72131D1C"/>
    <w:rsid w:val="721D028D"/>
    <w:rsid w:val="72216C1B"/>
    <w:rsid w:val="724B7657"/>
    <w:rsid w:val="72587874"/>
    <w:rsid w:val="72660BBC"/>
    <w:rsid w:val="726829AE"/>
    <w:rsid w:val="72693B0A"/>
    <w:rsid w:val="726B1A8E"/>
    <w:rsid w:val="72720329"/>
    <w:rsid w:val="72842953"/>
    <w:rsid w:val="72892263"/>
    <w:rsid w:val="728A4F53"/>
    <w:rsid w:val="728B01C5"/>
    <w:rsid w:val="728B5766"/>
    <w:rsid w:val="72BD0C64"/>
    <w:rsid w:val="72C437AF"/>
    <w:rsid w:val="72CB6997"/>
    <w:rsid w:val="72CD0A7A"/>
    <w:rsid w:val="72CF3304"/>
    <w:rsid w:val="72DB29DA"/>
    <w:rsid w:val="72DE24CA"/>
    <w:rsid w:val="72DF3F8C"/>
    <w:rsid w:val="72E1268F"/>
    <w:rsid w:val="72F432A5"/>
    <w:rsid w:val="72FD3116"/>
    <w:rsid w:val="730A5BB1"/>
    <w:rsid w:val="730E3522"/>
    <w:rsid w:val="73141193"/>
    <w:rsid w:val="73214598"/>
    <w:rsid w:val="732B78E1"/>
    <w:rsid w:val="733055B8"/>
    <w:rsid w:val="73394881"/>
    <w:rsid w:val="733D1F2A"/>
    <w:rsid w:val="733F4E43"/>
    <w:rsid w:val="73452520"/>
    <w:rsid w:val="73636B89"/>
    <w:rsid w:val="736457FD"/>
    <w:rsid w:val="736B0072"/>
    <w:rsid w:val="737BEED9"/>
    <w:rsid w:val="738057B1"/>
    <w:rsid w:val="7382551B"/>
    <w:rsid w:val="738723B4"/>
    <w:rsid w:val="738827E1"/>
    <w:rsid w:val="73891377"/>
    <w:rsid w:val="738F737D"/>
    <w:rsid w:val="739221DF"/>
    <w:rsid w:val="73966EE7"/>
    <w:rsid w:val="73981B34"/>
    <w:rsid w:val="73B422E9"/>
    <w:rsid w:val="73B5528C"/>
    <w:rsid w:val="73C77724"/>
    <w:rsid w:val="73C85FBF"/>
    <w:rsid w:val="73CB2A0E"/>
    <w:rsid w:val="73D53FC6"/>
    <w:rsid w:val="73EF7C93"/>
    <w:rsid w:val="73F03AA8"/>
    <w:rsid w:val="73FE325C"/>
    <w:rsid w:val="74017CED"/>
    <w:rsid w:val="74060D57"/>
    <w:rsid w:val="74340D14"/>
    <w:rsid w:val="743953AC"/>
    <w:rsid w:val="74444920"/>
    <w:rsid w:val="744B0502"/>
    <w:rsid w:val="744E32C1"/>
    <w:rsid w:val="745B30EC"/>
    <w:rsid w:val="745E6576"/>
    <w:rsid w:val="74636813"/>
    <w:rsid w:val="7466501F"/>
    <w:rsid w:val="746E1029"/>
    <w:rsid w:val="747267DB"/>
    <w:rsid w:val="747E3BC9"/>
    <w:rsid w:val="74883A12"/>
    <w:rsid w:val="74912BEF"/>
    <w:rsid w:val="74AD0D7E"/>
    <w:rsid w:val="74B41476"/>
    <w:rsid w:val="74B82DD6"/>
    <w:rsid w:val="74C7607C"/>
    <w:rsid w:val="74CB23A5"/>
    <w:rsid w:val="74CC19DC"/>
    <w:rsid w:val="74CD4FD2"/>
    <w:rsid w:val="74CE645F"/>
    <w:rsid w:val="74D85545"/>
    <w:rsid w:val="74EC49E6"/>
    <w:rsid w:val="74F230CA"/>
    <w:rsid w:val="74F4684C"/>
    <w:rsid w:val="74FC5EFF"/>
    <w:rsid w:val="74FC62BA"/>
    <w:rsid w:val="75092088"/>
    <w:rsid w:val="750F758C"/>
    <w:rsid w:val="75105311"/>
    <w:rsid w:val="751D7283"/>
    <w:rsid w:val="751F1BAF"/>
    <w:rsid w:val="75251C2A"/>
    <w:rsid w:val="755255B8"/>
    <w:rsid w:val="756074B2"/>
    <w:rsid w:val="75756CED"/>
    <w:rsid w:val="7577329B"/>
    <w:rsid w:val="75776CEE"/>
    <w:rsid w:val="758945DB"/>
    <w:rsid w:val="75940F89"/>
    <w:rsid w:val="75C34175"/>
    <w:rsid w:val="75C377A7"/>
    <w:rsid w:val="75C76CA0"/>
    <w:rsid w:val="75D202F0"/>
    <w:rsid w:val="75D2470A"/>
    <w:rsid w:val="75DD3503"/>
    <w:rsid w:val="75FB3D8C"/>
    <w:rsid w:val="76230911"/>
    <w:rsid w:val="76230CA0"/>
    <w:rsid w:val="762D39CC"/>
    <w:rsid w:val="7634469C"/>
    <w:rsid w:val="76357515"/>
    <w:rsid w:val="7652123F"/>
    <w:rsid w:val="7669461A"/>
    <w:rsid w:val="766C7977"/>
    <w:rsid w:val="767B3328"/>
    <w:rsid w:val="767D10EA"/>
    <w:rsid w:val="767E4CCF"/>
    <w:rsid w:val="768440AB"/>
    <w:rsid w:val="76926CBD"/>
    <w:rsid w:val="76963DEE"/>
    <w:rsid w:val="76AB7E7C"/>
    <w:rsid w:val="76AF7F9C"/>
    <w:rsid w:val="76C5349A"/>
    <w:rsid w:val="76C6565A"/>
    <w:rsid w:val="76D40599"/>
    <w:rsid w:val="76D91DA4"/>
    <w:rsid w:val="76DE4CCC"/>
    <w:rsid w:val="76E34284"/>
    <w:rsid w:val="76E41E8B"/>
    <w:rsid w:val="76E431C1"/>
    <w:rsid w:val="76F83751"/>
    <w:rsid w:val="76FE78EE"/>
    <w:rsid w:val="77006615"/>
    <w:rsid w:val="7707323F"/>
    <w:rsid w:val="77082426"/>
    <w:rsid w:val="770C79FF"/>
    <w:rsid w:val="770E5FAC"/>
    <w:rsid w:val="77116BA8"/>
    <w:rsid w:val="771F5710"/>
    <w:rsid w:val="7720471C"/>
    <w:rsid w:val="77265BEF"/>
    <w:rsid w:val="77266D44"/>
    <w:rsid w:val="772C5049"/>
    <w:rsid w:val="773C1706"/>
    <w:rsid w:val="77494843"/>
    <w:rsid w:val="775334F3"/>
    <w:rsid w:val="7756662F"/>
    <w:rsid w:val="775E3456"/>
    <w:rsid w:val="7764634A"/>
    <w:rsid w:val="77764C80"/>
    <w:rsid w:val="777F45FF"/>
    <w:rsid w:val="77830C38"/>
    <w:rsid w:val="77885048"/>
    <w:rsid w:val="778F104A"/>
    <w:rsid w:val="77904D88"/>
    <w:rsid w:val="77914C2E"/>
    <w:rsid w:val="779D4DC3"/>
    <w:rsid w:val="77A137C0"/>
    <w:rsid w:val="77BA0816"/>
    <w:rsid w:val="77BB3A53"/>
    <w:rsid w:val="77C8602D"/>
    <w:rsid w:val="77D902B3"/>
    <w:rsid w:val="77DF5C65"/>
    <w:rsid w:val="780C2EAD"/>
    <w:rsid w:val="782209E2"/>
    <w:rsid w:val="782F6179"/>
    <w:rsid w:val="78373F89"/>
    <w:rsid w:val="7839144D"/>
    <w:rsid w:val="786726E2"/>
    <w:rsid w:val="786817C0"/>
    <w:rsid w:val="786A7492"/>
    <w:rsid w:val="788D1B89"/>
    <w:rsid w:val="789822D6"/>
    <w:rsid w:val="789E4FBF"/>
    <w:rsid w:val="78A226CE"/>
    <w:rsid w:val="78B56375"/>
    <w:rsid w:val="78BC4DB9"/>
    <w:rsid w:val="78BF0612"/>
    <w:rsid w:val="78C27AB0"/>
    <w:rsid w:val="78CC5E0B"/>
    <w:rsid w:val="78CE5D6C"/>
    <w:rsid w:val="78FB78E0"/>
    <w:rsid w:val="78FC5D01"/>
    <w:rsid w:val="790E6E74"/>
    <w:rsid w:val="792173AF"/>
    <w:rsid w:val="79312992"/>
    <w:rsid w:val="793754E7"/>
    <w:rsid w:val="793C6C06"/>
    <w:rsid w:val="794149DD"/>
    <w:rsid w:val="794F1A42"/>
    <w:rsid w:val="795937D9"/>
    <w:rsid w:val="79620355"/>
    <w:rsid w:val="79642164"/>
    <w:rsid w:val="796F5A18"/>
    <w:rsid w:val="79731FDC"/>
    <w:rsid w:val="79760D81"/>
    <w:rsid w:val="798C16BD"/>
    <w:rsid w:val="798D3A3B"/>
    <w:rsid w:val="798F4D3C"/>
    <w:rsid w:val="79952F95"/>
    <w:rsid w:val="79987C84"/>
    <w:rsid w:val="79BE74B5"/>
    <w:rsid w:val="79CB2E21"/>
    <w:rsid w:val="79D83002"/>
    <w:rsid w:val="79E76F99"/>
    <w:rsid w:val="79E7718B"/>
    <w:rsid w:val="79FF2866"/>
    <w:rsid w:val="7A000102"/>
    <w:rsid w:val="7A0422F7"/>
    <w:rsid w:val="7A0839AF"/>
    <w:rsid w:val="7A0841A9"/>
    <w:rsid w:val="7A1B4B9F"/>
    <w:rsid w:val="7A1C33C9"/>
    <w:rsid w:val="7A2B6D1E"/>
    <w:rsid w:val="7A2F2D2D"/>
    <w:rsid w:val="7A433A48"/>
    <w:rsid w:val="7A4A1691"/>
    <w:rsid w:val="7A4C3F90"/>
    <w:rsid w:val="7A507905"/>
    <w:rsid w:val="7A53745B"/>
    <w:rsid w:val="7A5E245D"/>
    <w:rsid w:val="7A641E97"/>
    <w:rsid w:val="7A683F34"/>
    <w:rsid w:val="7A6D4464"/>
    <w:rsid w:val="7A720784"/>
    <w:rsid w:val="7A764955"/>
    <w:rsid w:val="7A923129"/>
    <w:rsid w:val="7A965C09"/>
    <w:rsid w:val="7A9B0630"/>
    <w:rsid w:val="7AA10F3A"/>
    <w:rsid w:val="7AC44FCA"/>
    <w:rsid w:val="7AC902EE"/>
    <w:rsid w:val="7ADD772F"/>
    <w:rsid w:val="7AE91D59"/>
    <w:rsid w:val="7AF052F2"/>
    <w:rsid w:val="7AF86254"/>
    <w:rsid w:val="7AFB2028"/>
    <w:rsid w:val="7B0609A0"/>
    <w:rsid w:val="7B0C79FE"/>
    <w:rsid w:val="7B15166E"/>
    <w:rsid w:val="7B17125F"/>
    <w:rsid w:val="7B21616E"/>
    <w:rsid w:val="7B2721BF"/>
    <w:rsid w:val="7B3C532A"/>
    <w:rsid w:val="7B3F7050"/>
    <w:rsid w:val="7B417B96"/>
    <w:rsid w:val="7B511A8D"/>
    <w:rsid w:val="7B51702E"/>
    <w:rsid w:val="7B5F71E6"/>
    <w:rsid w:val="7B6F2516"/>
    <w:rsid w:val="7B7A05FC"/>
    <w:rsid w:val="7B7B6B1D"/>
    <w:rsid w:val="7B912F31"/>
    <w:rsid w:val="7BA5035E"/>
    <w:rsid w:val="7BBE6EF0"/>
    <w:rsid w:val="7BCF4855"/>
    <w:rsid w:val="7BD773C3"/>
    <w:rsid w:val="7BEC32C1"/>
    <w:rsid w:val="7BEE4004"/>
    <w:rsid w:val="7C0312E9"/>
    <w:rsid w:val="7C1F53F5"/>
    <w:rsid w:val="7C3A06AB"/>
    <w:rsid w:val="7C3C4123"/>
    <w:rsid w:val="7C3D03F4"/>
    <w:rsid w:val="7C41344D"/>
    <w:rsid w:val="7C57093A"/>
    <w:rsid w:val="7C5A13D9"/>
    <w:rsid w:val="7C621A19"/>
    <w:rsid w:val="7C744D79"/>
    <w:rsid w:val="7C76288D"/>
    <w:rsid w:val="7C7A2854"/>
    <w:rsid w:val="7C82393E"/>
    <w:rsid w:val="7C8719E8"/>
    <w:rsid w:val="7C8F308F"/>
    <w:rsid w:val="7C8F35E2"/>
    <w:rsid w:val="7C977582"/>
    <w:rsid w:val="7CA25BF4"/>
    <w:rsid w:val="7CB5737F"/>
    <w:rsid w:val="7CC07D8D"/>
    <w:rsid w:val="7CC60BAA"/>
    <w:rsid w:val="7CC80E90"/>
    <w:rsid w:val="7CCA2135"/>
    <w:rsid w:val="7CD25B2D"/>
    <w:rsid w:val="7CDFC051"/>
    <w:rsid w:val="7CEA58D1"/>
    <w:rsid w:val="7CF21B06"/>
    <w:rsid w:val="7CFC7273"/>
    <w:rsid w:val="7D090868"/>
    <w:rsid w:val="7D0C2256"/>
    <w:rsid w:val="7D0E0210"/>
    <w:rsid w:val="7D29133F"/>
    <w:rsid w:val="7D3243C6"/>
    <w:rsid w:val="7D404EA8"/>
    <w:rsid w:val="7D417281"/>
    <w:rsid w:val="7D4A7718"/>
    <w:rsid w:val="7D633757"/>
    <w:rsid w:val="7D701187"/>
    <w:rsid w:val="7D761E2B"/>
    <w:rsid w:val="7D8D5995"/>
    <w:rsid w:val="7D90069F"/>
    <w:rsid w:val="7D9E185A"/>
    <w:rsid w:val="7DB319A2"/>
    <w:rsid w:val="7DB367A9"/>
    <w:rsid w:val="7DB40B54"/>
    <w:rsid w:val="7DB93939"/>
    <w:rsid w:val="7DBA1FA0"/>
    <w:rsid w:val="7DBB57C3"/>
    <w:rsid w:val="7DBF74D2"/>
    <w:rsid w:val="7DC86D41"/>
    <w:rsid w:val="7DCA6A20"/>
    <w:rsid w:val="7DCB22BF"/>
    <w:rsid w:val="7DD531EA"/>
    <w:rsid w:val="7DDF3A7D"/>
    <w:rsid w:val="7DF7418C"/>
    <w:rsid w:val="7DFD3FD9"/>
    <w:rsid w:val="7E0A3438"/>
    <w:rsid w:val="7E140A9B"/>
    <w:rsid w:val="7E165EAF"/>
    <w:rsid w:val="7E242B8C"/>
    <w:rsid w:val="7E2D2502"/>
    <w:rsid w:val="7E2D6052"/>
    <w:rsid w:val="7E303EA9"/>
    <w:rsid w:val="7E6B6DDC"/>
    <w:rsid w:val="7E7515C1"/>
    <w:rsid w:val="7E8550A9"/>
    <w:rsid w:val="7E8D0D1E"/>
    <w:rsid w:val="7E956772"/>
    <w:rsid w:val="7E9C21A9"/>
    <w:rsid w:val="7E9F1FF6"/>
    <w:rsid w:val="7EA96B9F"/>
    <w:rsid w:val="7EB042D5"/>
    <w:rsid w:val="7EBB269F"/>
    <w:rsid w:val="7EBE7C2A"/>
    <w:rsid w:val="7EC337C2"/>
    <w:rsid w:val="7EC43C02"/>
    <w:rsid w:val="7EC90855"/>
    <w:rsid w:val="7ED071DC"/>
    <w:rsid w:val="7ED2709C"/>
    <w:rsid w:val="7EE6000D"/>
    <w:rsid w:val="7EEE4FC7"/>
    <w:rsid w:val="7EEE7186"/>
    <w:rsid w:val="7EF32842"/>
    <w:rsid w:val="7EF8647D"/>
    <w:rsid w:val="7F0973CE"/>
    <w:rsid w:val="7F201985"/>
    <w:rsid w:val="7F261A2B"/>
    <w:rsid w:val="7F455E9C"/>
    <w:rsid w:val="7F535E98"/>
    <w:rsid w:val="7F611C42"/>
    <w:rsid w:val="7F622955"/>
    <w:rsid w:val="7F646240"/>
    <w:rsid w:val="7F652443"/>
    <w:rsid w:val="7F666DB3"/>
    <w:rsid w:val="7F67349A"/>
    <w:rsid w:val="7F7B74A0"/>
    <w:rsid w:val="7F7C0BAE"/>
    <w:rsid w:val="7F853AE0"/>
    <w:rsid w:val="7F860BA9"/>
    <w:rsid w:val="7F9669E6"/>
    <w:rsid w:val="7F9F1BE7"/>
    <w:rsid w:val="7FA71EE3"/>
    <w:rsid w:val="7FAB05C4"/>
    <w:rsid w:val="7FAC4F04"/>
    <w:rsid w:val="7FB172C2"/>
    <w:rsid w:val="7FBC67D8"/>
    <w:rsid w:val="7FE4219E"/>
    <w:rsid w:val="7FE91E7D"/>
    <w:rsid w:val="7FEC615B"/>
    <w:rsid w:val="7FEF7C72"/>
    <w:rsid w:val="7FF20867"/>
    <w:rsid w:val="7FF72ED4"/>
    <w:rsid w:val="FAAF8C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华文仿宋" w:cs="Times New Roman"/>
      <w:kern w:val="2"/>
      <w:sz w:val="28"/>
      <w:szCs w:val="22"/>
      <w:lang w:val="en-US" w:eastAsia="zh-CN" w:bidi="ar-SA"/>
    </w:rPr>
  </w:style>
  <w:style w:type="paragraph" w:styleId="2">
    <w:name w:val="heading 1"/>
    <w:basedOn w:val="1"/>
    <w:next w:val="1"/>
    <w:link w:val="30"/>
    <w:qFormat/>
    <w:uiPriority w:val="9"/>
    <w:pPr>
      <w:keepNext/>
      <w:keepLines/>
      <w:numPr>
        <w:ilvl w:val="0"/>
        <w:numId w:val="1"/>
      </w:numPr>
      <w:spacing w:before="100" w:beforeLines="100"/>
      <w:ind w:left="0" w:firstLine="0" w:firstLineChars="0"/>
      <w:jc w:val="center"/>
      <w:outlineLvl w:val="0"/>
    </w:pPr>
    <w:rPr>
      <w:b/>
      <w:bCs/>
      <w:kern w:val="44"/>
      <w:sz w:val="36"/>
      <w:szCs w:val="44"/>
    </w:rPr>
  </w:style>
  <w:style w:type="paragraph" w:styleId="3">
    <w:name w:val="heading 2"/>
    <w:basedOn w:val="1"/>
    <w:next w:val="1"/>
    <w:link w:val="31"/>
    <w:qFormat/>
    <w:uiPriority w:val="9"/>
    <w:pPr>
      <w:keepNext/>
      <w:keepLines/>
      <w:numPr>
        <w:ilvl w:val="1"/>
        <w:numId w:val="1"/>
      </w:numPr>
      <w:ind w:left="0" w:firstLine="0" w:firstLineChars="0"/>
      <w:outlineLvl w:val="1"/>
    </w:pPr>
    <w:rPr>
      <w:b/>
      <w:bCs/>
      <w:sz w:val="32"/>
      <w:szCs w:val="32"/>
    </w:rPr>
  </w:style>
  <w:style w:type="paragraph" w:styleId="4">
    <w:name w:val="heading 3"/>
    <w:basedOn w:val="1"/>
    <w:next w:val="1"/>
    <w:link w:val="32"/>
    <w:qFormat/>
    <w:uiPriority w:val="9"/>
    <w:pPr>
      <w:keepNext/>
      <w:keepLines/>
      <w:numPr>
        <w:ilvl w:val="2"/>
        <w:numId w:val="1"/>
      </w:numPr>
      <w:adjustRightInd w:val="0"/>
      <w:spacing w:line="240" w:lineRule="auto"/>
      <w:ind w:left="0" w:firstLine="198" w:firstLineChars="0"/>
      <w:jc w:val="left"/>
      <w:outlineLvl w:val="2"/>
    </w:pPr>
    <w:rPr>
      <w:b/>
      <w:bCs/>
      <w:sz w:val="30"/>
      <w:szCs w:val="32"/>
    </w:rPr>
  </w:style>
  <w:style w:type="paragraph" w:styleId="5">
    <w:name w:val="heading 4"/>
    <w:basedOn w:val="1"/>
    <w:next w:val="1"/>
    <w:link w:val="33"/>
    <w:qFormat/>
    <w:uiPriority w:val="9"/>
    <w:pPr>
      <w:keepNext/>
      <w:keepLines/>
      <w:numPr>
        <w:ilvl w:val="3"/>
        <w:numId w:val="1"/>
      </w:numPr>
      <w:ind w:left="0" w:firstLine="0" w:firstLineChars="0"/>
      <w:jc w:val="left"/>
      <w:outlineLvl w:val="3"/>
    </w:pPr>
    <w:rPr>
      <w:b/>
      <w:bCs/>
      <w:szCs w:val="28"/>
    </w:rPr>
  </w:style>
  <w:style w:type="paragraph" w:styleId="6">
    <w:name w:val="heading 5"/>
    <w:basedOn w:val="1"/>
    <w:next w:val="1"/>
    <w:link w:val="34"/>
    <w:qFormat/>
    <w:uiPriority w:val="9"/>
    <w:pPr>
      <w:keepNext/>
      <w:keepLines/>
      <w:outlineLvl w:val="4"/>
    </w:pPr>
    <w:rPr>
      <w:rFonts w:ascii="Cambria" w:hAnsi="Cambria" w:eastAsia="宋体"/>
      <w:color w:val="243F60"/>
      <w:sz w:val="30"/>
      <w:szCs w:val="24"/>
    </w:rPr>
  </w:style>
  <w:style w:type="paragraph" w:styleId="7">
    <w:name w:val="heading 6"/>
    <w:basedOn w:val="1"/>
    <w:next w:val="1"/>
    <w:link w:val="35"/>
    <w:qFormat/>
    <w:uiPriority w:val="9"/>
    <w:pPr>
      <w:keepNext/>
      <w:keepLines/>
      <w:spacing w:before="200"/>
      <w:outlineLvl w:val="5"/>
    </w:pPr>
    <w:rPr>
      <w:rFonts w:ascii="Cambria" w:hAnsi="Cambria" w:eastAsia="宋体"/>
      <w:i/>
      <w:iCs/>
      <w:color w:val="243F60"/>
      <w:sz w:val="30"/>
      <w:szCs w:val="24"/>
    </w:rPr>
  </w:style>
  <w:style w:type="paragraph" w:styleId="8">
    <w:name w:val="heading 7"/>
    <w:basedOn w:val="1"/>
    <w:next w:val="1"/>
    <w:link w:val="36"/>
    <w:qFormat/>
    <w:uiPriority w:val="9"/>
    <w:pPr>
      <w:keepNext/>
      <w:keepLines/>
      <w:spacing w:before="200"/>
      <w:outlineLvl w:val="6"/>
    </w:pPr>
    <w:rPr>
      <w:rFonts w:ascii="Cambria" w:hAnsi="Cambria" w:eastAsia="宋体"/>
      <w:i/>
      <w:iCs/>
      <w:color w:val="404040"/>
      <w:sz w:val="30"/>
      <w:szCs w:val="24"/>
    </w:rPr>
  </w:style>
  <w:style w:type="paragraph" w:styleId="9">
    <w:name w:val="heading 8"/>
    <w:basedOn w:val="1"/>
    <w:next w:val="1"/>
    <w:link w:val="37"/>
    <w:qFormat/>
    <w:uiPriority w:val="9"/>
    <w:pPr>
      <w:keepNext/>
      <w:keepLines/>
      <w:spacing w:before="200"/>
      <w:outlineLvl w:val="7"/>
    </w:pPr>
    <w:rPr>
      <w:rFonts w:ascii="Cambria" w:hAnsi="Cambria" w:eastAsia="宋体"/>
      <w:color w:val="4F81BD"/>
      <w:sz w:val="20"/>
      <w:szCs w:val="20"/>
    </w:rPr>
  </w:style>
  <w:style w:type="paragraph" w:styleId="10">
    <w:name w:val="heading 9"/>
    <w:basedOn w:val="1"/>
    <w:next w:val="1"/>
    <w:link w:val="38"/>
    <w:qFormat/>
    <w:uiPriority w:val="9"/>
    <w:pPr>
      <w:keepNext/>
      <w:keepLines/>
      <w:spacing w:before="200"/>
      <w:outlineLvl w:val="8"/>
    </w:pPr>
    <w:rPr>
      <w:rFonts w:ascii="Cambria" w:hAnsi="Cambria" w:eastAsia="宋体"/>
      <w:i/>
      <w:iCs/>
      <w:color w:val="404040"/>
      <w:sz w:val="20"/>
      <w:szCs w:val="20"/>
    </w:rPr>
  </w:style>
  <w:style w:type="character" w:default="1" w:styleId="26">
    <w:name w:val="Default Paragraph Font"/>
    <w:unhideWhenUsed/>
    <w:qFormat/>
    <w:uiPriority w:val="1"/>
  </w:style>
  <w:style w:type="table" w:default="1" w:styleId="2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CellMar>
        <w:top w:w="0" w:type="dxa"/>
        <w:left w:w="108" w:type="dxa"/>
        <w:bottom w:w="0" w:type="dxa"/>
        <w:right w:w="108" w:type="dxa"/>
      </w:tblCellMar>
    </w:tblPr>
  </w:style>
  <w:style w:type="paragraph" w:styleId="11">
    <w:name w:val="caption"/>
    <w:basedOn w:val="1"/>
    <w:next w:val="1"/>
    <w:qFormat/>
    <w:uiPriority w:val="35"/>
    <w:pPr>
      <w:keepNext/>
      <w:jc w:val="center"/>
    </w:pPr>
    <w:rPr>
      <w:rFonts w:eastAsia="黑体"/>
      <w:szCs w:val="20"/>
    </w:rPr>
  </w:style>
  <w:style w:type="paragraph" w:styleId="12">
    <w:name w:val="Document Map"/>
    <w:basedOn w:val="1"/>
    <w:link w:val="41"/>
    <w:semiHidden/>
    <w:unhideWhenUsed/>
    <w:qFormat/>
    <w:uiPriority w:val="99"/>
    <w:rPr>
      <w:rFonts w:ascii="宋体" w:eastAsia="宋体"/>
      <w:sz w:val="18"/>
      <w:szCs w:val="18"/>
    </w:rPr>
  </w:style>
  <w:style w:type="paragraph" w:styleId="13">
    <w:name w:val="annotation text"/>
    <w:basedOn w:val="1"/>
    <w:semiHidden/>
    <w:unhideWhenUsed/>
    <w:qFormat/>
    <w:uiPriority w:val="99"/>
    <w:pPr>
      <w:jc w:val="left"/>
    </w:pPr>
  </w:style>
  <w:style w:type="paragraph" w:styleId="14">
    <w:name w:val="Body Text"/>
    <w:basedOn w:val="1"/>
    <w:qFormat/>
    <w:uiPriority w:val="1"/>
    <w:pPr>
      <w:ind w:left="216"/>
    </w:pPr>
    <w:rPr>
      <w:rFonts w:ascii="宋体" w:hAnsi="宋体" w:eastAsia="宋体"/>
      <w:sz w:val="21"/>
      <w:szCs w:val="21"/>
    </w:rPr>
  </w:style>
  <w:style w:type="paragraph" w:styleId="15">
    <w:name w:val="Plain Text"/>
    <w:basedOn w:val="1"/>
    <w:link w:val="77"/>
    <w:qFormat/>
    <w:uiPriority w:val="99"/>
    <w:pPr>
      <w:spacing w:line="240" w:lineRule="auto"/>
      <w:ind w:firstLine="0" w:firstLineChars="0"/>
    </w:pPr>
    <w:rPr>
      <w:rFonts w:ascii="宋体" w:hAnsi="Courier New" w:eastAsia="宋体" w:cs="Courier New"/>
      <w:sz w:val="21"/>
      <w:szCs w:val="21"/>
    </w:rPr>
  </w:style>
  <w:style w:type="paragraph" w:styleId="16">
    <w:name w:val="Balloon Text"/>
    <w:basedOn w:val="1"/>
    <w:link w:val="47"/>
    <w:semiHidden/>
    <w:unhideWhenUsed/>
    <w:qFormat/>
    <w:uiPriority w:val="99"/>
    <w:pPr>
      <w:spacing w:line="240" w:lineRule="auto"/>
    </w:pPr>
    <w:rPr>
      <w:sz w:val="18"/>
      <w:szCs w:val="18"/>
    </w:rPr>
  </w:style>
  <w:style w:type="paragraph" w:styleId="17">
    <w:name w:val="footer"/>
    <w:basedOn w:val="1"/>
    <w:link w:val="40"/>
    <w:unhideWhenUsed/>
    <w:qFormat/>
    <w:uiPriority w:val="99"/>
    <w:pPr>
      <w:tabs>
        <w:tab w:val="center" w:pos="4153"/>
        <w:tab w:val="right" w:pos="8306"/>
      </w:tabs>
      <w:snapToGrid w:val="0"/>
      <w:jc w:val="left"/>
    </w:pPr>
    <w:rPr>
      <w:sz w:val="18"/>
      <w:szCs w:val="18"/>
    </w:rPr>
  </w:style>
  <w:style w:type="paragraph" w:styleId="18">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pPr>
      <w:tabs>
        <w:tab w:val="right" w:leader="dot" w:pos="8296"/>
      </w:tabs>
      <w:ind w:firstLine="0" w:firstLineChars="0"/>
      <w:jc w:val="center"/>
    </w:pPr>
    <w:rPr>
      <w:b/>
      <w:szCs w:val="28"/>
    </w:rPr>
  </w:style>
  <w:style w:type="paragraph" w:styleId="20">
    <w:name w:val="Subtitle"/>
    <w:basedOn w:val="1"/>
    <w:next w:val="1"/>
    <w:link w:val="62"/>
    <w:qFormat/>
    <w:uiPriority w:val="11"/>
    <w:pPr>
      <w:ind w:left="425" w:leftChars="171"/>
    </w:pPr>
    <w:rPr>
      <w:rFonts w:ascii="Cambria" w:hAnsi="Cambria" w:eastAsia="宋体"/>
      <w:i/>
      <w:iCs/>
      <w:color w:val="4F81BD"/>
      <w:spacing w:val="15"/>
      <w:sz w:val="24"/>
      <w:szCs w:val="24"/>
    </w:rPr>
  </w:style>
  <w:style w:type="paragraph" w:styleId="21">
    <w:name w:val="toc 2"/>
    <w:basedOn w:val="1"/>
    <w:next w:val="1"/>
    <w:unhideWhenUsed/>
    <w:qFormat/>
    <w:uiPriority w:val="39"/>
    <w:pPr>
      <w:tabs>
        <w:tab w:val="right" w:leader="dot" w:pos="8296"/>
      </w:tabs>
      <w:ind w:firstLine="560"/>
    </w:pPr>
  </w:style>
  <w:style w:type="paragraph" w:styleId="22">
    <w:name w:val="Title"/>
    <w:basedOn w:val="1"/>
    <w:next w:val="1"/>
    <w:link w:val="59"/>
    <w:qFormat/>
    <w:uiPriority w:val="10"/>
    <w:pPr>
      <w:pBdr>
        <w:bottom w:val="single" w:color="4F81BD" w:sz="8" w:space="4"/>
      </w:pBdr>
      <w:spacing w:after="300"/>
      <w:contextualSpacing/>
    </w:pPr>
    <w:rPr>
      <w:rFonts w:ascii="Cambria" w:hAnsi="Cambria" w:eastAsia="宋体"/>
      <w:color w:val="17365D"/>
      <w:spacing w:val="5"/>
      <w:kern w:val="28"/>
      <w:sz w:val="52"/>
      <w:szCs w:val="52"/>
    </w:rPr>
  </w:style>
  <w:style w:type="paragraph" w:styleId="23">
    <w:name w:val="Body Text First Indent 2"/>
    <w:basedOn w:val="1"/>
    <w:next w:val="1"/>
    <w:qFormat/>
    <w:uiPriority w:val="0"/>
    <w:pPr>
      <w:spacing w:line="360" w:lineRule="auto"/>
      <w:ind w:firstLine="560"/>
    </w:pPr>
    <w:rPr>
      <w:rFonts w:ascii="宋体" w:hAnsi="宋体"/>
      <w:sz w:val="24"/>
    </w:rPr>
  </w:style>
  <w:style w:type="table" w:styleId="25">
    <w:name w:val="Table Grid"/>
    <w:basedOn w:val="24"/>
    <w:qFormat/>
    <w:uiPriority w:val="59"/>
    <w:rPr>
      <w:rFonts w:ascii="Calibri" w:hAnsi="Calibri"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7">
    <w:name w:val="page number"/>
    <w:basedOn w:val="26"/>
    <w:qFormat/>
    <w:uiPriority w:val="0"/>
  </w:style>
  <w:style w:type="character" w:styleId="28">
    <w:name w:val="FollowedHyperlink"/>
    <w:basedOn w:val="26"/>
    <w:semiHidden/>
    <w:unhideWhenUsed/>
    <w:qFormat/>
    <w:uiPriority w:val="99"/>
    <w:rPr>
      <w:rFonts w:cs="Times New Roman"/>
      <w:color w:val="800080"/>
      <w:u w:val="single"/>
    </w:rPr>
  </w:style>
  <w:style w:type="character" w:styleId="29">
    <w:name w:val="Hyperlink"/>
    <w:basedOn w:val="26"/>
    <w:unhideWhenUsed/>
    <w:qFormat/>
    <w:uiPriority w:val="99"/>
    <w:rPr>
      <w:rFonts w:cs="Times New Roman"/>
      <w:color w:val="0000FF"/>
      <w:u w:val="single"/>
    </w:rPr>
  </w:style>
  <w:style w:type="character" w:customStyle="1" w:styleId="30">
    <w:name w:val="标题 1 字符"/>
    <w:basedOn w:val="26"/>
    <w:link w:val="2"/>
    <w:qFormat/>
    <w:uiPriority w:val="9"/>
    <w:rPr>
      <w:rFonts w:ascii="Times New Roman" w:hAnsi="Times New Roman" w:eastAsia="华文仿宋" w:cs="Times New Roman"/>
      <w:b/>
      <w:bCs/>
      <w:kern w:val="44"/>
      <w:sz w:val="36"/>
      <w:szCs w:val="44"/>
    </w:rPr>
  </w:style>
  <w:style w:type="character" w:customStyle="1" w:styleId="31">
    <w:name w:val="标题 2 字符"/>
    <w:basedOn w:val="26"/>
    <w:link w:val="3"/>
    <w:qFormat/>
    <w:uiPriority w:val="9"/>
    <w:rPr>
      <w:rFonts w:ascii="Times New Roman" w:hAnsi="Times New Roman" w:eastAsia="华文仿宋" w:cs="Times New Roman"/>
      <w:b/>
      <w:bCs/>
      <w:kern w:val="2"/>
      <w:sz w:val="32"/>
      <w:szCs w:val="32"/>
    </w:rPr>
  </w:style>
  <w:style w:type="character" w:customStyle="1" w:styleId="32">
    <w:name w:val="标题 3 字符"/>
    <w:basedOn w:val="26"/>
    <w:link w:val="4"/>
    <w:qFormat/>
    <w:uiPriority w:val="9"/>
    <w:rPr>
      <w:rFonts w:ascii="Times New Roman" w:hAnsi="Times New Roman" w:eastAsia="华文仿宋" w:cs="Times New Roman"/>
      <w:b/>
      <w:bCs/>
      <w:kern w:val="2"/>
      <w:sz w:val="30"/>
      <w:szCs w:val="32"/>
    </w:rPr>
  </w:style>
  <w:style w:type="character" w:customStyle="1" w:styleId="33">
    <w:name w:val="标题 4 字符"/>
    <w:basedOn w:val="26"/>
    <w:link w:val="5"/>
    <w:qFormat/>
    <w:uiPriority w:val="9"/>
    <w:rPr>
      <w:rFonts w:ascii="Times New Roman" w:hAnsi="Times New Roman" w:eastAsia="华文仿宋" w:cs="Times New Roman"/>
      <w:b/>
      <w:bCs/>
      <w:kern w:val="2"/>
      <w:sz w:val="28"/>
      <w:szCs w:val="28"/>
    </w:rPr>
  </w:style>
  <w:style w:type="character" w:customStyle="1" w:styleId="34">
    <w:name w:val="标题 5 字符"/>
    <w:basedOn w:val="26"/>
    <w:link w:val="6"/>
    <w:qFormat/>
    <w:uiPriority w:val="9"/>
    <w:rPr>
      <w:rFonts w:ascii="Cambria" w:hAnsi="Cambria" w:eastAsia="宋体" w:cs="Times New Roman"/>
      <w:color w:val="243F60"/>
      <w:kern w:val="2"/>
      <w:sz w:val="30"/>
      <w:szCs w:val="24"/>
    </w:rPr>
  </w:style>
  <w:style w:type="character" w:customStyle="1" w:styleId="35">
    <w:name w:val="标题 6 字符"/>
    <w:basedOn w:val="26"/>
    <w:link w:val="7"/>
    <w:qFormat/>
    <w:uiPriority w:val="9"/>
    <w:rPr>
      <w:rFonts w:ascii="Cambria" w:hAnsi="Cambria" w:eastAsia="宋体" w:cs="Times New Roman"/>
      <w:i/>
      <w:iCs/>
      <w:color w:val="243F60"/>
      <w:sz w:val="30"/>
      <w:szCs w:val="24"/>
    </w:rPr>
  </w:style>
  <w:style w:type="character" w:customStyle="1" w:styleId="36">
    <w:name w:val="标题 7 字符"/>
    <w:basedOn w:val="26"/>
    <w:link w:val="8"/>
    <w:qFormat/>
    <w:uiPriority w:val="9"/>
    <w:rPr>
      <w:rFonts w:ascii="Cambria" w:hAnsi="Cambria" w:eastAsia="宋体" w:cs="Times New Roman"/>
      <w:i/>
      <w:iCs/>
      <w:color w:val="404040"/>
      <w:sz w:val="30"/>
      <w:szCs w:val="24"/>
    </w:rPr>
  </w:style>
  <w:style w:type="character" w:customStyle="1" w:styleId="37">
    <w:name w:val="标题 8 字符"/>
    <w:basedOn w:val="26"/>
    <w:link w:val="9"/>
    <w:qFormat/>
    <w:uiPriority w:val="9"/>
    <w:rPr>
      <w:rFonts w:ascii="Cambria" w:hAnsi="Cambria" w:eastAsia="宋体" w:cs="Times New Roman"/>
      <w:color w:val="4F81BD"/>
      <w:sz w:val="20"/>
      <w:szCs w:val="20"/>
    </w:rPr>
  </w:style>
  <w:style w:type="character" w:customStyle="1" w:styleId="38">
    <w:name w:val="标题 9 字符"/>
    <w:basedOn w:val="26"/>
    <w:link w:val="10"/>
    <w:qFormat/>
    <w:uiPriority w:val="9"/>
    <w:rPr>
      <w:rFonts w:ascii="Cambria" w:hAnsi="Cambria" w:eastAsia="宋体" w:cs="Times New Roman"/>
      <w:i/>
      <w:iCs/>
      <w:color w:val="404040"/>
      <w:sz w:val="20"/>
      <w:szCs w:val="20"/>
    </w:rPr>
  </w:style>
  <w:style w:type="character" w:customStyle="1" w:styleId="39">
    <w:name w:val="页眉 字符"/>
    <w:basedOn w:val="26"/>
    <w:link w:val="18"/>
    <w:qFormat/>
    <w:uiPriority w:val="99"/>
    <w:rPr>
      <w:sz w:val="18"/>
      <w:szCs w:val="18"/>
    </w:rPr>
  </w:style>
  <w:style w:type="character" w:customStyle="1" w:styleId="40">
    <w:name w:val="页脚 字符"/>
    <w:basedOn w:val="26"/>
    <w:link w:val="17"/>
    <w:qFormat/>
    <w:uiPriority w:val="99"/>
    <w:rPr>
      <w:sz w:val="18"/>
      <w:szCs w:val="18"/>
    </w:rPr>
  </w:style>
  <w:style w:type="character" w:customStyle="1" w:styleId="41">
    <w:name w:val="文档结构图 字符"/>
    <w:basedOn w:val="26"/>
    <w:link w:val="12"/>
    <w:semiHidden/>
    <w:qFormat/>
    <w:uiPriority w:val="99"/>
    <w:rPr>
      <w:rFonts w:ascii="宋体" w:hAnsi="Times New Roman" w:eastAsia="宋体" w:cs="Times New Roman"/>
      <w:sz w:val="18"/>
      <w:szCs w:val="18"/>
    </w:rPr>
  </w:style>
  <w:style w:type="paragraph" w:customStyle="1" w:styleId="42">
    <w:name w:val="列出段落1"/>
    <w:basedOn w:val="1"/>
    <w:qFormat/>
    <w:uiPriority w:val="34"/>
    <w:pPr>
      <w:ind w:firstLine="420"/>
    </w:pPr>
  </w:style>
  <w:style w:type="paragraph" w:customStyle="1" w:styleId="43">
    <w:name w:val="大纲正文"/>
    <w:basedOn w:val="1"/>
    <w:link w:val="44"/>
    <w:qFormat/>
    <w:uiPriority w:val="0"/>
    <w:pPr>
      <w:adjustRightInd w:val="0"/>
      <w:snapToGrid w:val="0"/>
    </w:pPr>
    <w:rPr>
      <w:kern w:val="28"/>
      <w:szCs w:val="28"/>
    </w:rPr>
  </w:style>
  <w:style w:type="character" w:customStyle="1" w:styleId="44">
    <w:name w:val="大纲正文 Char"/>
    <w:basedOn w:val="26"/>
    <w:link w:val="43"/>
    <w:qFormat/>
    <w:locked/>
    <w:uiPriority w:val="0"/>
    <w:rPr>
      <w:rFonts w:ascii="Times New Roman" w:hAnsi="Times New Roman" w:eastAsia="华文仿宋" w:cs="Times New Roman"/>
      <w:kern w:val="28"/>
      <w:sz w:val="28"/>
      <w:szCs w:val="28"/>
    </w:rPr>
  </w:style>
  <w:style w:type="paragraph" w:customStyle="1" w:styleId="45">
    <w:name w:val="表"/>
    <w:basedOn w:val="1"/>
    <w:link w:val="46"/>
    <w:qFormat/>
    <w:uiPriority w:val="0"/>
    <w:pPr>
      <w:widowControl/>
      <w:spacing w:line="240" w:lineRule="auto"/>
      <w:ind w:firstLine="0" w:firstLineChars="0"/>
      <w:jc w:val="center"/>
    </w:pPr>
    <w:rPr>
      <w:rFonts w:eastAsia="宋体"/>
      <w:kern w:val="0"/>
      <w:sz w:val="24"/>
      <w:szCs w:val="24"/>
    </w:rPr>
  </w:style>
  <w:style w:type="character" w:customStyle="1" w:styleId="46">
    <w:name w:val="表 Char"/>
    <w:basedOn w:val="26"/>
    <w:link w:val="45"/>
    <w:qFormat/>
    <w:locked/>
    <w:uiPriority w:val="0"/>
    <w:rPr>
      <w:rFonts w:ascii="Times New Roman" w:hAnsi="Times New Roman" w:eastAsia="宋体" w:cs="Times New Roman"/>
      <w:kern w:val="0"/>
      <w:sz w:val="24"/>
      <w:szCs w:val="24"/>
    </w:rPr>
  </w:style>
  <w:style w:type="character" w:customStyle="1" w:styleId="47">
    <w:name w:val="批注框文本 字符"/>
    <w:basedOn w:val="26"/>
    <w:link w:val="16"/>
    <w:semiHidden/>
    <w:qFormat/>
    <w:uiPriority w:val="99"/>
    <w:rPr>
      <w:rFonts w:ascii="Times New Roman" w:hAnsi="Times New Roman" w:eastAsia="华文仿宋" w:cs="Times New Roman"/>
      <w:sz w:val="18"/>
      <w:szCs w:val="18"/>
    </w:rPr>
  </w:style>
  <w:style w:type="paragraph" w:customStyle="1" w:styleId="48">
    <w:name w:val="xl63"/>
    <w:basedOn w:val="1"/>
    <w:qFormat/>
    <w:uiPriority w:val="0"/>
    <w:pPr>
      <w:widowControl/>
      <w:pBdr>
        <w:left w:val="single" w:color="auto" w:sz="4" w:space="0"/>
      </w:pBdr>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49">
    <w:name w:val="xl64"/>
    <w:basedOn w:val="1"/>
    <w:qFormat/>
    <w:uiPriority w:val="0"/>
    <w:pPr>
      <w:widowControl/>
      <w:pBdr>
        <w:right w:val="single" w:color="auto" w:sz="4" w:space="0"/>
      </w:pBdr>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50">
    <w:name w:val="xl65"/>
    <w:basedOn w:val="1"/>
    <w:qFormat/>
    <w:uiPriority w:val="0"/>
    <w:pPr>
      <w:widowControl/>
      <w:pBdr>
        <w:right w:val="single" w:color="auto" w:sz="4" w:space="0"/>
      </w:pBdr>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51">
    <w:name w:val="xl66"/>
    <w:basedOn w:val="1"/>
    <w:qFormat/>
    <w:uiPriority w:val="0"/>
    <w:pPr>
      <w:widowControl/>
      <w:pBdr>
        <w:left w:val="single" w:color="auto" w:sz="4" w:space="0"/>
      </w:pBdr>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52">
    <w:name w:val="xl67"/>
    <w:basedOn w:val="1"/>
    <w:qFormat/>
    <w:uiPriority w:val="0"/>
    <w:pPr>
      <w:widowControl/>
      <w:pBdr>
        <w:left w:val="single" w:color="auto" w:sz="4" w:space="0"/>
      </w:pBdr>
      <w:spacing w:before="100" w:beforeAutospacing="1" w:after="100" w:afterAutospacing="1" w:line="240" w:lineRule="auto"/>
      <w:ind w:firstLine="0" w:firstLineChars="0"/>
      <w:jc w:val="center"/>
    </w:pPr>
    <w:rPr>
      <w:rFonts w:ascii="宋体" w:hAnsi="宋体" w:eastAsia="宋体" w:cs="宋体"/>
      <w:kern w:val="0"/>
      <w:sz w:val="24"/>
      <w:szCs w:val="24"/>
    </w:rPr>
  </w:style>
  <w:style w:type="paragraph" w:customStyle="1" w:styleId="53">
    <w:name w:val="xl68"/>
    <w:basedOn w:val="1"/>
    <w:qFormat/>
    <w:uiPriority w:val="0"/>
    <w:pPr>
      <w:widowControl/>
      <w:spacing w:before="100" w:beforeAutospacing="1" w:after="100" w:afterAutospacing="1" w:line="240" w:lineRule="auto"/>
      <w:ind w:firstLine="0" w:firstLineChars="0"/>
      <w:jc w:val="center"/>
    </w:pPr>
    <w:rPr>
      <w:rFonts w:ascii="宋体" w:hAnsi="宋体" w:eastAsia="宋体" w:cs="宋体"/>
      <w:kern w:val="0"/>
      <w:sz w:val="24"/>
      <w:szCs w:val="24"/>
    </w:rPr>
  </w:style>
  <w:style w:type="paragraph" w:customStyle="1" w:styleId="54">
    <w:name w:val="xl69"/>
    <w:basedOn w:val="1"/>
    <w:qFormat/>
    <w:uiPriority w:val="0"/>
    <w:pPr>
      <w:widowControl/>
      <w:pBdr>
        <w:right w:val="single" w:color="auto" w:sz="4" w:space="0"/>
      </w:pBdr>
      <w:spacing w:before="100" w:beforeAutospacing="1" w:after="100" w:afterAutospacing="1" w:line="240" w:lineRule="auto"/>
      <w:ind w:firstLine="0" w:firstLineChars="0"/>
      <w:jc w:val="center"/>
    </w:pPr>
    <w:rPr>
      <w:rFonts w:ascii="宋体" w:hAnsi="宋体" w:eastAsia="宋体" w:cs="宋体"/>
      <w:kern w:val="0"/>
      <w:sz w:val="24"/>
      <w:szCs w:val="24"/>
    </w:rPr>
  </w:style>
  <w:style w:type="paragraph" w:customStyle="1" w:styleId="55">
    <w:name w:val="xl70"/>
    <w:basedOn w:val="1"/>
    <w:qFormat/>
    <w:uiPriority w:val="0"/>
    <w:pPr>
      <w:widowControl/>
      <w:pBdr>
        <w:left w:val="single" w:color="auto" w:sz="4" w:space="0"/>
      </w:pBdr>
      <w:spacing w:before="100" w:beforeAutospacing="1" w:after="100" w:afterAutospacing="1" w:line="240" w:lineRule="auto"/>
      <w:ind w:firstLine="0" w:firstLineChars="0"/>
      <w:jc w:val="center"/>
    </w:pPr>
    <w:rPr>
      <w:rFonts w:ascii="宋体" w:hAnsi="宋体" w:eastAsia="宋体" w:cs="宋体"/>
      <w:kern w:val="0"/>
      <w:sz w:val="24"/>
      <w:szCs w:val="24"/>
    </w:rPr>
  </w:style>
  <w:style w:type="paragraph" w:customStyle="1" w:styleId="56">
    <w:name w:val="xl71"/>
    <w:basedOn w:val="1"/>
    <w:qFormat/>
    <w:uiPriority w:val="0"/>
    <w:pPr>
      <w:widowControl/>
      <w:pBdr>
        <w:right w:val="single" w:color="auto" w:sz="4" w:space="0"/>
      </w:pBdr>
      <w:spacing w:before="100" w:beforeAutospacing="1" w:after="100" w:afterAutospacing="1" w:line="240" w:lineRule="auto"/>
      <w:ind w:firstLine="0" w:firstLineChars="0"/>
      <w:jc w:val="center"/>
    </w:pPr>
    <w:rPr>
      <w:rFonts w:ascii="宋体" w:hAnsi="宋体" w:eastAsia="宋体" w:cs="宋体"/>
      <w:kern w:val="0"/>
      <w:sz w:val="24"/>
      <w:szCs w:val="24"/>
    </w:rPr>
  </w:style>
  <w:style w:type="character" w:customStyle="1" w:styleId="57">
    <w:name w:val="占位符文本1"/>
    <w:basedOn w:val="26"/>
    <w:semiHidden/>
    <w:qFormat/>
    <w:uiPriority w:val="99"/>
    <w:rPr>
      <w:rFonts w:cs="Times New Roman"/>
      <w:color w:val="808080"/>
    </w:rPr>
  </w:style>
  <w:style w:type="character" w:customStyle="1" w:styleId="58">
    <w:name w:val="标题 Char"/>
    <w:basedOn w:val="26"/>
    <w:qFormat/>
    <w:locked/>
    <w:uiPriority w:val="10"/>
    <w:rPr>
      <w:rFonts w:ascii="Cambria" w:hAnsi="Cambria" w:eastAsia="宋体" w:cs="Times New Roman"/>
      <w:color w:val="17365D"/>
      <w:spacing w:val="5"/>
      <w:kern w:val="28"/>
      <w:sz w:val="52"/>
      <w:szCs w:val="52"/>
    </w:rPr>
  </w:style>
  <w:style w:type="character" w:customStyle="1" w:styleId="59">
    <w:name w:val="标题 字符"/>
    <w:basedOn w:val="26"/>
    <w:link w:val="22"/>
    <w:qFormat/>
    <w:uiPriority w:val="10"/>
    <w:rPr>
      <w:rFonts w:eastAsia="宋体" w:asciiTheme="majorHAnsi" w:hAnsiTheme="majorHAnsi" w:cstheme="majorBidi"/>
      <w:b/>
      <w:bCs/>
      <w:sz w:val="32"/>
      <w:szCs w:val="32"/>
    </w:rPr>
  </w:style>
  <w:style w:type="character" w:customStyle="1" w:styleId="60">
    <w:name w:val="Title Char1"/>
    <w:basedOn w:val="26"/>
    <w:qFormat/>
    <w:uiPriority w:val="10"/>
    <w:rPr>
      <w:rFonts w:ascii="Cambria" w:hAnsi="Cambria" w:cs="Times New Roman"/>
      <w:b/>
      <w:bCs/>
      <w:kern w:val="2"/>
      <w:sz w:val="32"/>
      <w:szCs w:val="32"/>
    </w:rPr>
  </w:style>
  <w:style w:type="character" w:customStyle="1" w:styleId="61">
    <w:name w:val="副标题 Char"/>
    <w:basedOn w:val="26"/>
    <w:qFormat/>
    <w:locked/>
    <w:uiPriority w:val="11"/>
    <w:rPr>
      <w:rFonts w:ascii="Cambria" w:hAnsi="Cambria" w:eastAsia="宋体" w:cs="Times New Roman"/>
      <w:i/>
      <w:iCs/>
      <w:color w:val="4F81BD"/>
      <w:spacing w:val="15"/>
      <w:sz w:val="24"/>
      <w:szCs w:val="24"/>
    </w:rPr>
  </w:style>
  <w:style w:type="character" w:customStyle="1" w:styleId="62">
    <w:name w:val="副标题 字符"/>
    <w:basedOn w:val="26"/>
    <w:link w:val="20"/>
    <w:qFormat/>
    <w:uiPriority w:val="11"/>
    <w:rPr>
      <w:rFonts w:eastAsia="宋体" w:asciiTheme="majorHAnsi" w:hAnsiTheme="majorHAnsi" w:cstheme="majorBidi"/>
      <w:b/>
      <w:bCs/>
      <w:kern w:val="28"/>
      <w:sz w:val="32"/>
      <w:szCs w:val="32"/>
    </w:rPr>
  </w:style>
  <w:style w:type="character" w:customStyle="1" w:styleId="63">
    <w:name w:val="Subtitle Char1"/>
    <w:basedOn w:val="26"/>
    <w:qFormat/>
    <w:uiPriority w:val="11"/>
    <w:rPr>
      <w:rFonts w:ascii="Cambria" w:hAnsi="Cambria" w:cs="Times New Roman"/>
      <w:b/>
      <w:bCs/>
      <w:kern w:val="28"/>
      <w:sz w:val="32"/>
      <w:szCs w:val="32"/>
    </w:rPr>
  </w:style>
  <w:style w:type="character" w:customStyle="1" w:styleId="64">
    <w:name w:val="Quote Char"/>
    <w:basedOn w:val="26"/>
    <w:link w:val="65"/>
    <w:qFormat/>
    <w:locked/>
    <w:uiPriority w:val="29"/>
    <w:rPr>
      <w:rFonts w:ascii="Times New Roman" w:hAnsi="Times New Roman" w:eastAsia="宋体" w:cs="Times New Roman"/>
      <w:i/>
      <w:iCs/>
      <w:color w:val="000000"/>
      <w:sz w:val="24"/>
      <w:szCs w:val="24"/>
    </w:rPr>
  </w:style>
  <w:style w:type="paragraph" w:customStyle="1" w:styleId="65">
    <w:name w:val="引用1"/>
    <w:basedOn w:val="1"/>
    <w:next w:val="1"/>
    <w:link w:val="64"/>
    <w:qFormat/>
    <w:uiPriority w:val="29"/>
    <w:rPr>
      <w:rFonts w:eastAsia="宋体"/>
      <w:i/>
      <w:iCs/>
      <w:color w:val="000000"/>
      <w:sz w:val="24"/>
      <w:szCs w:val="24"/>
    </w:rPr>
  </w:style>
  <w:style w:type="character" w:customStyle="1" w:styleId="66">
    <w:name w:val="Quote Char1"/>
    <w:basedOn w:val="26"/>
    <w:qFormat/>
    <w:uiPriority w:val="29"/>
    <w:rPr>
      <w:rFonts w:ascii="Times New Roman" w:hAnsi="Times New Roman" w:eastAsia="华文仿宋"/>
      <w:i/>
      <w:iCs/>
      <w:color w:val="000000"/>
      <w:kern w:val="2"/>
      <w:sz w:val="28"/>
      <w:szCs w:val="22"/>
    </w:rPr>
  </w:style>
  <w:style w:type="character" w:customStyle="1" w:styleId="67">
    <w:name w:val="Intense Quote Char"/>
    <w:basedOn w:val="26"/>
    <w:link w:val="68"/>
    <w:qFormat/>
    <w:locked/>
    <w:uiPriority w:val="30"/>
    <w:rPr>
      <w:rFonts w:ascii="Times New Roman" w:hAnsi="Times New Roman" w:eastAsia="宋体" w:cs="Times New Roman"/>
      <w:b/>
      <w:bCs/>
      <w:i/>
      <w:iCs/>
      <w:color w:val="4F81BD"/>
      <w:sz w:val="24"/>
      <w:szCs w:val="24"/>
    </w:rPr>
  </w:style>
  <w:style w:type="paragraph" w:customStyle="1" w:styleId="68">
    <w:name w:val="明显引用1"/>
    <w:basedOn w:val="1"/>
    <w:next w:val="1"/>
    <w:link w:val="67"/>
    <w:qFormat/>
    <w:uiPriority w:val="30"/>
    <w:pPr>
      <w:pBdr>
        <w:bottom w:val="single" w:color="4F81BD" w:sz="4" w:space="4"/>
      </w:pBdr>
      <w:spacing w:before="200" w:after="280"/>
      <w:ind w:left="936" w:right="936"/>
    </w:pPr>
    <w:rPr>
      <w:rFonts w:eastAsia="宋体"/>
      <w:b/>
      <w:bCs/>
      <w:i/>
      <w:iCs/>
      <w:color w:val="4F81BD"/>
      <w:sz w:val="24"/>
      <w:szCs w:val="24"/>
    </w:rPr>
  </w:style>
  <w:style w:type="character" w:customStyle="1" w:styleId="69">
    <w:name w:val="Intense Quote Char1"/>
    <w:basedOn w:val="26"/>
    <w:qFormat/>
    <w:uiPriority w:val="30"/>
    <w:rPr>
      <w:rFonts w:ascii="Times New Roman" w:hAnsi="Times New Roman" w:eastAsia="华文仿宋"/>
      <w:b/>
      <w:bCs/>
      <w:i/>
      <w:iCs/>
      <w:color w:val="4F81BD"/>
      <w:kern w:val="2"/>
      <w:sz w:val="28"/>
      <w:szCs w:val="22"/>
    </w:rPr>
  </w:style>
  <w:style w:type="character" w:customStyle="1" w:styleId="70">
    <w:name w:val="apple-converted-space"/>
    <w:basedOn w:val="26"/>
    <w:qFormat/>
    <w:uiPriority w:val="0"/>
    <w:rPr>
      <w:rFonts w:cs="Times New Roman"/>
    </w:rPr>
  </w:style>
  <w:style w:type="paragraph" w:customStyle="1" w:styleId="71">
    <w:name w:val="font5"/>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18"/>
      <w:szCs w:val="18"/>
    </w:rPr>
  </w:style>
  <w:style w:type="paragraph" w:customStyle="1" w:styleId="72">
    <w:name w:val="font6"/>
    <w:basedOn w:val="1"/>
    <w:qFormat/>
    <w:uiPriority w:val="0"/>
    <w:pPr>
      <w:widowControl/>
      <w:spacing w:before="100" w:beforeAutospacing="1" w:after="100" w:afterAutospacing="1" w:line="240" w:lineRule="auto"/>
      <w:ind w:firstLine="0" w:firstLineChars="0"/>
      <w:jc w:val="left"/>
    </w:pPr>
    <w:rPr>
      <w:rFonts w:ascii="宋体" w:hAnsi="宋体" w:eastAsia="宋体" w:cs="宋体"/>
      <w:color w:val="000000"/>
      <w:kern w:val="0"/>
      <w:sz w:val="21"/>
      <w:szCs w:val="21"/>
    </w:rPr>
  </w:style>
  <w:style w:type="paragraph" w:customStyle="1" w:styleId="73">
    <w:name w:val="font7"/>
    <w:basedOn w:val="1"/>
    <w:qFormat/>
    <w:uiPriority w:val="0"/>
    <w:pPr>
      <w:widowControl/>
      <w:spacing w:before="100" w:beforeAutospacing="1" w:after="100" w:afterAutospacing="1" w:line="240" w:lineRule="auto"/>
      <w:ind w:firstLine="0" w:firstLineChars="0"/>
      <w:jc w:val="left"/>
    </w:pPr>
    <w:rPr>
      <w:rFonts w:eastAsia="宋体"/>
      <w:color w:val="000000"/>
      <w:kern w:val="0"/>
      <w:sz w:val="21"/>
      <w:szCs w:val="21"/>
    </w:rPr>
  </w:style>
  <w:style w:type="paragraph" w:customStyle="1" w:styleId="74">
    <w:name w:val="xl72"/>
    <w:basedOn w:val="1"/>
    <w:qFormat/>
    <w:uiPriority w:val="0"/>
    <w:pPr>
      <w:widowControl/>
      <w:pBdr>
        <w:left w:val="single" w:color="auto" w:sz="8" w:space="0"/>
        <w:bottom w:val="single" w:color="auto" w:sz="8" w:space="0"/>
        <w:right w:val="single" w:color="auto" w:sz="8" w:space="0"/>
      </w:pBdr>
      <w:spacing w:before="100" w:beforeAutospacing="1" w:after="100" w:afterAutospacing="1" w:line="240" w:lineRule="auto"/>
      <w:ind w:firstLine="0" w:firstLineChars="0"/>
      <w:jc w:val="center"/>
    </w:pPr>
    <w:rPr>
      <w:rFonts w:ascii="宋体" w:hAnsi="宋体" w:eastAsia="宋体" w:cs="宋体"/>
      <w:kern w:val="0"/>
      <w:sz w:val="21"/>
      <w:szCs w:val="21"/>
    </w:rPr>
  </w:style>
  <w:style w:type="paragraph" w:customStyle="1" w:styleId="75">
    <w:name w:val="xl73"/>
    <w:basedOn w:val="1"/>
    <w:qFormat/>
    <w:uiPriority w:val="0"/>
    <w:pPr>
      <w:widowControl/>
      <w:pBdr>
        <w:top w:val="single" w:color="auto" w:sz="8" w:space="0"/>
        <w:left w:val="single" w:color="auto" w:sz="8" w:space="0"/>
        <w:bottom w:val="single" w:color="auto" w:sz="8" w:space="0"/>
      </w:pBdr>
      <w:spacing w:before="100" w:beforeAutospacing="1" w:after="100" w:afterAutospacing="1" w:line="240" w:lineRule="auto"/>
      <w:ind w:firstLine="0" w:firstLineChars="0"/>
      <w:jc w:val="center"/>
    </w:pPr>
    <w:rPr>
      <w:rFonts w:ascii="宋体" w:hAnsi="宋体" w:eastAsia="宋体" w:cs="宋体"/>
      <w:kern w:val="0"/>
      <w:sz w:val="21"/>
      <w:szCs w:val="21"/>
    </w:rPr>
  </w:style>
  <w:style w:type="paragraph" w:customStyle="1" w:styleId="76">
    <w:name w:val="xl74"/>
    <w:basedOn w:val="1"/>
    <w:qFormat/>
    <w:uiPriority w:val="0"/>
    <w:pPr>
      <w:widowControl/>
      <w:pBdr>
        <w:top w:val="single" w:color="auto" w:sz="8" w:space="0"/>
        <w:bottom w:val="single" w:color="auto" w:sz="8" w:space="0"/>
        <w:right w:val="single" w:color="auto" w:sz="8" w:space="0"/>
      </w:pBdr>
      <w:spacing w:before="100" w:beforeAutospacing="1" w:after="100" w:afterAutospacing="1" w:line="240" w:lineRule="auto"/>
      <w:ind w:firstLine="0" w:firstLineChars="0"/>
      <w:jc w:val="center"/>
    </w:pPr>
    <w:rPr>
      <w:rFonts w:ascii="宋体" w:hAnsi="宋体" w:eastAsia="宋体" w:cs="宋体"/>
      <w:kern w:val="0"/>
      <w:sz w:val="21"/>
      <w:szCs w:val="21"/>
    </w:rPr>
  </w:style>
  <w:style w:type="character" w:customStyle="1" w:styleId="77">
    <w:name w:val="纯文本 字符"/>
    <w:basedOn w:val="26"/>
    <w:link w:val="15"/>
    <w:qFormat/>
    <w:uiPriority w:val="99"/>
    <w:rPr>
      <w:rFonts w:ascii="宋体" w:hAnsi="Courier New" w:eastAsia="宋体" w:cs="Courier New"/>
      <w:szCs w:val="21"/>
    </w:rPr>
  </w:style>
  <w:style w:type="paragraph" w:styleId="78">
    <w:name w:val="No Spacing"/>
    <w:qFormat/>
    <w:uiPriority w:val="1"/>
    <w:pPr>
      <w:widowControl w:val="0"/>
      <w:ind w:firstLine="200" w:firstLineChars="200"/>
      <w:jc w:val="both"/>
    </w:pPr>
    <w:rPr>
      <w:rFonts w:ascii="Times New Roman" w:hAnsi="Times New Roman" w:eastAsia="华文仿宋" w:cs="Times New Roman"/>
      <w:kern w:val="2"/>
      <w:sz w:val="28"/>
      <w:szCs w:val="22"/>
      <w:lang w:val="en-US" w:eastAsia="zh-CN" w:bidi="ar-SA"/>
    </w:rPr>
  </w:style>
  <w:style w:type="paragraph" w:customStyle="1" w:styleId="79">
    <w:name w:val="font8"/>
    <w:basedOn w:val="1"/>
    <w:qFormat/>
    <w:uiPriority w:val="0"/>
    <w:pPr>
      <w:widowControl/>
      <w:spacing w:before="100" w:beforeAutospacing="1" w:after="100" w:afterAutospacing="1" w:line="240" w:lineRule="auto"/>
      <w:ind w:firstLine="0" w:firstLineChars="0"/>
      <w:jc w:val="left"/>
    </w:pPr>
    <w:rPr>
      <w:rFonts w:ascii="宋体" w:hAnsi="宋体" w:eastAsia="宋体" w:cs="宋体"/>
      <w:b/>
      <w:bCs/>
      <w:color w:val="000000"/>
      <w:kern w:val="0"/>
      <w:sz w:val="21"/>
      <w:szCs w:val="21"/>
    </w:rPr>
  </w:style>
  <w:style w:type="paragraph" w:customStyle="1" w:styleId="80">
    <w:name w:val="font9"/>
    <w:basedOn w:val="1"/>
    <w:qFormat/>
    <w:uiPriority w:val="0"/>
    <w:pPr>
      <w:widowControl/>
      <w:spacing w:before="100" w:beforeAutospacing="1" w:after="100" w:afterAutospacing="1" w:line="240" w:lineRule="auto"/>
      <w:ind w:firstLine="0" w:firstLineChars="0"/>
      <w:jc w:val="left"/>
    </w:pPr>
    <w:rPr>
      <w:rFonts w:ascii="宋体" w:hAnsi="宋体" w:eastAsia="宋体" w:cs="宋体"/>
      <w:color w:val="FF0000"/>
      <w:kern w:val="0"/>
      <w:sz w:val="21"/>
      <w:szCs w:val="21"/>
    </w:rPr>
  </w:style>
  <w:style w:type="paragraph" w:styleId="81">
    <w:name w:val="List Paragraph"/>
    <w:basedOn w:val="1"/>
    <w:qFormat/>
    <w:uiPriority w:val="34"/>
    <w:pPr>
      <w:ind w:firstLine="420"/>
    </w:pPr>
  </w:style>
  <w:style w:type="paragraph" w:customStyle="1" w:styleId="82">
    <w:name w:val="Default"/>
    <w:qFormat/>
    <w:uiPriority w:val="0"/>
    <w:pPr>
      <w:widowControl w:val="0"/>
      <w:autoSpaceDE w:val="0"/>
      <w:autoSpaceDN w:val="0"/>
      <w:adjustRightInd w:val="0"/>
    </w:pPr>
    <w:rPr>
      <w:rFonts w:ascii="宋体t.祯畴" w:eastAsia="宋体t.祯畴" w:cs="宋体t.祯畴" w:hAnsiTheme="minorHAnsi"/>
      <w:color w:val="000000"/>
      <w:sz w:val="24"/>
      <w:szCs w:val="24"/>
      <w:lang w:val="en-US" w:eastAsia="zh-CN" w:bidi="ar-SA"/>
    </w:rPr>
  </w:style>
  <w:style w:type="paragraph" w:customStyle="1" w:styleId="83">
    <w:name w:val="我的正文"/>
    <w:basedOn w:val="1"/>
    <w:qFormat/>
    <w:uiPriority w:val="0"/>
    <w:pPr>
      <w:spacing w:line="460" w:lineRule="exact"/>
      <w:ind w:firstLine="482"/>
    </w:pPr>
    <w:rPr>
      <w:sz w:val="24"/>
    </w:rPr>
  </w:style>
  <w:style w:type="paragraph" w:customStyle="1" w:styleId="84">
    <w:name w:val="Table Paragraph"/>
    <w:basedOn w:val="1"/>
    <w:qFormat/>
    <w:uiPriority w:val="1"/>
  </w:style>
  <w:style w:type="character" w:customStyle="1" w:styleId="85">
    <w:name w:val="font01"/>
    <w:basedOn w:val="26"/>
    <w:qFormat/>
    <w:uiPriority w:val="0"/>
    <w:rPr>
      <w:rFonts w:hint="eastAsia" w:ascii="宋体" w:hAnsi="宋体" w:eastAsia="宋体" w:cs="宋体"/>
      <w:color w:val="000000"/>
      <w:sz w:val="16"/>
      <w:szCs w:val="16"/>
      <w:u w:val="none"/>
    </w:rPr>
  </w:style>
  <w:style w:type="character" w:customStyle="1" w:styleId="86">
    <w:name w:val="font21"/>
    <w:basedOn w:val="26"/>
    <w:qFormat/>
    <w:uiPriority w:val="0"/>
    <w:rPr>
      <w:rFonts w:hint="default" w:ascii="Times New Roman" w:hAnsi="Times New Roman" w:cs="Times New Roman"/>
      <w:color w:val="000000"/>
      <w:sz w:val="20"/>
      <w:szCs w:val="20"/>
      <w:u w:val="none"/>
    </w:rPr>
  </w:style>
  <w:style w:type="paragraph" w:customStyle="1" w:styleId="87">
    <w:name w:val="我的标题3"/>
    <w:basedOn w:val="4"/>
    <w:qFormat/>
    <w:uiPriority w:val="0"/>
    <w:pPr>
      <w:adjustRightInd w:val="0"/>
      <w:spacing w:before="60" w:after="60" w:line="460" w:lineRule="exact"/>
    </w:pPr>
    <w:rPr>
      <w:rFonts w:eastAsia="黑体"/>
      <w:b w:val="0"/>
      <w:sz w:val="28"/>
      <w:szCs w:val="28"/>
    </w:rPr>
  </w:style>
</w:styles>
</file>

<file path=word/_rels/document.xml.rels><?xml version="1.0" encoding="UTF-8" standalone="yes"?>
<Relationships xmlns="http://schemas.openxmlformats.org/package/2006/relationships"><Relationship Id="rId98" Type="http://schemas.openxmlformats.org/officeDocument/2006/relationships/fontTable" Target="fontTable.xml"/><Relationship Id="rId97" Type="http://schemas.openxmlformats.org/officeDocument/2006/relationships/numbering" Target="numbering.xml"/><Relationship Id="rId96" Type="http://schemas.openxmlformats.org/officeDocument/2006/relationships/customXml" Target="../customXml/item1.xml"/><Relationship Id="rId95" Type="http://schemas.openxmlformats.org/officeDocument/2006/relationships/image" Target="media/image65.jpeg"/><Relationship Id="rId94" Type="http://schemas.openxmlformats.org/officeDocument/2006/relationships/image" Target="media/image64.jpeg"/><Relationship Id="rId93" Type="http://schemas.openxmlformats.org/officeDocument/2006/relationships/image" Target="media/image63.jpeg"/><Relationship Id="rId92" Type="http://schemas.openxmlformats.org/officeDocument/2006/relationships/image" Target="media/image62.png"/><Relationship Id="rId91" Type="http://schemas.openxmlformats.org/officeDocument/2006/relationships/image" Target="media/image61.jpeg"/><Relationship Id="rId90" Type="http://schemas.openxmlformats.org/officeDocument/2006/relationships/image" Target="media/image60.jpeg"/><Relationship Id="rId9" Type="http://schemas.openxmlformats.org/officeDocument/2006/relationships/footer" Target="footer2.xml"/><Relationship Id="rId89" Type="http://schemas.openxmlformats.org/officeDocument/2006/relationships/image" Target="media/image59.jpeg"/><Relationship Id="rId88" Type="http://schemas.openxmlformats.org/officeDocument/2006/relationships/image" Target="media/image58.jpeg"/><Relationship Id="rId87" Type="http://schemas.openxmlformats.org/officeDocument/2006/relationships/image" Target="media/image57.jpeg"/><Relationship Id="rId86" Type="http://schemas.openxmlformats.org/officeDocument/2006/relationships/image" Target="media/image56.jpeg"/><Relationship Id="rId85" Type="http://schemas.openxmlformats.org/officeDocument/2006/relationships/image" Target="media/image55.jpeg"/><Relationship Id="rId84" Type="http://schemas.openxmlformats.org/officeDocument/2006/relationships/image" Target="media/image54.jpeg"/><Relationship Id="rId83" Type="http://schemas.openxmlformats.org/officeDocument/2006/relationships/image" Target="media/image53.jpeg"/><Relationship Id="rId82" Type="http://schemas.openxmlformats.org/officeDocument/2006/relationships/image" Target="media/image52.jpeg"/><Relationship Id="rId81" Type="http://schemas.openxmlformats.org/officeDocument/2006/relationships/image" Target="media/image51.jpeg"/><Relationship Id="rId80" Type="http://schemas.openxmlformats.org/officeDocument/2006/relationships/image" Target="media/image50.jpeg"/><Relationship Id="rId8" Type="http://schemas.openxmlformats.org/officeDocument/2006/relationships/header" Target="header3.xml"/><Relationship Id="rId79" Type="http://schemas.openxmlformats.org/officeDocument/2006/relationships/image" Target="media/image49.jpeg"/><Relationship Id="rId78" Type="http://schemas.openxmlformats.org/officeDocument/2006/relationships/image" Target="media/image48.jpeg"/><Relationship Id="rId77" Type="http://schemas.openxmlformats.org/officeDocument/2006/relationships/image" Target="media/image47.jpeg"/><Relationship Id="rId76" Type="http://schemas.openxmlformats.org/officeDocument/2006/relationships/image" Target="media/image46.jpeg"/><Relationship Id="rId75" Type="http://schemas.openxmlformats.org/officeDocument/2006/relationships/image" Target="media/image45.jpeg"/><Relationship Id="rId74" Type="http://schemas.openxmlformats.org/officeDocument/2006/relationships/image" Target="media/image44.jpeg"/><Relationship Id="rId73" Type="http://schemas.openxmlformats.org/officeDocument/2006/relationships/image" Target="media/image43.jpeg"/><Relationship Id="rId72" Type="http://schemas.openxmlformats.org/officeDocument/2006/relationships/image" Target="media/image42.jpeg"/><Relationship Id="rId71" Type="http://schemas.openxmlformats.org/officeDocument/2006/relationships/image" Target="media/image41.jpeg"/><Relationship Id="rId70" Type="http://schemas.openxmlformats.org/officeDocument/2006/relationships/image" Target="media/image40.jpeg"/><Relationship Id="rId7" Type="http://schemas.openxmlformats.org/officeDocument/2006/relationships/header" Target="header2.xml"/><Relationship Id="rId69" Type="http://schemas.openxmlformats.org/officeDocument/2006/relationships/image" Target="media/image39.jpeg"/><Relationship Id="rId68" Type="http://schemas.openxmlformats.org/officeDocument/2006/relationships/image" Target="media/image38.jpeg"/><Relationship Id="rId67" Type="http://schemas.openxmlformats.org/officeDocument/2006/relationships/image" Target="media/image37.jpeg"/><Relationship Id="rId66" Type="http://schemas.openxmlformats.org/officeDocument/2006/relationships/image" Target="media/image36.jpeg"/><Relationship Id="rId65" Type="http://schemas.openxmlformats.org/officeDocument/2006/relationships/image" Target="media/image35.jpeg"/><Relationship Id="rId64" Type="http://schemas.openxmlformats.org/officeDocument/2006/relationships/image" Target="media/image34.jpeg"/><Relationship Id="rId63" Type="http://schemas.openxmlformats.org/officeDocument/2006/relationships/image" Target="media/image33.jpeg"/><Relationship Id="rId62" Type="http://schemas.openxmlformats.org/officeDocument/2006/relationships/image" Target="media/image32.jpeg"/><Relationship Id="rId61" Type="http://schemas.openxmlformats.org/officeDocument/2006/relationships/image" Target="media/image31.jpeg"/><Relationship Id="rId60" Type="http://schemas.openxmlformats.org/officeDocument/2006/relationships/image" Target="media/image30.jpeg"/><Relationship Id="rId6" Type="http://schemas.openxmlformats.org/officeDocument/2006/relationships/header" Target="header1.xml"/><Relationship Id="rId59" Type="http://schemas.openxmlformats.org/officeDocument/2006/relationships/image" Target="media/image29.jpeg"/><Relationship Id="rId58" Type="http://schemas.openxmlformats.org/officeDocument/2006/relationships/image" Target="media/image28.jpeg"/><Relationship Id="rId57" Type="http://schemas.openxmlformats.org/officeDocument/2006/relationships/image" Target="media/image27.jpeg"/><Relationship Id="rId56" Type="http://schemas.openxmlformats.org/officeDocument/2006/relationships/image" Target="media/image26.jpeg"/><Relationship Id="rId55" Type="http://schemas.openxmlformats.org/officeDocument/2006/relationships/image" Target="media/image25.jpeg"/><Relationship Id="rId54" Type="http://schemas.openxmlformats.org/officeDocument/2006/relationships/image" Target="media/image24.jpeg"/><Relationship Id="rId53" Type="http://schemas.openxmlformats.org/officeDocument/2006/relationships/image" Target="media/image23.jpeg"/><Relationship Id="rId52" Type="http://schemas.openxmlformats.org/officeDocument/2006/relationships/image" Target="media/image22.jpeg"/><Relationship Id="rId51" Type="http://schemas.openxmlformats.org/officeDocument/2006/relationships/oleObject" Target="embeddings/oleObject15.bin"/><Relationship Id="rId50" Type="http://schemas.openxmlformats.org/officeDocument/2006/relationships/oleObject" Target="embeddings/oleObject14.bin"/><Relationship Id="rId5" Type="http://schemas.openxmlformats.org/officeDocument/2006/relationships/footer" Target="footer1.xml"/><Relationship Id="rId49" Type="http://schemas.openxmlformats.org/officeDocument/2006/relationships/image" Target="media/image21.wmf"/><Relationship Id="rId48" Type="http://schemas.openxmlformats.org/officeDocument/2006/relationships/oleObject" Target="embeddings/oleObject13.bin"/><Relationship Id="rId47" Type="http://schemas.openxmlformats.org/officeDocument/2006/relationships/image" Target="media/image20.wmf"/><Relationship Id="rId46" Type="http://schemas.openxmlformats.org/officeDocument/2006/relationships/image" Target="media/image19.wmf"/><Relationship Id="rId45" Type="http://schemas.openxmlformats.org/officeDocument/2006/relationships/oleObject" Target="embeddings/oleObject12.bin"/><Relationship Id="rId44" Type="http://schemas.openxmlformats.org/officeDocument/2006/relationships/oleObject" Target="embeddings/oleObject11.bin"/><Relationship Id="rId43" Type="http://schemas.openxmlformats.org/officeDocument/2006/relationships/oleObject" Target="embeddings/oleObject10.bin"/><Relationship Id="rId42" Type="http://schemas.openxmlformats.org/officeDocument/2006/relationships/image" Target="media/image18.wmf"/><Relationship Id="rId41" Type="http://schemas.openxmlformats.org/officeDocument/2006/relationships/oleObject" Target="embeddings/oleObject9.bin"/><Relationship Id="rId40" Type="http://schemas.openxmlformats.org/officeDocument/2006/relationships/image" Target="media/image17.wmf"/><Relationship Id="rId4" Type="http://schemas.openxmlformats.org/officeDocument/2006/relationships/endnotes" Target="endnotes.xml"/><Relationship Id="rId39" Type="http://schemas.openxmlformats.org/officeDocument/2006/relationships/oleObject" Target="embeddings/oleObject8.bin"/><Relationship Id="rId38" Type="http://schemas.openxmlformats.org/officeDocument/2006/relationships/image" Target="media/image16.wmf"/><Relationship Id="rId37" Type="http://schemas.openxmlformats.org/officeDocument/2006/relationships/oleObject" Target="embeddings/oleObject7.bin"/><Relationship Id="rId36" Type="http://schemas.openxmlformats.org/officeDocument/2006/relationships/image" Target="media/image15.wmf"/><Relationship Id="rId35" Type="http://schemas.openxmlformats.org/officeDocument/2006/relationships/oleObject" Target="embeddings/oleObject6.bin"/><Relationship Id="rId34" Type="http://schemas.openxmlformats.org/officeDocument/2006/relationships/image" Target="media/image14.wmf"/><Relationship Id="rId33" Type="http://schemas.openxmlformats.org/officeDocument/2006/relationships/oleObject" Target="embeddings/oleObject5.bin"/><Relationship Id="rId32" Type="http://schemas.openxmlformats.org/officeDocument/2006/relationships/image" Target="media/image13.wmf"/><Relationship Id="rId31" Type="http://schemas.openxmlformats.org/officeDocument/2006/relationships/oleObject" Target="embeddings/oleObject4.bin"/><Relationship Id="rId30" Type="http://schemas.openxmlformats.org/officeDocument/2006/relationships/image" Target="media/image12.wmf"/><Relationship Id="rId3" Type="http://schemas.openxmlformats.org/officeDocument/2006/relationships/footnotes" Target="footnotes.xml"/><Relationship Id="rId29" Type="http://schemas.openxmlformats.org/officeDocument/2006/relationships/oleObject" Target="embeddings/oleObject3.bin"/><Relationship Id="rId28" Type="http://schemas.openxmlformats.org/officeDocument/2006/relationships/image" Target="media/image11.wmf"/><Relationship Id="rId27" Type="http://schemas.openxmlformats.org/officeDocument/2006/relationships/oleObject" Target="embeddings/oleObject2.bin"/><Relationship Id="rId26" Type="http://schemas.openxmlformats.org/officeDocument/2006/relationships/image" Target="media/image10.wmf"/><Relationship Id="rId25" Type="http://schemas.openxmlformats.org/officeDocument/2006/relationships/oleObject" Target="embeddings/oleObject1.bin"/><Relationship Id="rId24" Type="http://schemas.openxmlformats.org/officeDocument/2006/relationships/image" Target="media/image9.jpeg"/><Relationship Id="rId23" Type="http://schemas.openxmlformats.org/officeDocument/2006/relationships/image" Target="media/image8.emf"/><Relationship Id="rId22" Type="http://schemas.openxmlformats.org/officeDocument/2006/relationships/image" Target="media/image7.jpeg"/><Relationship Id="rId21" Type="http://schemas.openxmlformats.org/officeDocument/2006/relationships/image" Target="media/image6.jpeg"/><Relationship Id="rId20" Type="http://schemas.openxmlformats.org/officeDocument/2006/relationships/image" Target="media/image5.emf"/><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emf"/><Relationship Id="rId17" Type="http://schemas.openxmlformats.org/officeDocument/2006/relationships/image" Target="media/image2.png"/><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2049" textRotate="1"/>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130</Pages>
  <Words>9968</Words>
  <Characters>56818</Characters>
  <Lines>473</Lines>
  <Paragraphs>133</Paragraphs>
  <TotalTime>2</TotalTime>
  <ScaleCrop>false</ScaleCrop>
  <LinksUpToDate>false</LinksUpToDate>
  <CharactersWithSpaces>66653</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2015-11-21T05:55:00Z</dcterms:created>
  <dc:creator>FY</dc:creator>
  <cp:lastModifiedBy>En</cp:lastModifiedBy>
  <cp:lastPrinted>2020-12-31T07:52:00Z</cp:lastPrinted>
  <dcterms:modified xsi:type="dcterms:W3CDTF">2024-08-07T16:34:38Z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