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firstLine="0" w:firstLineChars="0"/>
        <w:jc w:val="center"/>
        <w:textAlignment w:val="auto"/>
        <w:outlineLvl w:val="0"/>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pP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t>国家税务总局</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lang w:eastAsia="zh-CN"/>
          <w14:textFill>
            <w14:solidFill>
              <w14:schemeClr w14:val="tx1"/>
            </w14:solidFill>
          </w14:textFill>
        </w:rPr>
        <w:t>曲沃</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lang w:val="en-US" w:eastAsia="zh-CN"/>
          <w14:textFill>
            <w14:solidFill>
              <w14:schemeClr w14:val="tx1"/>
            </w14:solidFill>
          </w14:textFill>
        </w:rPr>
        <w:t>县</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t>税务局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firstLine="0" w:firstLineChars="0"/>
        <w:jc w:val="center"/>
        <w:textAlignment w:val="auto"/>
        <w:outlineLvl w:val="0"/>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pP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t>202</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lang w:val="en-US" w:eastAsia="zh-CN"/>
          <w14:textFill>
            <w14:solidFill>
              <w14:schemeClr w14:val="tx1"/>
            </w14:solidFill>
          </w14:textFill>
        </w:rPr>
        <w:t>2</w:t>
      </w:r>
      <w:r>
        <w:rPr>
          <w:rFonts w:hint="eastAsia" w:ascii="方正小标宋_GBK" w:hAnsi="方正小标宋_GBK" w:eastAsia="方正小标宋_GBK" w:cs="方正小标宋_GBK"/>
          <w:b w:val="0"/>
          <w:bCs w:val="0"/>
          <w:i w:val="0"/>
          <w:iCs w:val="0"/>
          <w:caps w:val="0"/>
          <w:color w:val="000000" w:themeColor="text1"/>
          <w:spacing w:val="0"/>
          <w:sz w:val="44"/>
          <w:szCs w:val="44"/>
          <w:shd w:val="clear" w:fill="FFFFFF"/>
          <w14:textFill>
            <w14:solidFill>
              <w14:schemeClr w14:val="tx1"/>
            </w14:solidFill>
          </w14:textFill>
        </w:rPr>
        <w:t>年度政府信息公开年度报告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宋体" w:hAnsi="宋体" w:eastAsia="宋体" w:cs="宋体"/>
          <w:i w:val="0"/>
          <w:iCs w:val="0"/>
          <w:caps w:val="0"/>
          <w:color w:val="000000" w:themeColor="text1"/>
          <w:spacing w:val="0"/>
          <w:sz w:val="32"/>
          <w:szCs w:val="32"/>
          <w14:textFill>
            <w14:solidFill>
              <w14:schemeClr w14:val="tx1"/>
            </w14:solidFill>
          </w14:textFill>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黑体" w:hAnsi="黑体" w:eastAsia="黑体" w:cs="黑体"/>
          <w:b w:val="0"/>
          <w:bCs w:val="0"/>
          <w:i w:val="0"/>
          <w:iCs w:val="0"/>
          <w:caps w:val="0"/>
          <w:color w:val="000000" w:themeColor="text1"/>
          <w:spacing w:val="0"/>
          <w:sz w:val="32"/>
          <w:szCs w:val="32"/>
          <w14:textFill>
            <w14:solidFill>
              <w14:schemeClr w14:val="tx1"/>
            </w14:solidFill>
          </w14:textFill>
        </w:rPr>
      </w:pPr>
      <w:r>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t>一、总体情况</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i w:val="0"/>
          <w:caps w:val="0"/>
          <w:color w:val="000000" w:themeColor="text1"/>
          <w:spacing w:val="0"/>
          <w:sz w:val="32"/>
          <w:szCs w:val="32"/>
          <w:shd w:val="clear" w:color="auto" w:fill="FFFFFF"/>
          <w14:textFill>
            <w14:solidFill>
              <w14:schemeClr w14:val="tx1"/>
            </w14:solidFill>
          </w14:textFill>
        </w:rPr>
        <w:t>2022年,国家税务总局曲沃县税务局深入贯彻落实《中华人民共和国政府信息公开条例》和国务院办公厅政务信息与政务公开有关要求，扎实推进政府信息公开工作，不断加强信息发布、解读和回应能力，切实增强政府信息公开透明度，特别是对退税减税降费、优化营商环境、</w:t>
      </w:r>
      <w:r>
        <w:rPr>
          <w:rFonts w:hint="eastAsia" w:ascii="仿宋" w:hAnsi="仿宋" w:eastAsia="仿宋" w:cs="仿宋"/>
          <w:i w:val="0"/>
          <w:caps w:val="0"/>
          <w:color w:val="000000" w:themeColor="text1"/>
          <w:spacing w:val="0"/>
          <w:sz w:val="32"/>
          <w:szCs w:val="32"/>
          <w:shd w:val="clear" w:color="auto" w:fill="FFFFFF"/>
          <w:lang w:eastAsia="zh-CN"/>
          <w14:textFill>
            <w14:solidFill>
              <w14:schemeClr w14:val="tx1"/>
            </w14:solidFill>
          </w14:textFill>
        </w:rPr>
        <w:t>“我为群众办</w:t>
      </w:r>
      <w:r>
        <w:rPr>
          <w:rFonts w:hint="eastAsia" w:ascii="仿宋" w:hAnsi="仿宋" w:eastAsia="仿宋" w:cs="仿宋"/>
          <w:i w:val="0"/>
          <w:caps w:val="0"/>
          <w:color w:val="000000" w:themeColor="text1"/>
          <w:spacing w:val="0"/>
          <w:sz w:val="32"/>
          <w:szCs w:val="32"/>
          <w:shd w:val="clear" w:color="auto" w:fill="FFFFFF"/>
          <w14:textFill>
            <w14:solidFill>
              <w14:schemeClr w14:val="tx1"/>
            </w14:solidFill>
          </w14:textFill>
        </w:rPr>
        <w:t>实事</w:t>
      </w:r>
      <w:r>
        <w:rPr>
          <w:rFonts w:hint="eastAsia" w:ascii="仿宋" w:hAnsi="仿宋" w:eastAsia="仿宋" w:cs="仿宋"/>
          <w:i w:val="0"/>
          <w:caps w:val="0"/>
          <w:color w:val="000000" w:themeColor="text1"/>
          <w:spacing w:val="0"/>
          <w:sz w:val="32"/>
          <w:szCs w:val="32"/>
          <w:shd w:val="clear" w:color="auto"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32"/>
          <w:szCs w:val="32"/>
          <w:shd w:val="clear" w:color="auto" w:fill="FFFFFF"/>
          <w14:textFill>
            <w14:solidFill>
              <w14:schemeClr w14:val="tx1"/>
            </w14:solidFill>
          </w14:textFill>
        </w:rPr>
        <w:t>等热点问题持续跟进、及时到位，注重保障群众的知情权、参与权和监督权。</w:t>
      </w:r>
    </w:p>
    <w:p>
      <w:pPr>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楷体" w:hAnsi="楷体" w:eastAsia="楷体" w:cs="仿宋"/>
          <w:b/>
          <w:bCs/>
          <w:kern w:val="2"/>
          <w:sz w:val="32"/>
          <w:szCs w:val="32"/>
          <w:lang w:val="en-US" w:eastAsia="zh-CN" w:bidi="ar-SA"/>
        </w:rPr>
        <w:t>（一）主动公开。</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我局领导班子高度重视信息公开工作，将此项工作列入重要议事日程，一把手亲自挂帅，分管领导互相配合，职能股室各司其职，按照政府信息公开指南和公开目录，及时更新、公布机构设置、主要职能、税收法规、计划规划、税收收入、办税指南、人事信息、政府采购等内容，有步骤、有计划、有重点地做好信息公开工作。同时，加大政策解读回应力度，我局依法按程序第一时间通过网上发布信息、接受媒体采访等方式进行政策解读和宣传，并根据工作进展持续发布客观、可感、可信的信息，发挥正面引导作用。2022年，我局没有发布规章和行政规范性文件，发布行政许可公示361条、行政处罚公示30条、行政强制6条。</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楷体" w:hAnsi="楷体" w:eastAsia="楷体" w:cs="仿宋"/>
          <w:b/>
          <w:bCs/>
          <w:kern w:val="2"/>
          <w:sz w:val="32"/>
          <w:szCs w:val="32"/>
          <w:lang w:val="en-US" w:eastAsia="zh-CN" w:bidi="ar-SA"/>
        </w:rPr>
        <w:t>（二）依申请公开。</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主动对外公布政府信息公开办公地址、办公时间、电话号码等内容，方便公民、法人或其他组织提出公开申请。同时，严把办理关和答复关，对收到的信息公开申请，严格按照法定的程序和权限办理，方便群众及时查阅、获取政府信息。2022年我局我未收到依申请公开事项。</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楷体" w:hAnsi="楷体" w:eastAsia="楷体" w:cs="仿宋"/>
          <w:b/>
          <w:bCs/>
          <w:kern w:val="2"/>
          <w:sz w:val="32"/>
          <w:szCs w:val="32"/>
          <w:lang w:val="en-US" w:eastAsia="zh-CN" w:bidi="ar-SA"/>
        </w:rPr>
        <w:t>（三）政府</w:t>
      </w:r>
      <w:bookmarkStart w:id="0" w:name="_GoBack"/>
      <w:bookmarkEnd w:id="0"/>
      <w:r>
        <w:rPr>
          <w:rFonts w:hint="eastAsia" w:ascii="楷体" w:hAnsi="楷体" w:eastAsia="楷体" w:cs="仿宋"/>
          <w:b/>
          <w:bCs/>
          <w:kern w:val="2"/>
          <w:sz w:val="32"/>
          <w:szCs w:val="32"/>
          <w:lang w:val="en-US" w:eastAsia="zh-CN" w:bidi="ar-SA"/>
        </w:rPr>
        <w:t>信息管理。</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不断完善信息公开工作体系，健全申请、登记、审核、办理、答复、归档、考核的工作制度，逐步把信息公开工作纳入规范化、制度化轨道。同时，强化政府信息公开审查机制，严格依照《中华人民共和国保守国家秘密法》、《国家税务总局山西省税务局办公室关于印发&lt;省局机关税费数据对外提供工作规程（试行）&gt;的通知》（晋税办发〔2022〕88号）等有关规定对拟公开的信息进行保密审查，对属于国家秘密、商业秘密、个人隐私的政府信息，或者公开后可能危及国家安全、公共安全、经济安全、社会稳定的政府信息，不得公开。</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_GB2312" w:hAnsi="仿宋_GB2312" w:eastAsia="仿宋_GB2312" w:cs="仿宋_GB2312"/>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楷体" w:hAnsi="楷体" w:eastAsia="楷体" w:cs="仿宋"/>
          <w:b/>
          <w:bCs/>
          <w:kern w:val="2"/>
          <w:sz w:val="32"/>
          <w:szCs w:val="32"/>
          <w:lang w:val="en-US" w:eastAsia="zh-CN" w:bidi="ar-SA"/>
        </w:rPr>
        <w:t>（四）平台建设。</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我局线上线下相结合，用好信息载体。线下以办税服务厅作为主阵地紧抓政务公开工作的重点方面，电子屏、宣传栏、大海报齐上阵。线上通过微信群、新闻媒体、税务网站等多种方式，及时解读热点税收政策尤其是退税减税降费相关政策，通过专题新闻、税收知识早班车等方式予以宣传公开，取得良好效果。</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楷体" w:hAnsi="楷体" w:eastAsia="楷体" w:cs="仿宋"/>
          <w:b/>
          <w:bCs/>
          <w:kern w:val="2"/>
          <w:sz w:val="32"/>
          <w:szCs w:val="32"/>
          <w:lang w:val="en-US" w:eastAsia="zh-CN" w:bidi="ar-SA"/>
        </w:rPr>
        <w:t>（五）监督保障。</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我局严格遵循公正、公平、合法、便民的原则，严格坚持以公开为常态、不公开为例外，按照“谁主管、谁公开、谁负责”的原则，将任务分解到人、分解到位，同时，积极参加政府信息公开工作人员专项培训，并在年底进行考核，确保圆满完成各项政府信息公开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t>二、主动公开政府信息情况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000000" w:themeColor="text1"/>
          <w:spacing w:val="0"/>
          <w:sz w:val="24"/>
          <w:szCs w:val="24"/>
          <w14:textFill>
            <w14:solidFill>
              <w14:schemeClr w14:val="tx1"/>
            </w14:solidFill>
          </w14:textFill>
        </w:rPr>
      </w:pPr>
    </w:p>
    <w:tbl>
      <w:tblPr>
        <w:tblStyle w:val="5"/>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　         0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1"/>
                <w:szCs w:val="21"/>
                <w:lang w:val="en-US" w:eastAsia="zh-CN" w:bidi="ar"/>
                <w14:textFill>
                  <w14:solidFill>
                    <w14:schemeClr w14:val="tx1"/>
                  </w14:solidFill>
                </w14:textFil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tabs>
                <w:tab w:val="left" w:pos="481"/>
              </w:tabs>
              <w:spacing w:before="0" w:beforeAutospacing="0" w:after="0" w:afterAutospacing="0"/>
              <w:ind w:left="0" w:righ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jc w:val="center"/>
              <w:rPr>
                <w:rFonts w:hint="eastAsia" w:ascii="宋体" w:eastAsiaTheme="minorEastAsia"/>
                <w:color w:val="000000" w:themeColor="text1"/>
                <w:sz w:val="24"/>
                <w:szCs w:val="24"/>
                <w:lang w:val="en-US" w:eastAsia="zh-CN"/>
                <w14:textFill>
                  <w14:solidFill>
                    <w14:schemeClr w14:val="tx1"/>
                  </w14:solidFill>
                </w14:textFill>
              </w:rPr>
            </w:pPr>
            <w:r>
              <w:rPr>
                <w:rFonts w:hint="eastAsia" w:ascii="宋体"/>
                <w:color w:val="000000" w:themeColor="text1"/>
                <w:sz w:val="24"/>
                <w:szCs w:val="24"/>
                <w:lang w:val="en-US" w:eastAsia="zh-CN"/>
                <w14:textFill>
                  <w14:solidFill>
                    <w14:schemeClr w14:val="tx1"/>
                  </w14:solidFill>
                </w14:textFill>
              </w:rPr>
              <w:t>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t>三、收到和处理政府信息公开申请情况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000000" w:themeColor="text1"/>
          <w:spacing w:val="0"/>
          <w:sz w:val="24"/>
          <w:szCs w:val="24"/>
          <w14:textFill>
            <w14:solidFill>
              <w14:schemeClr w14:val="tx1"/>
            </w14:solidFill>
          </w14:textFill>
        </w:rPr>
      </w:pP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ascii="楷体" w:hAnsi="楷体" w:eastAsia="楷体" w:cs="楷体"/>
                <w:color w:val="000000" w:themeColor="text1"/>
                <w:kern w:val="0"/>
                <w:sz w:val="20"/>
                <w:szCs w:val="20"/>
                <w:lang w:val="en-US" w:eastAsia="zh-CN" w:bidi="ar"/>
                <w14:textFill>
                  <w14:solidFill>
                    <w14:schemeClr w14:val="tx1"/>
                  </w14:solidFill>
                </w14:textFill>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自然人</w:t>
            </w:r>
          </w:p>
        </w:tc>
        <w:tc>
          <w:tcPr>
            <w:tcW w:w="3440"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法人或其他组织</w:t>
            </w:r>
          </w:p>
        </w:tc>
        <w:tc>
          <w:tcPr>
            <w:tcW w:w="689"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88"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企业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社会公益组织</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法律服务机构</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tc>
        <w:tc>
          <w:tcPr>
            <w:tcW w:w="689"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一、本年新收政府信息公开申请数量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二、上年结转政府信息公开申请数量</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三、本年度办理结果</w:t>
            </w:r>
          </w:p>
        </w:tc>
        <w:tc>
          <w:tcPr>
            <w:tcW w:w="4163"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（一）予以公开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（二）部分公开</w:t>
            </w:r>
            <w:r>
              <w:rPr>
                <w:rFonts w:hint="eastAsia" w:ascii="楷体" w:hAnsi="楷体" w:eastAsia="楷体" w:cs="楷体"/>
                <w:color w:val="000000" w:themeColor="text1"/>
                <w:kern w:val="0"/>
                <w:sz w:val="20"/>
                <w:szCs w:val="20"/>
                <w:lang w:val="en-US" w:eastAsia="zh-CN" w:bidi="ar"/>
                <w14:textFill>
                  <w14:solidFill>
                    <w14:schemeClr w14:val="tx1"/>
                  </w14:solidFill>
                </w14:textFill>
              </w:rPr>
              <w:t>（区分处理的，只计这一情形，不计其他情形）</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（三）不予公开</w:t>
            </w: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1.属于国家秘密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2.其他法律行政法规禁止公开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3.危及“三安全一稳定”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4.保护第三方合法权益</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5.属于三类内部事务信息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6.属于四类过程性信息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7.属于行政执法案卷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8.属于行政查询事项</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（四）无法提供</w:t>
            </w: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1.本机关不掌握相关政府信息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2.没有现成信息需要另行制作</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3.补正后申请内容仍不明确</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（五）不予处理</w:t>
            </w: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1.信访举报投诉类申请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3.要求提供公开出版物</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4.无正当理由大量反复申请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5.要求行政机关确认或重新出具已获取信息</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（六）其他处理</w:t>
            </w:r>
          </w:p>
        </w:tc>
        <w:tc>
          <w:tcPr>
            <w:tcW w:w="322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color w:val="000000" w:themeColor="text1"/>
                <w:kern w:val="0"/>
                <w:sz w:val="20"/>
                <w:szCs w:val="20"/>
                <w:lang w:val="en-US" w:eastAsia="zh-CN" w:bidi="ar"/>
                <w14:textFill>
                  <w14:solidFill>
                    <w14:schemeClr w14:val="tx1"/>
                  </w14:solidFill>
                </w14:textFill>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color w:val="000000" w:themeColor="text1"/>
                <w:kern w:val="0"/>
                <w:sz w:val="20"/>
                <w:szCs w:val="20"/>
                <w:lang w:val="en-US" w:eastAsia="zh-CN" w:bidi="ar"/>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943"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322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3.其他</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8"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color w:val="000000" w:themeColor="text1"/>
                <w:sz w:val="24"/>
                <w:szCs w:val="24"/>
                <w14:textFill>
                  <w14:solidFill>
                    <w14:schemeClr w14:val="tx1"/>
                  </w14:solidFill>
                </w14:textFill>
              </w:rPr>
            </w:pPr>
          </w:p>
        </w:tc>
        <w:tc>
          <w:tcPr>
            <w:tcW w:w="4163"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（七）总计</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31"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四、结转下年度继续办理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themeColor="text1"/>
                <w:lang w:val="en-US"/>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themeColor="text1"/>
                <w14:textFill>
                  <w14:solidFill>
                    <w14:schemeClr w14:val="tx1"/>
                  </w14:solidFill>
                </w14:textFill>
              </w:rPr>
            </w:pPr>
            <w:r>
              <w:rPr>
                <w:rFonts w:hint="eastAsia" w:ascii="Calibri" w:hAnsi="Calibri" w:cs="Calibri"/>
                <w:color w:val="000000" w:themeColor="text1"/>
                <w:kern w:val="0"/>
                <w:sz w:val="20"/>
                <w:szCs w:val="20"/>
                <w:lang w:val="en-US" w:eastAsia="zh-CN" w:bidi="ar"/>
                <w14:textFill>
                  <w14:solidFill>
                    <w14:schemeClr w14:val="tx1"/>
                  </w14:solidFill>
                </w14:textFill>
              </w:rPr>
              <w:t>0</w:t>
            </w:r>
          </w:p>
        </w:tc>
        <w:tc>
          <w:tcPr>
            <w:tcW w:w="689" w:type="dxa"/>
            <w:tcBorders>
              <w:top w:val="nil"/>
              <w:left w:val="nil"/>
              <w:bottom w:val="single" w:color="auto" w:sz="8" w:space="0"/>
              <w:right w:val="single" w:color="auto" w:sz="8" w:space="0"/>
            </w:tcBorders>
            <w:shd w:val="clear" w:color="auto" w:fill="auto"/>
            <w:tcMar>
              <w:left w:w="57" w:type="dxa"/>
              <w:right w:w="57" w:type="dxa"/>
            </w:tcMar>
            <w:vAlign w:val="top"/>
          </w:tcPr>
          <w:p>
            <w:pPr>
              <w:jc w:val="center"/>
              <w:rPr>
                <w:rFonts w:hint="eastAsia" w:ascii="宋体" w:eastAsiaTheme="minorEastAsia"/>
                <w:color w:val="000000" w:themeColor="text1"/>
                <w:sz w:val="24"/>
                <w:szCs w:val="24"/>
                <w:lang w:val="en-US" w:eastAsia="zh-CN"/>
                <w14:textFill>
                  <w14:solidFill>
                    <w14:schemeClr w14:val="tx1"/>
                  </w14:solidFill>
                </w14:textFill>
              </w:rPr>
            </w:pPr>
            <w:r>
              <w:rPr>
                <w:rFonts w:hint="eastAsia" w:ascii="宋体"/>
                <w:color w:val="000000" w:themeColor="text1"/>
                <w:sz w:val="24"/>
                <w:szCs w:val="24"/>
                <w:lang w:val="en-US" w:eastAsia="zh-CN"/>
                <w14:textFill>
                  <w14:solidFill>
                    <w14:schemeClr w14:val="tx1"/>
                  </w14:solidFill>
                </w14:textFill>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000000" w:themeColor="text1"/>
          <w:spacing w:val="0"/>
          <w:sz w:val="24"/>
          <w:szCs w:val="24"/>
          <w14:textFill>
            <w14:solidFill>
              <w14:schemeClr w14:val="tx1"/>
            </w14:solidFill>
          </w14:textFill>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2" w:firstLineChars="200"/>
        <w:jc w:val="both"/>
        <w:rPr>
          <w:rFonts w:hint="eastAsia" w:ascii="宋体" w:hAnsi="宋体" w:eastAsia="宋体" w:cs="宋体"/>
          <w:i w:val="0"/>
          <w:iCs w:val="0"/>
          <w:caps w:val="0"/>
          <w:color w:val="000000" w:themeColor="text1"/>
          <w:spacing w:val="0"/>
          <w:sz w:val="32"/>
          <w:szCs w:val="32"/>
          <w14:textFill>
            <w14:solidFill>
              <w14:schemeClr w14:val="tx1"/>
            </w14:solidFill>
          </w14:textFill>
        </w:rPr>
      </w:pPr>
      <w:r>
        <w:rPr>
          <w:rFonts w:hint="eastAsia" w:ascii="宋体" w:hAnsi="宋体" w:eastAsia="宋体" w:cs="宋体"/>
          <w:b/>
          <w:bCs/>
          <w:i w:val="0"/>
          <w:iCs w:val="0"/>
          <w:caps w:val="0"/>
          <w:color w:val="000000" w:themeColor="text1"/>
          <w:spacing w:val="0"/>
          <w:sz w:val="32"/>
          <w:szCs w:val="32"/>
          <w:shd w:val="clear" w:fill="FFFFFF"/>
          <w14:textFill>
            <w14:solidFill>
              <w14:schemeClr w14:val="tx1"/>
            </w14:solidFill>
          </w14:textFill>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000000" w:themeColor="text1"/>
          <w:spacing w:val="0"/>
          <w:sz w:val="24"/>
          <w:szCs w:val="24"/>
          <w14:textFill>
            <w14:solidFill>
              <w14:schemeClr w14:val="tx1"/>
            </w14:solidFill>
          </w14:textFill>
        </w:rPr>
      </w:pP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color w:val="000000" w:themeColor="text1"/>
                <w:sz w:val="24"/>
                <w:szCs w:val="24"/>
                <w14:textFill>
                  <w14:solidFill>
                    <w14:schemeClr w14:val="tx1"/>
                  </w14:solidFill>
                </w14:textFill>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themeColor="text1"/>
                <w:kern w:val="0"/>
                <w:sz w:val="20"/>
                <w:szCs w:val="20"/>
                <w:lang w:val="en-US" w:eastAsia="zh-CN" w:bidi="ar"/>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宋体" w:hAnsi="宋体" w:eastAsia="宋体" w:cs="宋体"/>
                <w:color w:val="000000" w:themeColor="text1"/>
                <w:kern w:val="0"/>
                <w:sz w:val="20"/>
                <w:szCs w:val="20"/>
                <w:lang w:val="en-US" w:eastAsia="zh-CN" w:bidi="ar"/>
                <w14:textFill>
                  <w14:solidFill>
                    <w14:schemeClr w14:val="tx1"/>
                  </w14:solidFill>
                </w14:textFill>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themeColor="text1"/>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000000" w:themeColor="text1"/>
                <w:lang w:val="en-US"/>
                <w14:textFill>
                  <w14:solidFill>
                    <w14:schemeClr w14:val="tx1"/>
                  </w14:solidFill>
                </w14:textFill>
              </w:rPr>
            </w:pPr>
            <w:r>
              <w:rPr>
                <w:rFonts w:hint="eastAsia" w:ascii="黑体" w:hAnsi="宋体" w:eastAsia="黑体" w:cs="黑体"/>
                <w:color w:val="000000" w:themeColor="text1"/>
                <w:kern w:val="0"/>
                <w:sz w:val="20"/>
                <w:szCs w:val="20"/>
                <w:lang w:val="en-US" w:eastAsia="zh-CN" w:bidi="ar"/>
                <w14:textFill>
                  <w14:solidFill>
                    <w14:schemeClr w14:val="tx1"/>
                  </w14:solidFill>
                </w14:textFill>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hint="eastAsia" w:ascii="宋体" w:eastAsiaTheme="minorEastAsia"/>
                <w:color w:val="000000" w:themeColor="text1"/>
                <w:sz w:val="24"/>
                <w:szCs w:val="24"/>
                <w:lang w:val="en-US" w:eastAsia="zh-CN"/>
                <w14:textFill>
                  <w14:solidFill>
                    <w14:schemeClr w14:val="tx1"/>
                  </w14:solidFill>
                </w14:textFill>
              </w:rPr>
            </w:pPr>
            <w:r>
              <w:rPr>
                <w:rFonts w:hint="eastAsia" w:ascii="宋体"/>
                <w:color w:val="000000" w:themeColor="text1"/>
                <w:sz w:val="24"/>
                <w:szCs w:val="24"/>
                <w:lang w:val="en-US" w:eastAsia="zh-CN"/>
                <w14:textFill>
                  <w14:solidFill>
                    <w14:schemeClr w14:val="tx1"/>
                  </w14:solidFill>
                </w14:textFill>
              </w:rPr>
              <w:t>0</w:t>
            </w:r>
          </w:p>
        </w:tc>
      </w:tr>
    </w:tbl>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2" w:firstLineChars="200"/>
        <w:jc w:val="both"/>
        <w:rPr>
          <w:rFonts w:hint="eastAsia" w:ascii="宋体" w:hAnsi="宋体" w:eastAsia="宋体" w:cs="宋体"/>
          <w:b/>
          <w:bCs/>
          <w:i w:val="0"/>
          <w:iCs w:val="0"/>
          <w:caps w:val="0"/>
          <w:color w:val="000000" w:themeColor="text1"/>
          <w:spacing w:val="0"/>
          <w:sz w:val="32"/>
          <w:szCs w:val="32"/>
          <w:shd w:val="clear" w:fill="FFFFFF"/>
          <w14:textFill>
            <w14:solidFill>
              <w14:schemeClr w14:val="tx1"/>
            </w14:solidFill>
          </w14:textFill>
        </w:rPr>
      </w:pPr>
      <w:r>
        <w:rPr>
          <w:rFonts w:hint="eastAsia" w:ascii="宋体" w:hAnsi="宋体" w:eastAsia="宋体" w:cs="宋体"/>
          <w:b/>
          <w:bCs/>
          <w:i w:val="0"/>
          <w:iCs w:val="0"/>
          <w:caps w:val="0"/>
          <w:color w:val="000000" w:themeColor="text1"/>
          <w:spacing w:val="0"/>
          <w:sz w:val="32"/>
          <w:szCs w:val="32"/>
          <w:shd w:val="clear" w:fill="FFFFFF"/>
          <w:lang w:eastAsia="zh-CN"/>
          <w14:textFill>
            <w14:solidFill>
              <w14:schemeClr w14:val="tx1"/>
            </w14:solidFill>
          </w14:textFill>
        </w:rPr>
        <w:t>五、</w:t>
      </w:r>
      <w:r>
        <w:rPr>
          <w:rFonts w:hint="eastAsia" w:ascii="宋体" w:hAnsi="宋体" w:eastAsia="宋体" w:cs="宋体"/>
          <w:b/>
          <w:bCs/>
          <w:i w:val="0"/>
          <w:iCs w:val="0"/>
          <w:caps w:val="0"/>
          <w:color w:val="000000" w:themeColor="text1"/>
          <w:spacing w:val="0"/>
          <w:sz w:val="32"/>
          <w:szCs w:val="32"/>
          <w:shd w:val="clear" w:fill="FFFFFF"/>
          <w14:textFill>
            <w14:solidFill>
              <w14:schemeClr w14:val="tx1"/>
            </w14:solidFill>
          </w14:textFill>
        </w:rPr>
        <w:t>存在的主要问题及改进情况</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both"/>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2022年我局深入贯彻落实《政府信息公开条例》等有关要求，在政府信息公开制度机制建设、增强公开实效等工作中取得了一定的成绩，但与保障人民群众知情和实际需求相比，仍有一定距离：</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仿宋"/>
          <w:b/>
          <w:bCs/>
          <w:kern w:val="2"/>
          <w:sz w:val="32"/>
          <w:szCs w:val="32"/>
          <w:lang w:val="en-US" w:eastAsia="zh-CN" w:bidi="ar-SA"/>
        </w:rPr>
      </w:pPr>
      <w:r>
        <w:rPr>
          <w:rFonts w:hint="eastAsia" w:ascii="楷体" w:hAnsi="楷体" w:eastAsia="楷体" w:cs="仿宋"/>
          <w:b/>
          <w:bCs/>
          <w:kern w:val="2"/>
          <w:sz w:val="32"/>
          <w:szCs w:val="32"/>
          <w:lang w:val="en-US" w:eastAsia="zh-CN" w:bidi="ar-SA"/>
        </w:rPr>
        <w:t>（一）主要问题</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一是虽然对全局税干进行了专题培训，但仍有个别干部片面认为自己的工作不涉及信息公开，对信息公开的重要性认识不足。二是随着时代发展，群众对于信息公开的方式有了新要求，对信息公开形式提出更多要求。</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楷体" w:hAnsi="楷体" w:eastAsia="楷体" w:cs="仿宋"/>
          <w:b/>
          <w:bCs/>
          <w:kern w:val="2"/>
          <w:sz w:val="32"/>
          <w:szCs w:val="32"/>
          <w:lang w:val="en-US" w:eastAsia="zh-CN" w:bidi="ar-SA"/>
        </w:rPr>
      </w:pPr>
      <w:r>
        <w:rPr>
          <w:rFonts w:hint="eastAsia" w:ascii="楷体" w:hAnsi="楷体" w:eastAsia="楷体" w:cs="仿宋"/>
          <w:b/>
          <w:bCs/>
          <w:kern w:val="2"/>
          <w:sz w:val="32"/>
          <w:szCs w:val="32"/>
          <w:lang w:val="en-US" w:eastAsia="zh-CN" w:bidi="ar-SA"/>
        </w:rPr>
        <w:t>（二）改进措施</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b/>
          <w:bCs/>
          <w:i w:val="0"/>
          <w:caps w:val="0"/>
          <w:color w:val="000000" w:themeColor="text1"/>
          <w:spacing w:val="0"/>
          <w:kern w:val="0"/>
          <w:sz w:val="32"/>
          <w:szCs w:val="32"/>
          <w:shd w:val="clear" w:color="auto" w:fill="FFFFFF"/>
          <w:lang w:val="en-US" w:eastAsia="zh-CN" w:bidi="ar-SA"/>
          <w14:textFill>
            <w14:solidFill>
              <w14:schemeClr w14:val="tx1"/>
            </w14:solidFill>
          </w14:textFill>
        </w:rPr>
        <w:t>一是加大学习力度。</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除了定期的线下培训，鼓励税务干部利用学习兴税、学习强国等平台认真学习信息公开工作相关知识，引导干部进一步加深对于信息公开重要性的认识，增强主动抓、坚持抓的自觉。</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b/>
          <w:bCs/>
          <w:i w:val="0"/>
          <w:caps w:val="0"/>
          <w:color w:val="000000" w:themeColor="text1"/>
          <w:spacing w:val="0"/>
          <w:kern w:val="0"/>
          <w:sz w:val="32"/>
          <w:szCs w:val="32"/>
          <w:shd w:val="clear" w:color="auto" w:fill="FFFFFF"/>
          <w:lang w:val="en-US" w:eastAsia="zh-CN" w:bidi="ar-SA"/>
          <w14:textFill>
            <w14:solidFill>
              <w14:schemeClr w14:val="tx1"/>
            </w14:solidFill>
          </w14:textFill>
        </w:rPr>
        <w:t>二是丰富公开形式。</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结合税收宣传、法治宣传、纳税服务、党风廉政建设等中心工作，利用微信、微博、网站、报刊等应用渠道多角度开展信息公开工作，满足群众对于最新政策的知晓需求。</w:t>
      </w:r>
    </w:p>
    <w:p>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right="0" w:rightChars="0" w:firstLine="642" w:firstLineChars="200"/>
        <w:jc w:val="both"/>
        <w:textAlignment w:val="auto"/>
        <w:outlineLvl w:val="9"/>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pPr>
      <w:r>
        <w:rPr>
          <w:rFonts w:hint="eastAsia" w:ascii="仿宋" w:hAnsi="仿宋" w:eastAsia="仿宋" w:cs="仿宋"/>
          <w:b/>
          <w:bCs/>
          <w:i w:val="0"/>
          <w:caps w:val="0"/>
          <w:color w:val="000000" w:themeColor="text1"/>
          <w:spacing w:val="0"/>
          <w:kern w:val="0"/>
          <w:sz w:val="32"/>
          <w:szCs w:val="32"/>
          <w:shd w:val="clear" w:color="auto" w:fill="FFFFFF"/>
          <w:lang w:val="en-US" w:eastAsia="zh-CN" w:bidi="ar-SA"/>
          <w14:textFill>
            <w14:solidFill>
              <w14:schemeClr w14:val="tx1"/>
            </w14:solidFill>
          </w14:textFill>
        </w:rPr>
        <w:t>三是完善公开内容。</w:t>
      </w:r>
      <w:r>
        <w:rPr>
          <w:rFonts w:hint="eastAsia" w:ascii="仿宋" w:hAnsi="仿宋" w:eastAsia="仿宋" w:cs="仿宋"/>
          <w:i w:val="0"/>
          <w:caps w:val="0"/>
          <w:color w:val="000000" w:themeColor="text1"/>
          <w:spacing w:val="0"/>
          <w:kern w:val="0"/>
          <w:sz w:val="32"/>
          <w:szCs w:val="32"/>
          <w:shd w:val="clear" w:color="auto" w:fill="FFFFFF"/>
          <w:lang w:val="en-US" w:eastAsia="zh-CN" w:bidi="ar-SA"/>
          <w14:textFill>
            <w14:solidFill>
              <w14:schemeClr w14:val="tx1"/>
            </w14:solidFill>
          </w14:textFill>
        </w:rPr>
        <w:t>认真坚持“公开为原则，不公开为例外”，加大对税务重点工作与纳税人切身利益关联紧密的税收政策的公开力度，做到更实、更细、更好。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000000" w:themeColor="text1"/>
          <w:spacing w:val="0"/>
          <w:sz w:val="32"/>
          <w:szCs w:val="32"/>
          <w14:textFill>
            <w14:solidFill>
              <w14:schemeClr w14:val="tx1"/>
            </w14:solidFill>
          </w14:textFill>
        </w:rPr>
      </w:pPr>
      <w:r>
        <w:rPr>
          <w:rFonts w:hint="eastAsia" w:ascii="宋体" w:hAnsi="宋体" w:eastAsia="宋体" w:cs="宋体"/>
          <w:b/>
          <w:bCs/>
          <w:i w:val="0"/>
          <w:iCs w:val="0"/>
          <w:caps w:val="0"/>
          <w:color w:val="000000" w:themeColor="text1"/>
          <w:spacing w:val="0"/>
          <w:sz w:val="32"/>
          <w:szCs w:val="32"/>
          <w:shd w:val="clear" w:fill="FFFFFF"/>
          <w14:textFill>
            <w14:solidFill>
              <w14:schemeClr w14:val="tx1"/>
            </w14:solidFill>
          </w14:textFill>
        </w:rPr>
        <w:t>六、其他需要报告的事项</w:t>
      </w:r>
    </w:p>
    <w:p>
      <w:pPr>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无</w:t>
      </w:r>
    </w:p>
    <w:p>
      <w:pPr>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p>
    <w:p>
      <w:pPr>
        <w:ind w:firstLine="3840" w:firstLineChars="1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国家税务总局曲沃县税务局</w:t>
      </w:r>
    </w:p>
    <w:p>
      <w:pPr>
        <w:ind w:firstLine="4480" w:firstLineChars="1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2023年1月12日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NzZmNTMyMTU1OWMyM2MyYmY3NjZhNGE1YjE5YjcifQ=="/>
  </w:docVars>
  <w:rsids>
    <w:rsidRoot w:val="79203747"/>
    <w:rsid w:val="04102B12"/>
    <w:rsid w:val="04171FF8"/>
    <w:rsid w:val="050E48E5"/>
    <w:rsid w:val="2EDA48C9"/>
    <w:rsid w:val="34BD216E"/>
    <w:rsid w:val="4B8F5801"/>
    <w:rsid w:val="4C9C768A"/>
    <w:rsid w:val="4F2137BF"/>
    <w:rsid w:val="68D45055"/>
    <w:rsid w:val="79203747"/>
    <w:rsid w:val="AAEF3575"/>
    <w:rsid w:val="FFDB9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3"/>
    <w:basedOn w:val="1"/>
    <w:unhideWhenUsed/>
    <w:qFormat/>
    <w:uiPriority w:val="99"/>
    <w:pPr>
      <w:spacing w:after="120"/>
    </w:pPr>
    <w:rPr>
      <w:sz w:val="16"/>
      <w:szCs w:val="16"/>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2649</Words>
  <Characters>2697</Characters>
  <Lines>0</Lines>
  <Paragraphs>0</Paragraphs>
  <TotalTime>14</TotalTime>
  <ScaleCrop>false</ScaleCrop>
  <LinksUpToDate>false</LinksUpToDate>
  <CharactersWithSpaces>2757</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2023-01-11T01:15:00Z</dcterms:created>
  <dc:creator>bgs</dc:creator>
  <cp:lastModifiedBy>baixin</cp:lastModifiedBy>
  <cp:lastPrinted>2023-01-13T01:53:00Z</cp:lastPrinted>
  <dcterms:modified xsi:type="dcterms:W3CDTF">2023-01-16T09:43:59Z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02C1CF04C118438A9F9189BD3236508A</vt:lpwstr>
  </property>
</Properties>
</file>