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75E4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</w:rPr>
        <w:t>乐昌镇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综合行政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执法队</w:t>
      </w:r>
    </w:p>
    <w:p w14:paraId="244F6E9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Style w:val="6"/>
          <w:rFonts w:hint="eastAsia" w:ascii="方正小标宋简体" w:hAnsi="方正小标宋简体" w:eastAsia="方正小标宋简体" w:cs="方正小标宋简体"/>
          <w:sz w:val="44"/>
          <w:szCs w:val="44"/>
        </w:rPr>
        <w:t>2025年度行政检查工作计划</w:t>
      </w:r>
    </w:p>
    <w:p w14:paraId="5983D66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5628A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贯彻落实《山西省行政执法条例》及《山西省严格规范涉企行政检查的若干举措》（晋政办发〔2025〕9号）相关要求，进一步规范行政执法行为，优化辖区营商环境，结合乐昌镇实际，制定2025年度行政检查工作计划如下：</w:t>
      </w:r>
    </w:p>
    <w:p w14:paraId="1DF047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b w:val="0"/>
          <w:bCs/>
          <w:sz w:val="32"/>
          <w:szCs w:val="32"/>
        </w:rPr>
      </w:pPr>
      <w:r>
        <w:rPr>
          <w:rFonts w:hint="eastAsia" w:ascii="国标黑体-GB/T 2312" w:hAnsi="国标黑体-GB/T 2312" w:eastAsia="国标黑体-GB/T 2312" w:cs="国标黑体-GB/T 2312"/>
          <w:b w:val="0"/>
          <w:bCs/>
          <w:sz w:val="32"/>
          <w:szCs w:val="32"/>
        </w:rPr>
        <w:t>一、总体要求</w:t>
      </w:r>
    </w:p>
    <w:p w14:paraId="4AC0DE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（一）严格依法履职</w:t>
      </w:r>
    </w:p>
    <w:p w14:paraId="4638E9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依据法律法规明确检查权限和程序，确保检查行为合法合规。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一是权限清晰。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我镇将严格按照县政府执法清单下发事项及法定执法事项进行检查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形成清单并向社会公开，杜绝越权检查；定期组织执法人员学习权限范围，确保职责清晰。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二是程序规范。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制定统一的检查流程，要求执法人员入企检查前须经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镇行政执法办公室</w:t>
      </w:r>
      <w:r>
        <w:rPr>
          <w:rFonts w:hint="eastAsia" w:ascii="仿宋_GB2312" w:hAnsi="仿宋_GB2312" w:eastAsia="仿宋_GB2312" w:cs="仿宋_GB2312"/>
          <w:sz w:val="32"/>
          <w:szCs w:val="32"/>
        </w:rPr>
        <w:t>审批，携带执法证件及文书，现场检查需记录完整并告知结果。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三是公开透明。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通过镇政务公开栏定期发布检查计划及结果，接受社会监督，对群众投诉举报及时处理并反馈。</w:t>
      </w:r>
    </w:p>
    <w:p w14:paraId="716FE57C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优化检查安排</w:t>
      </w:r>
    </w:p>
    <w:p w14:paraId="480674F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科学统筹检查频次，避免对企业生产经营造成干扰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尽可能做到无事不扰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一是分类管理。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根据企业信用等级、行业风险程度划分检查类别，对信用良好、风险低的企业减少检查次数；对高风险企业适当增加抽查比例。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二是统筹计划。</w:t>
      </w:r>
      <w:r>
        <w:rPr>
          <w:rFonts w:hint="eastAsia" w:ascii="仿宋_GB2312" w:hAnsi="仿宋_GB2312" w:eastAsia="仿宋_GB2312" w:cs="仿宋_GB2312"/>
          <w:sz w:val="32"/>
          <w:szCs w:val="32"/>
        </w:rPr>
        <w:t>年初制定全年检查台账，明确检查对象、时间及内容，避免临时性、重复性检查。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三是简化流程。</w:t>
      </w:r>
      <w:r>
        <w:rPr>
          <w:rFonts w:hint="eastAsia" w:ascii="仿宋_GB2312" w:hAnsi="仿宋_GB2312" w:eastAsia="仿宋_GB2312" w:cs="仿宋_GB2312"/>
          <w:sz w:val="32"/>
          <w:szCs w:val="32"/>
        </w:rPr>
        <w:t>同一部门对同一企业的多事项检查合并开展，减少入企频次。</w:t>
      </w:r>
    </w:p>
    <w:p w14:paraId="1B82CB7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（三）注重服务指导</w:t>
      </w:r>
    </w:p>
    <w:p w14:paraId="01EC158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坚持执法与教育相结合，强化对企业合规经营的引导。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一是柔性执法。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对首次轻微违法行为以教育整改为主，依法免予处罚；对需处罚的案件，严格按裁量基准执行，杜绝随意性。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二是加强宣传。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通过发放手册、组织培训等方式普及法律法规，帮助企业提升合规意识。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三是隐患预警。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对检查中发现的共性问题，及时向企业发布风险提示，指导自查自纠。</w:t>
      </w:r>
    </w:p>
    <w:p w14:paraId="7108720D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强化能力建设</w:t>
      </w:r>
    </w:p>
    <w:p w14:paraId="7FAAE0B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提升执法人员专业素质，保障执法质量。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一是定期培训。</w:t>
      </w:r>
      <w:r>
        <w:rPr>
          <w:rFonts w:hint="eastAsia" w:ascii="仿宋_GB2312" w:hAnsi="仿宋_GB2312" w:eastAsia="仿宋_GB2312" w:cs="仿宋_GB2312"/>
          <w:sz w:val="32"/>
          <w:szCs w:val="32"/>
        </w:rPr>
        <w:t>每季度组织执法人员学习新修订法律法规及执法实务，重点强化程序意识和文书制作能力。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二是考核评价。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将检查规范性、投诉处理效率等纳入个人考核，对违规行为通报批评并限期整改。</w:t>
      </w: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三是技术应用。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推广使用执法记录仪，确保检查全程留痕；利用信息化系统简化台账管理。</w:t>
      </w:r>
    </w:p>
    <w:p w14:paraId="4706249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b w:val="0"/>
          <w:bCs/>
          <w:sz w:val="32"/>
          <w:szCs w:val="32"/>
        </w:rPr>
      </w:pPr>
      <w:r>
        <w:rPr>
          <w:rFonts w:hint="eastAsia" w:ascii="国标黑体-GB/T 2312" w:hAnsi="国标黑体-GB/T 2312" w:eastAsia="国标黑体-GB/T 2312" w:cs="国标黑体-GB/T 2312"/>
          <w:b w:val="0"/>
          <w:bCs/>
          <w:sz w:val="32"/>
          <w:szCs w:val="32"/>
        </w:rPr>
        <w:t>二、重点工作</w:t>
      </w:r>
    </w:p>
    <w:p w14:paraId="0FC555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（一）明确执法主体资格</w:t>
      </w:r>
    </w:p>
    <w:p w14:paraId="719BB6F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严格按照文件要求，清理不具备法定资格的检查主体，严禁非行政执法人员参与检查。执法部门需在4月底前完成人员资质核查，确保全员持证上岗，并在检查中主动出示证件。</w:t>
      </w:r>
    </w:p>
    <w:p w14:paraId="44662D32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建立检查计划台账</w:t>
      </w:r>
    </w:p>
    <w:p w14:paraId="52380E3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各执法部门制定年度检查计划，明确检查对象、内容及时间节点，审核后统一备案。对投诉集中、存在不良记录的企业，适当提高检查频次，确保问题早发现、早处置。</w:t>
      </w:r>
    </w:p>
    <w:p w14:paraId="4838B388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规范现场检查流程</w:t>
      </w:r>
    </w:p>
    <w:p w14:paraId="3102C28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严格执行“审批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告知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32"/>
          <w:szCs w:val="32"/>
        </w:rPr>
        <w:t>反馈”流程。检查前需填写审批表并经部门负责人签字；检查中全程使用规范文书，不得要求企业提供与检查无关的材料；检查后5个工作日内向企业书面反馈结果，并存档备查。</w:t>
      </w:r>
    </w:p>
    <w:p w14:paraId="22E7AF1C">
      <w:pPr>
        <w:pStyle w:val="3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落实执法公开制度</w:t>
      </w:r>
    </w:p>
    <w:p w14:paraId="28140ED8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每季度末通过镇政府网站公示检查情况，包括检查对象、发现问题及处理结果。重大行政处罚决定需经镇法制办审核后执行，确保程序合法、裁量适当。</w:t>
      </w:r>
    </w:p>
    <w:p w14:paraId="271941B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国标黑体-GB/T 2312" w:hAnsi="国标黑体-GB/T 2312" w:eastAsia="国标黑体-GB/T 2312" w:cs="国标黑体-GB/T 2312"/>
          <w:b w:val="0"/>
          <w:bCs/>
          <w:sz w:val="32"/>
          <w:szCs w:val="32"/>
        </w:rPr>
      </w:pPr>
      <w:r>
        <w:rPr>
          <w:rFonts w:hint="eastAsia" w:ascii="国标黑体-GB/T 2312" w:hAnsi="国标黑体-GB/T 2312" w:eastAsia="国标黑体-GB/T 2312" w:cs="国标黑体-GB/T 2312"/>
          <w:b w:val="0"/>
          <w:bCs/>
          <w:sz w:val="32"/>
          <w:szCs w:val="32"/>
        </w:rPr>
        <w:t>三、保障机制</w:t>
      </w:r>
    </w:p>
    <w:p w14:paraId="490FFE5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Style w:val="6"/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（一）加强组织领导</w:t>
      </w:r>
    </w:p>
    <w:p w14:paraId="7D8A680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成立由镇长任组长、分管副镇长任副组长的行政检查工作领导小组，统筹协调全镇检查工作。领导小组每季度召开例会，听取各部门汇报并督促任务落实。</w:t>
      </w:r>
    </w:p>
    <w:p w14:paraId="457723A6">
      <w:pPr>
        <w:pStyle w:val="3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严格内部监督</w:t>
      </w:r>
    </w:p>
    <w:p w14:paraId="3E93B45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镇纪委牵头对检查行为开展不定期抽查，重点核查程序合规性、文书规范性及廉洁纪律执行情况。对违规检查、随意增加企业负担的部门或个人，依规追责。</w:t>
      </w:r>
    </w:p>
    <w:p w14:paraId="5773DBF4">
      <w:pPr>
        <w:pStyle w:val="3"/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sz w:val="32"/>
          <w:szCs w:val="32"/>
        </w:rPr>
        <w:t>注重宣传反馈</w:t>
      </w:r>
    </w:p>
    <w:p w14:paraId="2AF917B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通过镇广播站、企业联络群等渠道宣传检查政策，争取企业理解支持。每半年组织企业代表座谈，收集意见建议并及时改进工作方法。</w:t>
      </w:r>
    </w:p>
    <w:p w14:paraId="1432F1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乐昌镇将严格按照本计划推进2025年度行政检查工作，着力解决检查随意性、重复性等问题，切实减轻企业负担，营造公平有序的营商环境，为全镇经济发展提供法治保障。</w:t>
      </w:r>
    </w:p>
    <w:p w14:paraId="24864E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16E4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25B5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乐昌镇人民政府</w:t>
      </w:r>
    </w:p>
    <w:p w14:paraId="0D3545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黑体-GB/T 2312">
    <w:panose1 w:val="020005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3AC148"/>
    <w:multiLevelType w:val="singleLevel"/>
    <w:tmpl w:val="B63AC14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CFC11C2B"/>
    <w:multiLevelType w:val="singleLevel"/>
    <w:tmpl w:val="CFC11C2B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E3D9A674"/>
    <w:multiLevelType w:val="singleLevel"/>
    <w:tmpl w:val="E3D9A67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546A1C99"/>
    <w:multiLevelType w:val="singleLevel"/>
    <w:tmpl w:val="546A1C9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8574D6"/>
    <w:rsid w:val="45083794"/>
    <w:rsid w:val="DE35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1484</Words>
  <Characters>1500</Characters>
  <Lines>0</Lines>
  <Paragraphs>0</Paragraphs>
  <TotalTime>2</TotalTime>
  <ScaleCrop>false</ScaleCrop>
  <LinksUpToDate>false</LinksUpToDate>
  <CharactersWithSpaces>1500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2025-04-16T17:13:00Z</dcterms:created>
  <dc:creator>Administrator</dc:creator>
  <cp:lastModifiedBy>kylin</cp:lastModifiedBy>
  <dcterms:modified xsi:type="dcterms:W3CDTF">2025-09-09T09:40:37Z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KSOTemplateDocerSaveRecord">
    <vt:lpwstr>eyJoZGlkIjoiODYyNDJiOGM3N2UwOGEyZjQwNTdhM2FkMzc4NzBlMDYifQ==</vt:lpwstr>
  </property>
  <property fmtid="{D5CDD505-2E9C-101B-9397-08002B2CF9AE}" pid="4" name="ICV">
    <vt:lpwstr>FCE9CEE6C08A4EDA85D09BFB07FBC56D_12</vt:lpwstr>
  </property>
</Properties>
</file>