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60" w:lineRule="exact"/>
        <w:ind w:left="0" w:right="0" w:firstLine="0"/>
        <w:jc w:val="center"/>
        <w:textAlignment w:val="auto"/>
        <w:rPr>
          <w:rFonts w:hint="eastAsia" w:ascii="方正小标宋_GBK" w:hAnsi="方正小标宋_GBK" w:eastAsia="方正小标宋_GBK" w:cs="方正小标宋_GBK"/>
          <w:b w:val="0"/>
          <w:bCs/>
          <w:i w:val="0"/>
          <w:caps w:val="0"/>
          <w:color w:val="000000" w:themeColor="text1"/>
          <w:spacing w:val="0"/>
          <w:sz w:val="44"/>
          <w:szCs w:val="44"/>
          <w:shd w:val="clear" w:color="auto" w:fill="FFFFFF"/>
          <w:lang w:val="en-US" w:eastAsia="zh-CN"/>
          <w14:textFill>
            <w14:solidFill>
              <w14:schemeClr w14:val="tx1"/>
            </w14:solidFill>
          </w14:textFill>
        </w:rPr>
      </w:pPr>
      <w:r>
        <w:rPr>
          <w:rFonts w:hint="eastAsia" w:ascii="方正小标宋_GBK" w:hAnsi="方正小标宋_GBK" w:eastAsia="方正小标宋_GBK" w:cs="方正小标宋_GBK"/>
          <w:b w:val="0"/>
          <w:bCs/>
          <w:i w:val="0"/>
          <w:caps w:val="0"/>
          <w:color w:val="000000" w:themeColor="text1"/>
          <w:spacing w:val="0"/>
          <w:sz w:val="44"/>
          <w:szCs w:val="44"/>
          <w:shd w:val="clear" w:color="auto" w:fill="FFFFFF"/>
          <w:lang w:eastAsia="zh-CN"/>
          <w14:textFill>
            <w14:solidFill>
              <w14:schemeClr w14:val="tx1"/>
            </w14:solidFill>
          </w14:textFill>
        </w:rPr>
        <w:t>曲沃县人民</w:t>
      </w:r>
      <w:r>
        <w:rPr>
          <w:rFonts w:hint="eastAsia" w:ascii="方正小标宋_GBK" w:hAnsi="方正小标宋_GBK" w:eastAsia="方正小标宋_GBK" w:cs="方正小标宋_GBK"/>
          <w:b w:val="0"/>
          <w:bCs/>
          <w:i w:val="0"/>
          <w:caps w:val="0"/>
          <w:color w:val="000000" w:themeColor="text1"/>
          <w:spacing w:val="0"/>
          <w:sz w:val="44"/>
          <w:szCs w:val="44"/>
          <w:shd w:val="clear" w:color="auto" w:fill="FFFFFF"/>
          <w14:textFill>
            <w14:solidFill>
              <w14:schemeClr w14:val="tx1"/>
            </w14:solidFill>
          </w14:textFill>
        </w:rPr>
        <w:t>政府</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60" w:lineRule="exact"/>
        <w:ind w:left="0" w:right="0" w:firstLine="0"/>
        <w:jc w:val="center"/>
        <w:textAlignment w:val="auto"/>
        <w:rPr>
          <w:rFonts w:hint="eastAsia" w:ascii="方正小标宋_GBK" w:hAnsi="方正小标宋_GBK" w:eastAsia="方正小标宋_GBK" w:cs="方正小标宋_GBK"/>
          <w:b w:val="0"/>
          <w:bCs/>
          <w:i w:val="0"/>
          <w:caps w:val="0"/>
          <w:color w:val="000000" w:themeColor="text1"/>
          <w:spacing w:val="0"/>
          <w:sz w:val="44"/>
          <w:szCs w:val="44"/>
          <w:shd w:val="clear" w:color="auto" w:fill="FFFFFF"/>
          <w14:textFill>
            <w14:solidFill>
              <w14:schemeClr w14:val="tx1"/>
            </w14:solidFill>
          </w14:textFill>
        </w:rPr>
      </w:pPr>
      <w:r>
        <w:rPr>
          <w:rFonts w:hint="eastAsia" w:ascii="方正小标宋_GBK" w:hAnsi="方正小标宋_GBK" w:eastAsia="方正小标宋_GBK" w:cs="方正小标宋_GBK"/>
          <w:b w:val="0"/>
          <w:bCs/>
          <w:i w:val="0"/>
          <w:caps w:val="0"/>
          <w:color w:val="000000" w:themeColor="text1"/>
          <w:spacing w:val="0"/>
          <w:sz w:val="44"/>
          <w:szCs w:val="44"/>
          <w:shd w:val="clear" w:color="auto" w:fill="FFFFFF"/>
          <w:lang w:val="en-US" w:eastAsia="zh-CN"/>
          <w14:textFill>
            <w14:solidFill>
              <w14:schemeClr w14:val="tx1"/>
            </w14:solidFill>
          </w14:textFill>
        </w:rPr>
        <w:t>2022年政府</w:t>
      </w:r>
      <w:r>
        <w:rPr>
          <w:rFonts w:hint="eastAsia" w:ascii="方正小标宋_GBK" w:hAnsi="方正小标宋_GBK" w:eastAsia="方正小标宋_GBK" w:cs="方正小标宋_GBK"/>
          <w:b w:val="0"/>
          <w:bCs/>
          <w:i w:val="0"/>
          <w:caps w:val="0"/>
          <w:color w:val="000000" w:themeColor="text1"/>
          <w:spacing w:val="0"/>
          <w:sz w:val="44"/>
          <w:szCs w:val="44"/>
          <w:shd w:val="clear" w:color="auto" w:fill="FFFFFF"/>
          <w14:textFill>
            <w14:solidFill>
              <w14:schemeClr w14:val="tx1"/>
            </w14:solidFill>
          </w14:textFill>
        </w:rPr>
        <w:t>信息公开工作年度报告</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13" w:beforeLines="100" w:beforeAutospacing="0" w:after="0" w:afterAutospacing="0" w:line="576" w:lineRule="exact"/>
        <w:ind w:right="0" w:rightChars="0" w:firstLine="640"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本年度报告根据《中华人民共和国政府信息公开条例》和国务院办公厅信息与政务公开办公室《关于印发&lt;中华人民共和国政府信息公开工作年度报告格式&gt;的通知》要求编制。报告中所列数据统计期限自2022年1月1日起，至2022年12月31日止。</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rightChars="0" w:firstLine="640" w:firstLineChars="200"/>
        <w:jc w:val="both"/>
        <w:textAlignment w:val="auto"/>
        <w:rPr>
          <w:rFonts w:hint="eastAsia" w:ascii="仿宋_GB2312" w:hAnsi="仿宋_GB2312" w:eastAsia="仿宋_GB2312" w:cs="仿宋_GB2312"/>
          <w:i w:val="0"/>
          <w:iCs w:val="0"/>
          <w:caps w:val="0"/>
          <w:color w:val="000000" w:themeColor="text1"/>
          <w:spacing w:val="0"/>
          <w:kern w:val="0"/>
          <w:sz w:val="32"/>
          <w:szCs w:val="32"/>
          <w:shd w:val="clear" w:fill="FFFFFF"/>
          <w:lang w:val="en-US" w:eastAsia="zh-CN" w:bidi="ar"/>
          <w14:textFill>
            <w14:solidFill>
              <w14:schemeClr w14:val="tx1"/>
            </w14:solidFill>
          </w14:textFill>
        </w:rPr>
      </w:pPr>
      <w:r>
        <w:rPr>
          <w:rFonts w:hint="eastAsia" w:ascii="黑体" w:hAnsi="黑体" w:eastAsia="黑体" w:cs="黑体"/>
          <w:b w:val="0"/>
          <w:bCs/>
          <w:i w:val="0"/>
          <w:caps w:val="0"/>
          <w:color w:val="000000" w:themeColor="text1"/>
          <w:spacing w:val="0"/>
          <w:sz w:val="32"/>
          <w:szCs w:val="32"/>
          <w:shd w:val="clear" w:color="auto" w:fill="FFFFFF"/>
          <w:lang w:eastAsia="zh-CN"/>
          <w14:textFill>
            <w14:solidFill>
              <w14:schemeClr w14:val="tx1"/>
            </w14:solidFill>
          </w14:textFill>
        </w:rPr>
        <w:t>一、</w:t>
      </w:r>
      <w:r>
        <w:rPr>
          <w:rFonts w:hint="eastAsia" w:ascii="黑体" w:hAnsi="黑体" w:eastAsia="黑体" w:cs="黑体"/>
          <w:b w:val="0"/>
          <w:bCs/>
          <w:i w:val="0"/>
          <w:caps w:val="0"/>
          <w:color w:val="000000" w:themeColor="text1"/>
          <w:spacing w:val="0"/>
          <w:sz w:val="32"/>
          <w:szCs w:val="32"/>
          <w:shd w:val="clear" w:color="auto" w:fill="FFFFFF"/>
          <w14:textFill>
            <w14:solidFill>
              <w14:schemeClr w14:val="tx1"/>
            </w14:solidFill>
          </w14:textFill>
        </w:rPr>
        <w:t>总体情况</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rightChars="0" w:firstLine="640"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2022年，我县坚持以习近平新时代中国特色社会主义思想为指导，深入贯彻国家、省、市关于政务公开的决策部署，以推进法治政府、服务型政府建设为目标，加强组织领导，落实工作责任，推动政务公开工作全面提质升级。</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6" w:lineRule="exact"/>
        <w:ind w:firstLine="642" w:firstLineChars="20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kern w:val="36"/>
          <w:sz w:val="32"/>
          <w:szCs w:val="32"/>
          <w:lang w:val="en-US" w:eastAsia="zh-CN" w:bidi="ar-SA"/>
          <w14:textFill>
            <w14:solidFill>
              <w14:schemeClr w14:val="tx1"/>
            </w14:solidFill>
          </w14:textFill>
        </w:rPr>
        <w:t>一是主动公开力度持续加大。</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根据省、市</w:t>
      </w:r>
      <w:r>
        <w:rPr>
          <w:rFonts w:hint="eastAsia" w:ascii="仿宋_GB2312" w:hAnsi="仿宋_GB2312" w:eastAsia="仿宋_GB2312" w:cs="仿宋_GB2312"/>
          <w:color w:val="000000" w:themeColor="text1"/>
          <w:sz w:val="32"/>
          <w:szCs w:val="32"/>
          <w:lang w:eastAsia="zh-CN"/>
          <w14:textFill>
            <w14:solidFill>
              <w14:schemeClr w14:val="tx1"/>
            </w14:solidFill>
          </w14:textFill>
        </w:rPr>
        <w:t>2022年政务公开工作要点，结合我县实际，及时印发《曲沃县2022年政务公开工作要点</w:t>
      </w:r>
      <w:r>
        <w:rPr>
          <w:rFonts w:hint="eastAsia" w:ascii="仿宋_GB2312" w:hAnsi="仿宋_GB2312" w:eastAsia="仿宋_GB2312" w:cs="仿宋_GB2312"/>
          <w:color w:val="000000" w:themeColor="text1"/>
          <w:sz w:val="32"/>
          <w:szCs w:val="32"/>
          <w14:textFill>
            <w14:solidFill>
              <w14:schemeClr w14:val="tx1"/>
            </w14:solidFill>
          </w14:textFill>
        </w:rPr>
        <w:t>》（曲政办发〔2022〕24号）</w:t>
      </w:r>
      <w:r>
        <w:rPr>
          <w:rFonts w:hint="eastAsia" w:ascii="仿宋_GB2312" w:hAnsi="仿宋_GB2312" w:eastAsia="仿宋_GB2312" w:cs="仿宋_GB2312"/>
          <w:color w:val="000000" w:themeColor="text1"/>
          <w:sz w:val="32"/>
          <w:szCs w:val="32"/>
          <w:lang w:eastAsia="zh-CN"/>
          <w14:textFill>
            <w14:solidFill>
              <w14:schemeClr w14:val="tx1"/>
            </w14:solidFill>
          </w14:textFill>
        </w:rPr>
        <w:t>。同时，严格落实</w:t>
      </w:r>
      <w:r>
        <w:rPr>
          <w:rFonts w:hint="eastAsia" w:ascii="仿宋_GB2312" w:hAnsi="仿宋_GB2312" w:eastAsia="仿宋_GB2312" w:cs="仿宋_GB2312"/>
          <w:color w:val="000000" w:themeColor="text1"/>
          <w:sz w:val="32"/>
          <w:szCs w:val="32"/>
          <w14:textFill>
            <w14:solidFill>
              <w14:schemeClr w14:val="tx1"/>
            </w14:solidFill>
          </w14:textFill>
        </w:rPr>
        <w:t>发文公开属性审查制度，</w:t>
      </w:r>
      <w:r>
        <w:rPr>
          <w:rFonts w:hint="eastAsia" w:ascii="仿宋_GB2312" w:hAnsi="仿宋_GB2312" w:eastAsia="仿宋_GB2312" w:cs="仿宋_GB2312"/>
          <w:color w:val="000000" w:themeColor="text1"/>
          <w:sz w:val="32"/>
          <w:szCs w:val="32"/>
          <w:lang w:eastAsia="zh-CN"/>
          <w14:textFill>
            <w14:solidFill>
              <w14:schemeClr w14:val="tx1"/>
            </w14:solidFill>
          </w14:textFill>
        </w:rPr>
        <w:t>做到了</w:t>
      </w:r>
      <w:r>
        <w:rPr>
          <w:rFonts w:hint="eastAsia" w:ascii="仿宋_GB2312" w:hAnsi="仿宋_GB2312" w:eastAsia="仿宋_GB2312" w:cs="仿宋_GB2312"/>
          <w:color w:val="000000" w:themeColor="text1"/>
          <w:sz w:val="32"/>
          <w:szCs w:val="32"/>
          <w14:textFill>
            <w14:solidFill>
              <w14:schemeClr w14:val="tx1"/>
            </w14:solidFill>
          </w14:textFill>
        </w:rPr>
        <w:t>“一件一审、发文必审”</w:t>
      </w:r>
      <w:r>
        <w:rPr>
          <w:rFonts w:hint="eastAsia" w:ascii="仿宋_GB2312" w:hAnsi="仿宋_GB2312" w:eastAsia="仿宋_GB2312" w:cs="仿宋_GB2312"/>
          <w:color w:val="000000" w:themeColor="text1"/>
          <w:sz w:val="32"/>
          <w:szCs w:val="32"/>
          <w:lang w:eastAsia="zh-CN"/>
          <w14:textFill>
            <w14:solidFill>
              <w14:schemeClr w14:val="tx1"/>
            </w14:solidFill>
          </w14:textFill>
        </w:rPr>
        <w:t>，全年</w:t>
      </w:r>
      <w:r>
        <w:rPr>
          <w:rFonts w:hint="eastAsia" w:ascii="仿宋_GB2312" w:hAnsi="仿宋_GB2312" w:eastAsia="仿宋_GB2312" w:cs="仿宋_GB2312"/>
          <w:color w:val="000000" w:themeColor="text1"/>
          <w:sz w:val="32"/>
          <w:szCs w:val="32"/>
          <w14:textFill>
            <w14:solidFill>
              <w14:schemeClr w14:val="tx1"/>
            </w14:solidFill>
          </w14:textFill>
        </w:rPr>
        <w:t>审查</w:t>
      </w:r>
      <w:r>
        <w:rPr>
          <w:rFonts w:hint="eastAsia" w:ascii="仿宋_GB2312" w:hAnsi="仿宋_GB2312" w:eastAsia="仿宋_GB2312" w:cs="仿宋_GB2312"/>
          <w:color w:val="000000" w:themeColor="text1"/>
          <w:sz w:val="32"/>
          <w:szCs w:val="32"/>
          <w:lang w:eastAsia="zh-CN"/>
          <w14:textFill>
            <w14:solidFill>
              <w14:schemeClr w14:val="tx1"/>
            </w14:solidFill>
          </w14:textFill>
        </w:rPr>
        <w:t>县政府及政府办各类发文</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122</w:t>
      </w:r>
      <w:r>
        <w:rPr>
          <w:rFonts w:hint="eastAsia" w:ascii="仿宋_GB2312" w:hAnsi="仿宋_GB2312" w:eastAsia="仿宋_GB2312" w:cs="仿宋_GB2312"/>
          <w:color w:val="000000" w:themeColor="text1"/>
          <w:sz w:val="32"/>
          <w:szCs w:val="32"/>
          <w14:textFill>
            <w14:solidFill>
              <w14:schemeClr w14:val="tx1"/>
            </w14:solidFill>
          </w14:textFill>
        </w:rPr>
        <w:t>件，主动公开1</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17</w:t>
      </w:r>
      <w:r>
        <w:rPr>
          <w:rFonts w:hint="eastAsia" w:ascii="仿宋_GB2312" w:hAnsi="仿宋_GB2312" w:eastAsia="仿宋_GB2312" w:cs="仿宋_GB2312"/>
          <w:color w:val="000000" w:themeColor="text1"/>
          <w:sz w:val="32"/>
          <w:szCs w:val="32"/>
          <w14:textFill>
            <w14:solidFill>
              <w14:schemeClr w14:val="tx1"/>
            </w14:solidFill>
          </w14:textFill>
        </w:rPr>
        <w:t>件</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严格落实政务信息发布制度，</w:t>
      </w:r>
      <w:r>
        <w:rPr>
          <w:rFonts w:hint="eastAsia" w:ascii="仿宋_GB2312" w:hAnsi="仿宋_GB2312" w:eastAsia="仿宋_GB2312" w:cs="仿宋_GB2312"/>
          <w:color w:val="000000" w:themeColor="text1"/>
          <w:sz w:val="32"/>
          <w:szCs w:val="32"/>
          <w:lang w:eastAsia="zh-CN"/>
          <w14:textFill>
            <w14:solidFill>
              <w14:schemeClr w14:val="tx1"/>
            </w14:solidFill>
          </w14:textFill>
        </w:rPr>
        <w:t>依托县政府门户网站，</w:t>
      </w:r>
      <w:r>
        <w:rPr>
          <w:rFonts w:hint="eastAsia" w:ascii="仿宋_GB2312" w:hAnsi="仿宋_GB2312" w:eastAsia="仿宋_GB2312" w:cs="仿宋_GB2312"/>
          <w:color w:val="000000" w:themeColor="text1"/>
          <w:sz w:val="32"/>
          <w:szCs w:val="32"/>
          <w14:textFill>
            <w14:solidFill>
              <w14:schemeClr w14:val="tx1"/>
            </w14:solidFill>
          </w14:textFill>
        </w:rPr>
        <w:t>及时发布政务要闻、通知公告等各类政务信息</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4400</w:t>
      </w:r>
      <w:r>
        <w:rPr>
          <w:rFonts w:hint="eastAsia" w:ascii="仿宋_GB2312" w:hAnsi="仿宋_GB2312" w:eastAsia="仿宋_GB2312" w:cs="仿宋_GB2312"/>
          <w:color w:val="000000" w:themeColor="text1"/>
          <w:sz w:val="32"/>
          <w:szCs w:val="32"/>
          <w14:textFill>
            <w14:solidFill>
              <w14:schemeClr w14:val="tx1"/>
            </w14:solidFill>
          </w14:textFill>
        </w:rPr>
        <w:t>余条</w:t>
      </w:r>
      <w:r>
        <w:rPr>
          <w:rFonts w:hint="eastAsia" w:ascii="仿宋_GB2312" w:hAnsi="仿宋_GB2312" w:eastAsia="仿宋_GB2312" w:cs="仿宋_GB2312"/>
          <w:color w:val="000000" w:themeColor="text1"/>
          <w:sz w:val="32"/>
          <w:szCs w:val="32"/>
          <w:lang w:eastAsia="zh-CN"/>
          <w14:textFill>
            <w14:solidFill>
              <w14:schemeClr w14:val="tx1"/>
            </w14:solidFill>
          </w14:textFill>
        </w:rPr>
        <w:t>，进一步推动了县政府</w:t>
      </w:r>
      <w:r>
        <w:rPr>
          <w:rFonts w:hint="eastAsia" w:ascii="仿宋_GB2312" w:hAnsi="仿宋_GB2312" w:eastAsia="仿宋_GB2312" w:cs="仿宋_GB2312"/>
          <w:color w:val="000000" w:themeColor="text1"/>
          <w:sz w:val="32"/>
          <w:szCs w:val="32"/>
          <w14:textFill>
            <w14:solidFill>
              <w14:schemeClr w14:val="tx1"/>
            </w14:solidFill>
          </w14:textFill>
        </w:rPr>
        <w:t>决策、执行、管理、服务、结果“五公开”。</w:t>
      </w:r>
    </w:p>
    <w:p>
      <w:pPr>
        <w:pStyle w:val="4"/>
        <w:keepNext w:val="0"/>
        <w:keepLines w:val="0"/>
        <w:pageBreakBefore w:val="0"/>
        <w:kinsoku/>
        <w:wordWrap/>
        <w:overflowPunct/>
        <w:topLinePunct w:val="0"/>
        <w:autoSpaceDE/>
        <w:autoSpaceDN/>
        <w:bidi w:val="0"/>
        <w:adjustRightInd/>
        <w:snapToGrid/>
        <w:spacing w:before="0" w:beforeAutospacing="0" w:after="0" w:afterAutospacing="0" w:line="576" w:lineRule="exact"/>
        <w:ind w:firstLine="642" w:firstLineChars="200"/>
        <w:textAlignment w:val="auto"/>
        <w:rPr>
          <w:rFonts w:hint="default"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pPr>
      <w:r>
        <w:rPr>
          <w:rFonts w:hint="eastAsia" w:ascii="楷体_GB2312" w:hAnsi="楷体_GB2312" w:eastAsia="楷体_GB2312" w:cs="楷体_GB2312"/>
          <w:b/>
          <w:bCs/>
          <w:color w:val="000000" w:themeColor="text1"/>
          <w:kern w:val="36"/>
          <w:sz w:val="32"/>
          <w:szCs w:val="32"/>
          <w:lang w:val="en-US" w:eastAsia="zh-CN" w:bidi="ar-SA"/>
          <w14:textFill>
            <w14:solidFill>
              <w14:schemeClr w14:val="tx1"/>
            </w14:solidFill>
          </w14:textFill>
        </w:rPr>
        <w:t>二是依申请公开答复流程更加规范。</w:t>
      </w:r>
      <w:r>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t>进一步健全完善依申请公开申请接收、登记、补正、答复、送达等内部流程，规范开展依申请公开答复办理工作。特别是，在办理答复过程中，重视情绪引导，耐心询问释疑，并从实际出发增加“便民答复”内容，为申请人尽可能提供周到服务。2022年，我县共受理政府信息依申请公开10件。其中，县政府办办理答复7件，未产生行政复议或行政诉讼案件；县自然资源局办理答复3件，产生行政复议案件1件，复议结果为“维持”。</w:t>
      </w:r>
    </w:p>
    <w:p>
      <w:pPr>
        <w:keepNext w:val="0"/>
        <w:keepLines w:val="0"/>
        <w:pageBreakBefore w:val="0"/>
        <w:kinsoku/>
        <w:wordWrap/>
        <w:overflowPunct/>
        <w:topLinePunct w:val="0"/>
        <w:autoSpaceDE/>
        <w:autoSpaceDN/>
        <w:bidi w:val="0"/>
        <w:adjustRightInd/>
        <w:snapToGrid/>
        <w:spacing w:beforeAutospacing="0" w:afterAutospacing="0" w:line="576" w:lineRule="exact"/>
        <w:ind w:firstLine="642" w:firstLineChars="200"/>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bCs/>
          <w:color w:val="000000" w:themeColor="text1"/>
          <w:kern w:val="36"/>
          <w:sz w:val="32"/>
          <w:szCs w:val="32"/>
          <w:lang w:val="en-US" w:eastAsia="zh-CN" w:bidi="ar-SA"/>
          <w14:textFill>
            <w14:solidFill>
              <w14:schemeClr w14:val="tx1"/>
            </w14:solidFill>
          </w14:textFill>
        </w:rPr>
        <w:t>三是政策性文件解读不断深化。</w:t>
      </w:r>
      <w:r>
        <w:rPr>
          <w:rFonts w:hint="eastAsia" w:ascii="仿宋" w:hAnsi="仿宋" w:eastAsia="仿宋" w:cs="仿宋"/>
          <w:color w:val="000000" w:themeColor="text1"/>
          <w:sz w:val="32"/>
          <w:szCs w:val="32"/>
          <w:lang w:val="en-US" w:eastAsia="zh-CN"/>
          <w14:textFill>
            <w14:solidFill>
              <w14:schemeClr w14:val="tx1"/>
            </w14:solidFill>
          </w14:textFill>
        </w:rPr>
        <w:t>以群众“听得懂”“好明白”“能理解”为原则，将文件政策背景、决策依据、出台目的、重要举措等方面的解读作为重点，对文件进行针</w:t>
      </w:r>
      <w:r>
        <w:rPr>
          <w:rFonts w:hint="eastAsia" w:ascii="仿宋_GB2312" w:hAnsi="仿宋_GB2312" w:eastAsia="仿宋_GB2312" w:cs="仿宋_GB2312"/>
          <w:sz w:val="32"/>
          <w:szCs w:val="32"/>
          <w:lang w:val="en-US" w:eastAsia="zh-CN"/>
        </w:rPr>
        <w:t>对性、多样化解读。2022年</w:t>
      </w:r>
      <w:r>
        <w:rPr>
          <w:rFonts w:hint="eastAsia" w:ascii="仿宋_GB2312" w:hAnsi="仿宋_GB2312" w:eastAsia="仿宋_GB2312" w:cs="仿宋_GB2312"/>
          <w:color w:val="000000" w:themeColor="text1"/>
          <w:sz w:val="32"/>
          <w:szCs w:val="32"/>
          <w14:textFill>
            <w14:solidFill>
              <w14:schemeClr w14:val="tx1"/>
            </w14:solidFill>
          </w14:textFill>
        </w:rPr>
        <w:t>制发的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39</w:t>
      </w:r>
      <w:r>
        <w:rPr>
          <w:rFonts w:hint="eastAsia" w:ascii="仿宋_GB2312" w:hAnsi="仿宋_GB2312" w:eastAsia="仿宋_GB2312" w:cs="仿宋_GB2312"/>
          <w:color w:val="000000" w:themeColor="text1"/>
          <w:sz w:val="32"/>
          <w:szCs w:val="32"/>
          <w14:textFill>
            <w14:solidFill>
              <w14:schemeClr w14:val="tx1"/>
            </w14:solidFill>
          </w14:textFill>
        </w:rPr>
        <w:t>个政策性文件均进行了同步解读,解读比例100%</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非纯文字解读率</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100</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sz w:val="32"/>
          <w:szCs w:val="32"/>
          <w:lang w:val="en-US" w:eastAsia="zh-CN"/>
        </w:rPr>
        <w:t>。同时，为拓宽政策传播范围，借助《曲沃新闻》栏目和“沃发布”公众号，对《曲沃县人民政府办公室关于印发工业助企纾困若干措施、服务业助企纾困若干措施、中小微企业助企纾困若干措施的通知》和《曲沃县人民政府办公室关于印发曲沃县自建房安全专项整治实施方案的通知》等文件，通过文字、图片、视频的形式进行了深度解读，进一步提升了文件的知晓率，为相关政策的高质量落实奠定了良好基础。</w:t>
      </w:r>
    </w:p>
    <w:p>
      <w:pPr>
        <w:keepNext w:val="0"/>
        <w:keepLines w:val="0"/>
        <w:pageBreakBefore w:val="0"/>
        <w:kinsoku/>
        <w:wordWrap/>
        <w:overflowPunct/>
        <w:topLinePunct w:val="0"/>
        <w:autoSpaceDE/>
        <w:autoSpaceDN/>
        <w:bidi w:val="0"/>
        <w:adjustRightInd/>
        <w:snapToGrid/>
        <w:spacing w:beforeAutospacing="0" w:afterAutospacing="0" w:line="576" w:lineRule="exact"/>
        <w:ind w:firstLine="642"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color w:val="000000" w:themeColor="text1"/>
          <w:kern w:val="36"/>
          <w:sz w:val="32"/>
          <w:szCs w:val="32"/>
          <w:lang w:val="en-US" w:eastAsia="zh-CN" w:bidi="ar-SA"/>
          <w14:textFill>
            <w14:solidFill>
              <w14:schemeClr w14:val="tx1"/>
            </w14:solidFill>
          </w14:textFill>
        </w:rPr>
        <w:t>四是政务公开工作水平全面提升。</w:t>
      </w:r>
      <w:r>
        <w:rPr>
          <w:rFonts w:hint="eastAsia" w:ascii="仿宋_GB2312" w:hAnsi="仿宋_GB2312" w:eastAsia="仿宋_GB2312" w:cs="仿宋_GB2312"/>
          <w:b/>
          <w:bCs/>
          <w:sz w:val="32"/>
          <w:szCs w:val="32"/>
          <w:lang w:val="en-US" w:eastAsia="zh-CN"/>
        </w:rPr>
        <w:t>一方面，不断完善网站建设，</w:t>
      </w:r>
      <w:r>
        <w:rPr>
          <w:rFonts w:hint="eastAsia" w:ascii="仿宋_GB2312" w:hAnsi="仿宋_GB2312" w:eastAsia="仿宋_GB2312" w:cs="仿宋_GB2312"/>
          <w:sz w:val="32"/>
          <w:szCs w:val="32"/>
          <w:lang w:val="en-US" w:eastAsia="zh-CN"/>
        </w:rPr>
        <w:t>完成县政府门户网站二级和电子政务外网三级等保测评，以及IPv6改造、无障碍与适老化建设等工作，增设规范性文件、重大行政决策、</w:t>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"http://www.quwo.gov.cn/zfxxgk/zdlyxxgk/snbt_9808/"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涉农补贴</w:t>
      </w:r>
      <w:r>
        <w:rPr>
          <w:rFonts w:hint="eastAsia" w:ascii="仿宋_GB2312" w:hAnsi="仿宋_GB2312" w:eastAsia="仿宋_GB2312" w:cs="仿宋_GB2312"/>
          <w:sz w:val="32"/>
          <w:szCs w:val="32"/>
          <w:lang w:val="en-US" w:eastAsia="zh-CN"/>
        </w:rPr>
        <w:fldChar w:fldCharType="end"/>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"http://www.quwo.gov.cn/zfxxgk/zdlyxxgk/kdyxtzxxgk/"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扩大有效投资</w:t>
      </w:r>
      <w:r>
        <w:rPr>
          <w:rFonts w:hint="eastAsia" w:ascii="仿宋_GB2312" w:hAnsi="仿宋_GB2312" w:eastAsia="仿宋_GB2312" w:cs="仿宋_GB2312"/>
          <w:sz w:val="32"/>
          <w:szCs w:val="32"/>
          <w:lang w:val="en-US" w:eastAsia="zh-CN"/>
        </w:rPr>
        <w:fldChar w:fldCharType="end"/>
      </w:r>
      <w:r>
        <w:rPr>
          <w:rFonts w:hint="eastAsia" w:ascii="仿宋_GB2312" w:hAnsi="仿宋_GB2312" w:eastAsia="仿宋_GB2312" w:cs="仿宋_GB2312"/>
          <w:sz w:val="32"/>
          <w:szCs w:val="32"/>
          <w:lang w:val="en-US" w:eastAsia="zh-CN"/>
        </w:rPr>
        <w:t>、减税降费等多个重点领域栏目，进一步提升了政府网站的安全性和实用性，夯实了政府网站作为政务公开的主平台作用。</w:t>
      </w:r>
      <w:r>
        <w:rPr>
          <w:rFonts w:hint="eastAsia" w:ascii="仿宋_GB2312" w:hAnsi="仿宋_GB2312" w:eastAsia="仿宋_GB2312" w:cs="仿宋_GB2312"/>
          <w:b/>
          <w:bCs/>
          <w:sz w:val="32"/>
          <w:szCs w:val="32"/>
          <w:lang w:val="en-US" w:eastAsia="zh-CN"/>
        </w:rPr>
        <w:t>另一方面，加强队伍建设，</w:t>
      </w:r>
      <w:r>
        <w:rPr>
          <w:rFonts w:hint="eastAsia" w:ascii="仿宋_GB2312" w:hAnsi="仿宋_GB2312" w:eastAsia="仿宋_GB2312" w:cs="仿宋_GB2312"/>
          <w:sz w:val="32"/>
          <w:szCs w:val="32"/>
          <w:lang w:val="en-US" w:eastAsia="zh-CN"/>
        </w:rPr>
        <w:t>安排工作人员积极参加上级组织举办的各类政务公开业务培训，定期组织相关单位开展政务公开业务知识学习交流，全县各单位政务公开工作能力得到进一步提升。</w:t>
      </w:r>
      <w:r>
        <w:rPr>
          <w:rFonts w:hint="eastAsia" w:ascii="仿宋_GB2312" w:hAnsi="仿宋_GB2312" w:eastAsia="仿宋_GB2312" w:cs="仿宋_GB2312"/>
          <w:b w:val="0"/>
          <w:bCs w:val="0"/>
          <w:sz w:val="32"/>
          <w:szCs w:val="32"/>
          <w:lang w:val="en-US" w:eastAsia="zh-CN"/>
        </w:rPr>
        <w:t>同时</w:t>
      </w:r>
      <w:r>
        <w:rPr>
          <w:rFonts w:hint="eastAsia" w:ascii="仿宋_GB2312" w:hAnsi="仿宋_GB2312" w:eastAsia="仿宋_GB2312" w:cs="仿宋_GB2312"/>
          <w:sz w:val="32"/>
          <w:szCs w:val="32"/>
          <w:lang w:val="en-US" w:eastAsia="zh-CN"/>
        </w:rPr>
        <w:t>，将政务公开工作纳入全县目标责任考核范畴，以考核促落实，有力促进了我县政务公开工作不断向更高水平迈进。</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215" w:right="0" w:firstLine="640" w:firstLineChars="200"/>
        <w:jc w:val="both"/>
        <w:textAlignment w:val="auto"/>
        <w:rPr>
          <w:rFonts w:hint="eastAsia" w:ascii="黑体" w:hAnsi="黑体" w:eastAsia="黑体" w:cs="黑体"/>
          <w:b w:val="0"/>
          <w:bCs/>
          <w:i w:val="0"/>
          <w:caps w:val="0"/>
          <w:color w:val="000000" w:themeColor="text1"/>
          <w:spacing w:val="0"/>
          <w:sz w:val="32"/>
          <w:szCs w:val="32"/>
          <w:shd w:val="clear" w:color="auto" w:fill="FFFFFF"/>
          <w14:textFill>
            <w14:solidFill>
              <w14:schemeClr w14:val="tx1"/>
            </w14:solidFill>
          </w14:textFill>
        </w:rPr>
      </w:pPr>
      <w:r>
        <w:rPr>
          <w:rFonts w:hint="eastAsia" w:ascii="黑体" w:hAnsi="黑体" w:eastAsia="黑体" w:cs="黑体"/>
          <w:b w:val="0"/>
          <w:bCs/>
          <w:i w:val="0"/>
          <w:caps w:val="0"/>
          <w:color w:val="000000" w:themeColor="text1"/>
          <w:spacing w:val="0"/>
          <w:sz w:val="32"/>
          <w:szCs w:val="32"/>
          <w:shd w:val="clear" w:color="auto" w:fill="FFFFFF"/>
          <w14:textFill>
            <w14:solidFill>
              <w14:schemeClr w14:val="tx1"/>
            </w14:solidFill>
          </w14:textFill>
        </w:rPr>
        <w:t>二、主动公开政府信息情况</w:t>
      </w:r>
    </w:p>
    <w:tbl>
      <w:tblPr>
        <w:tblStyle w:val="9"/>
        <w:tblW w:w="97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2435"/>
        <w:gridCol w:w="2435"/>
        <w:gridCol w:w="2435"/>
        <w:gridCol w:w="24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第二十条第（一）项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信息内容</w:t>
            </w:r>
          </w:p>
        </w:tc>
        <w:tc>
          <w:tcPr>
            <w:tcW w:w="2435"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本年制发件数</w:t>
            </w:r>
          </w:p>
        </w:tc>
        <w:tc>
          <w:tcPr>
            <w:tcW w:w="2435"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本年废止件数</w:t>
            </w:r>
          </w:p>
        </w:tc>
        <w:tc>
          <w:tcPr>
            <w:tcW w:w="2435"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现行有效件数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规章</w:t>
            </w:r>
          </w:p>
        </w:tc>
        <w:tc>
          <w:tcPr>
            <w:tcW w:w="24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w:t>
            </w:r>
          </w:p>
        </w:tc>
        <w:tc>
          <w:tcPr>
            <w:tcW w:w="24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w:t>
            </w:r>
          </w:p>
        </w:tc>
        <w:tc>
          <w:tcPr>
            <w:tcW w:w="24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行政规范性文件</w:t>
            </w:r>
          </w:p>
        </w:tc>
        <w:tc>
          <w:tcPr>
            <w:tcW w:w="24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w:t>
            </w:r>
          </w:p>
        </w:tc>
        <w:tc>
          <w:tcPr>
            <w:tcW w:w="24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10</w:t>
            </w:r>
            <w:bookmarkStart w:id="0" w:name="_GoBack"/>
            <w:bookmarkEnd w:id="0"/>
          </w:p>
        </w:tc>
        <w:tc>
          <w:tcPr>
            <w:tcW w:w="24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第二十条第（五）项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信息内容</w:t>
            </w:r>
          </w:p>
        </w:tc>
        <w:tc>
          <w:tcPr>
            <w:tcW w:w="7305" w:type="dxa"/>
            <w:gridSpan w:val="3"/>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行政许可</w:t>
            </w:r>
          </w:p>
        </w:tc>
        <w:tc>
          <w:tcPr>
            <w:tcW w:w="7305" w:type="dxa"/>
            <w:gridSpan w:val="3"/>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19683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第二十条第（六）项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信息内容</w:t>
            </w:r>
          </w:p>
        </w:tc>
        <w:tc>
          <w:tcPr>
            <w:tcW w:w="7305" w:type="dxa"/>
            <w:gridSpan w:val="3"/>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行政处罚</w:t>
            </w:r>
          </w:p>
        </w:tc>
        <w:tc>
          <w:tcPr>
            <w:tcW w:w="7305" w:type="dxa"/>
            <w:gridSpan w:val="3"/>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2856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行政强制</w:t>
            </w:r>
          </w:p>
        </w:tc>
        <w:tc>
          <w:tcPr>
            <w:tcW w:w="7305" w:type="dxa"/>
            <w:gridSpan w:val="3"/>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3267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第二十条第（八）项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信息内容</w:t>
            </w:r>
          </w:p>
        </w:tc>
        <w:tc>
          <w:tcPr>
            <w:tcW w:w="7305" w:type="dxa"/>
            <w:gridSpan w:val="3"/>
            <w:tcBorders>
              <w:top w:val="nil"/>
              <w:left w:val="nil"/>
              <w:bottom w:val="single" w:color="auto" w:sz="8" w:space="0"/>
              <w:right w:val="single" w:color="000000"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本年收费金额（单位：万元）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行政事业性收费</w:t>
            </w:r>
          </w:p>
        </w:tc>
        <w:tc>
          <w:tcPr>
            <w:tcW w:w="7305" w:type="dxa"/>
            <w:gridSpan w:val="3"/>
            <w:tcBorders>
              <w:top w:val="nil"/>
              <w:left w:val="nil"/>
              <w:bottom w:val="single" w:color="auto" w:sz="8" w:space="0"/>
              <w:right w:val="single" w:color="000000" w:sz="8" w:space="0"/>
            </w:tcBorders>
            <w:noWrap w:val="0"/>
            <w:tcMar>
              <w:left w:w="57" w:type="dxa"/>
              <w:right w:w="57" w:type="dxa"/>
            </w:tcMar>
            <w:vAlign w:val="center"/>
          </w:tcPr>
          <w:p>
            <w:pPr>
              <w:jc w:val="center"/>
              <w:rPr>
                <w:rFonts w:hint="default" w:ascii="宋体" w:eastAsia="宋体"/>
                <w:color w:val="000000" w:themeColor="text1"/>
                <w:sz w:val="24"/>
                <w:szCs w:val="24"/>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458.6673</w:t>
            </w:r>
          </w:p>
        </w:tc>
      </w:tr>
    </w:tbl>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黑体" w:hAnsi="黑体" w:eastAsia="黑体" w:cs="黑体"/>
          <w:b w:val="0"/>
          <w:bCs/>
          <w:i w:val="0"/>
          <w:caps w:val="0"/>
          <w:color w:val="000000" w:themeColor="text1"/>
          <w:spacing w:val="0"/>
          <w:sz w:val="32"/>
          <w:szCs w:val="32"/>
          <w:shd w:val="clear" w:color="auto" w:fill="FFFFFF"/>
          <w14:textFill>
            <w14:solidFill>
              <w14:schemeClr w14:val="tx1"/>
            </w14:solidFill>
          </w14:textFill>
        </w:rPr>
      </w:pPr>
      <w:r>
        <w:rPr>
          <w:rFonts w:hint="eastAsia" w:ascii="黑体" w:hAnsi="黑体" w:eastAsia="黑体" w:cs="黑体"/>
          <w:b w:val="0"/>
          <w:bCs/>
          <w:i w:val="0"/>
          <w:caps w:val="0"/>
          <w:color w:val="000000" w:themeColor="text1"/>
          <w:spacing w:val="0"/>
          <w:sz w:val="32"/>
          <w:szCs w:val="32"/>
          <w:shd w:val="clear" w:color="auto" w:fill="FFFFFF"/>
          <w14:textFill>
            <w14:solidFill>
              <w14:schemeClr w14:val="tx1"/>
            </w14:solidFill>
          </w14:textFill>
        </w:rPr>
        <w:t>三、收到和处理政府信息公开申请情况</w:t>
      </w:r>
    </w:p>
    <w:tbl>
      <w:tblPr>
        <w:tblStyle w:val="9"/>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768"/>
        <w:gridCol w:w="943"/>
        <w:gridCol w:w="3220"/>
        <w:gridCol w:w="688"/>
        <w:gridCol w:w="688"/>
        <w:gridCol w:w="688"/>
        <w:gridCol w:w="688"/>
        <w:gridCol w:w="688"/>
        <w:gridCol w:w="688"/>
        <w:gridCol w:w="689"/>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31" w:type="dxa"/>
            <w:gridSpan w:val="3"/>
            <w:vMerge w:val="restart"/>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ascii="楷体" w:hAnsi="楷体" w:eastAsia="楷体" w:cs="楷体"/>
                <w:color w:val="000000" w:themeColor="text1"/>
                <w:kern w:val="0"/>
                <w:sz w:val="20"/>
                <w:szCs w:val="20"/>
                <w:lang w:val="en-US" w:eastAsia="zh-CN" w:bidi="ar"/>
                <w14:textFill>
                  <w14:solidFill>
                    <w14:schemeClr w14:val="tx1"/>
                  </w14:solidFill>
                </w14:textFill>
              </w:rPr>
              <w:t>（本列数据的勾稽关系为：第一项加第二项之和，等于第三项加第四项之和）</w:t>
            </w:r>
          </w:p>
        </w:tc>
        <w:tc>
          <w:tcPr>
            <w:tcW w:w="4817" w:type="dxa"/>
            <w:gridSpan w:val="7"/>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31" w:type="dxa"/>
            <w:gridSpan w:val="3"/>
            <w:vMerge w:val="continue"/>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rPr>
                <w:rFonts w:hint="eastAsia" w:ascii="宋体"/>
                <w:color w:val="000000" w:themeColor="text1"/>
                <w:sz w:val="24"/>
                <w:szCs w:val="24"/>
                <w14:textFill>
                  <w14:solidFill>
                    <w14:schemeClr w14:val="tx1"/>
                  </w14:solidFill>
                </w14:textFill>
              </w:rPr>
            </w:pPr>
          </w:p>
        </w:tc>
        <w:tc>
          <w:tcPr>
            <w:tcW w:w="688" w:type="dxa"/>
            <w:vMerge w:val="restart"/>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自然人</w:t>
            </w:r>
          </w:p>
        </w:tc>
        <w:tc>
          <w:tcPr>
            <w:tcW w:w="3440" w:type="dxa"/>
            <w:gridSpan w:val="5"/>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法人或其他组织</w:t>
            </w:r>
          </w:p>
        </w:tc>
        <w:tc>
          <w:tcPr>
            <w:tcW w:w="689" w:type="dxa"/>
            <w:vMerge w:val="restart"/>
            <w:tcBorders>
              <w:top w:val="single" w:color="auto" w:sz="8" w:space="0"/>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31" w:type="dxa"/>
            <w:gridSpan w:val="3"/>
            <w:vMerge w:val="continue"/>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rPr>
                <w:rFonts w:hint="eastAsia" w:ascii="宋体"/>
                <w:color w:val="000000" w:themeColor="text1"/>
                <w:sz w:val="24"/>
                <w:szCs w:val="24"/>
                <w14:textFill>
                  <w14:solidFill>
                    <w14:schemeClr w14:val="tx1"/>
                  </w14:solidFill>
                </w14:textFill>
              </w:rPr>
            </w:pPr>
          </w:p>
        </w:tc>
        <w:tc>
          <w:tcPr>
            <w:tcW w:w="688" w:type="dxa"/>
            <w:vMerge w:val="continue"/>
            <w:tcBorders>
              <w:top w:val="nil"/>
              <w:left w:val="nil"/>
              <w:bottom w:val="single"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商业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企业</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科研</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机构</w:t>
            </w:r>
          </w:p>
        </w:tc>
        <w:tc>
          <w:tcPr>
            <w:tcW w:w="688"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社会公益组织</w:t>
            </w:r>
          </w:p>
        </w:tc>
        <w:tc>
          <w:tcPr>
            <w:tcW w:w="688"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法律服务机构</w:t>
            </w:r>
          </w:p>
        </w:tc>
        <w:tc>
          <w:tcPr>
            <w:tcW w:w="688"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其他</w:t>
            </w:r>
          </w:p>
        </w:tc>
        <w:tc>
          <w:tcPr>
            <w:tcW w:w="689" w:type="dxa"/>
            <w:vMerge w:val="continue"/>
            <w:tcBorders>
              <w:top w:val="single" w:color="auto" w:sz="8" w:space="0"/>
              <w:left w:val="nil"/>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31"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一、本年新收政府信息公开申请数量</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10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10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31"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二、上年结转政府信息公开申请数量</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restart"/>
            <w:tcBorders>
              <w:top w:val="nil"/>
              <w:left w:val="single" w:color="auto" w:sz="8" w:space="0"/>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三、本年度办理结果</w:t>
            </w:r>
          </w:p>
        </w:tc>
        <w:tc>
          <w:tcPr>
            <w:tcW w:w="4163" w:type="dxa"/>
            <w:gridSpan w:val="2"/>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（一）予以公开</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9</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9"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9</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4163" w:type="dxa"/>
            <w:gridSpan w:val="2"/>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（二）部分公开</w:t>
            </w:r>
            <w:r>
              <w:rPr>
                <w:rFonts w:hint="eastAsia" w:ascii="楷体" w:hAnsi="楷体" w:eastAsia="楷体" w:cs="楷体"/>
                <w:color w:val="000000" w:themeColor="text1"/>
                <w:kern w:val="0"/>
                <w:sz w:val="20"/>
                <w:szCs w:val="20"/>
                <w:lang w:val="en-US" w:eastAsia="zh-CN" w:bidi="ar"/>
                <w14:textFill>
                  <w14:solidFill>
                    <w14:schemeClr w14:val="tx1"/>
                  </w14:solidFill>
                </w14:textFill>
              </w:rPr>
              <w:t>（区分处理的，只计这一情形，不计其他情形）</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restart"/>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（三）不予公开</w:t>
            </w:r>
          </w:p>
        </w:tc>
        <w:tc>
          <w:tcPr>
            <w:tcW w:w="322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1.属于国家秘密</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9"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2.其他法律行政法规禁止公开</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3.危及“三安全一稳定”</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4.保护第三方合法权益</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5.属于三类内部事务信息</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6.属于四类过程性信息</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7.属于行政执法案卷</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8.属于行政查询事项</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restart"/>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（四）无法提供</w:t>
            </w:r>
          </w:p>
        </w:tc>
        <w:tc>
          <w:tcPr>
            <w:tcW w:w="322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1.本机关不掌握相关政府信息</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2.没有现成信息需要另行制作</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3.补正后申请内容仍不明确</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restart"/>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（五）不予处理</w:t>
            </w:r>
          </w:p>
        </w:tc>
        <w:tc>
          <w:tcPr>
            <w:tcW w:w="322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1.信访举报投诉类申请</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2.重复申请</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3.要求提供公开出版物</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4.无正当理由大量反复申请</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79" w:hRule="atLeast"/>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5.要求行政机关确认或重新出具已获取信息</w:t>
            </w:r>
          </w:p>
        </w:tc>
        <w:tc>
          <w:tcPr>
            <w:tcW w:w="688"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restart"/>
            <w:tcBorders>
              <w:top w:val="outset" w:color="auto" w:sz="8" w:space="0"/>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（六）其他处理</w:t>
            </w:r>
          </w:p>
        </w:tc>
        <w:tc>
          <w:tcPr>
            <w:tcW w:w="322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1.申请人无正当理由逾期不补正、行政机关不再处理其政府信息公开申请</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outset" w:color="auto" w:sz="8" w:space="0"/>
              <w:left w:val="nil"/>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2.申请人逾期未按收费通知要求缴纳费用、行政机关不再处理其政府信息公开申请</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cs="Calibri"/>
                <w:color w:val="000000" w:themeColor="text1"/>
                <w:kern w:val="0"/>
                <w:sz w:val="20"/>
                <w:szCs w:val="20"/>
                <w:lang w:val="en-US" w:eastAsia="zh-CN" w:bidi="ar"/>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outset" w:color="auto" w:sz="8" w:space="0"/>
              <w:left w:val="nil"/>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3.其他</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4163" w:type="dxa"/>
            <w:gridSpan w:val="2"/>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（七）总计</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31"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四、结转下年度继续办理</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0</w:t>
            </w:r>
          </w:p>
        </w:tc>
      </w:tr>
    </w:tbl>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黑体" w:hAnsi="黑体" w:eastAsia="黑体" w:cs="黑体"/>
          <w:b w:val="0"/>
          <w:bCs/>
          <w:i w:val="0"/>
          <w:caps w:val="0"/>
          <w:color w:val="000000" w:themeColor="text1"/>
          <w:spacing w:val="0"/>
          <w:sz w:val="32"/>
          <w:szCs w:val="32"/>
          <w:shd w:val="clear" w:color="auto" w:fill="FFFFFF"/>
          <w14:textFill>
            <w14:solidFill>
              <w14:schemeClr w14:val="tx1"/>
            </w14:solidFill>
          </w14:textFill>
        </w:rPr>
      </w:pPr>
      <w:r>
        <w:rPr>
          <w:rFonts w:hint="eastAsia" w:ascii="黑体" w:hAnsi="黑体" w:eastAsia="黑体" w:cs="黑体"/>
          <w:b w:val="0"/>
          <w:bCs/>
          <w:i w:val="0"/>
          <w:caps w:val="0"/>
          <w:color w:val="000000" w:themeColor="text1"/>
          <w:spacing w:val="0"/>
          <w:sz w:val="32"/>
          <w:szCs w:val="32"/>
          <w:shd w:val="clear" w:color="auto" w:fill="FFFFFF"/>
          <w:lang w:eastAsia="zh-CN"/>
          <w14:textFill>
            <w14:solidFill>
              <w14:schemeClr w14:val="tx1"/>
            </w14:solidFill>
          </w14:textFill>
        </w:rPr>
        <w:t>四、</w:t>
      </w:r>
      <w:r>
        <w:rPr>
          <w:rFonts w:hint="eastAsia" w:ascii="黑体" w:hAnsi="黑体" w:eastAsia="黑体" w:cs="黑体"/>
          <w:b w:val="0"/>
          <w:bCs/>
          <w:i w:val="0"/>
          <w:caps w:val="0"/>
          <w:color w:val="000000" w:themeColor="text1"/>
          <w:spacing w:val="0"/>
          <w:sz w:val="32"/>
          <w:szCs w:val="32"/>
          <w:shd w:val="clear" w:color="auto" w:fill="FFFFFF"/>
          <w14:textFill>
            <w14:solidFill>
              <w14:schemeClr w14:val="tx1"/>
            </w14:solidFill>
          </w14:textFill>
        </w:rPr>
        <w:t>政府信息公开行政复议、行政诉讼情况</w:t>
      </w:r>
    </w:p>
    <w:tbl>
      <w:tblPr>
        <w:tblStyle w:val="9"/>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649"/>
        <w:gridCol w:w="649"/>
        <w:gridCol w:w="649"/>
        <w:gridCol w:w="649"/>
        <w:gridCol w:w="649"/>
        <w:gridCol w:w="649"/>
        <w:gridCol w:w="649"/>
        <w:gridCol w:w="650"/>
        <w:gridCol w:w="650"/>
        <w:gridCol w:w="650"/>
        <w:gridCol w:w="651"/>
        <w:gridCol w:w="651"/>
        <w:gridCol w:w="651"/>
        <w:gridCol w:w="651"/>
        <w:gridCol w:w="651"/>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77" w:hRule="atLeast"/>
          <w:jc w:val="center"/>
        </w:trPr>
        <w:tc>
          <w:tcPr>
            <w:tcW w:w="3245"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行政复议</w:t>
            </w:r>
          </w:p>
        </w:tc>
        <w:tc>
          <w:tcPr>
            <w:tcW w:w="6503" w:type="dxa"/>
            <w:gridSpan w:val="10"/>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9"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结果维持</w:t>
            </w:r>
          </w:p>
        </w:tc>
        <w:tc>
          <w:tcPr>
            <w:tcW w:w="649"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结果</w:t>
            </w:r>
            <w:r>
              <w:rPr>
                <w:rFonts w:hint="eastAsia" w:ascii="宋体" w:hAnsi="宋体" w:eastAsia="宋体" w:cs="宋体"/>
                <w:color w:val="000000" w:themeColor="text1"/>
                <w:kern w:val="0"/>
                <w:sz w:val="20"/>
                <w:szCs w:val="20"/>
                <w:lang w:val="en-US" w:eastAsia="zh-CN" w:bidi="ar"/>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bidi="ar"/>
                <w14:textFill>
                  <w14:solidFill>
                    <w14:schemeClr w14:val="tx1"/>
                  </w14:solidFill>
                </w14:textFill>
              </w:rPr>
              <w:t>纠正</w:t>
            </w:r>
          </w:p>
        </w:tc>
        <w:tc>
          <w:tcPr>
            <w:tcW w:w="649"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其他</w:t>
            </w:r>
            <w:r>
              <w:rPr>
                <w:rFonts w:hint="eastAsia" w:ascii="宋体" w:hAnsi="宋体" w:eastAsia="宋体" w:cs="宋体"/>
                <w:color w:val="000000" w:themeColor="text1"/>
                <w:kern w:val="0"/>
                <w:sz w:val="20"/>
                <w:szCs w:val="20"/>
                <w:lang w:val="en-US" w:eastAsia="zh-CN" w:bidi="ar"/>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bidi="ar"/>
                <w14:textFill>
                  <w14:solidFill>
                    <w14:schemeClr w14:val="tx1"/>
                  </w14:solidFill>
                </w14:textFill>
              </w:rPr>
              <w:t>结果</w:t>
            </w:r>
          </w:p>
        </w:tc>
        <w:tc>
          <w:tcPr>
            <w:tcW w:w="649"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尚未</w:t>
            </w:r>
            <w:r>
              <w:rPr>
                <w:rFonts w:hint="eastAsia" w:ascii="宋体" w:hAnsi="宋体" w:eastAsia="宋体" w:cs="宋体"/>
                <w:color w:val="000000" w:themeColor="text1"/>
                <w:kern w:val="0"/>
                <w:sz w:val="20"/>
                <w:szCs w:val="20"/>
                <w:lang w:val="en-US" w:eastAsia="zh-CN" w:bidi="ar"/>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bidi="ar"/>
                <w14:textFill>
                  <w14:solidFill>
                    <w14:schemeClr w14:val="tx1"/>
                  </w14:solidFill>
                </w14:textFill>
              </w:rPr>
              <w:t>审结</w:t>
            </w:r>
          </w:p>
        </w:tc>
        <w:tc>
          <w:tcPr>
            <w:tcW w:w="649"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总计</w:t>
            </w:r>
          </w:p>
        </w:tc>
        <w:tc>
          <w:tcPr>
            <w:tcW w:w="3248"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未经复议直接起诉</w:t>
            </w:r>
          </w:p>
        </w:tc>
        <w:tc>
          <w:tcPr>
            <w:tcW w:w="3255"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9"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color w:val="000000" w:themeColor="text1"/>
                <w:sz w:val="24"/>
                <w:szCs w:val="24"/>
                <w14:textFill>
                  <w14:solidFill>
                    <w14:schemeClr w14:val="tx1"/>
                  </w14:solidFill>
                </w14:textFill>
              </w:rPr>
            </w:pPr>
          </w:p>
        </w:tc>
        <w:tc>
          <w:tcPr>
            <w:tcW w:w="649"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color w:val="000000" w:themeColor="text1"/>
                <w:sz w:val="24"/>
                <w:szCs w:val="24"/>
                <w14:textFill>
                  <w14:solidFill>
                    <w14:schemeClr w14:val="tx1"/>
                  </w14:solidFill>
                </w14:textFill>
              </w:rPr>
            </w:pPr>
          </w:p>
        </w:tc>
        <w:tc>
          <w:tcPr>
            <w:tcW w:w="649"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color w:val="000000" w:themeColor="text1"/>
                <w:sz w:val="24"/>
                <w:szCs w:val="24"/>
                <w14:textFill>
                  <w14:solidFill>
                    <w14:schemeClr w14:val="tx1"/>
                  </w14:solidFill>
                </w14:textFill>
              </w:rPr>
            </w:pPr>
          </w:p>
        </w:tc>
        <w:tc>
          <w:tcPr>
            <w:tcW w:w="649"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color w:val="000000" w:themeColor="text1"/>
                <w:sz w:val="24"/>
                <w:szCs w:val="24"/>
                <w14:textFill>
                  <w14:solidFill>
                    <w14:schemeClr w14:val="tx1"/>
                  </w14:solidFill>
                </w14:textFill>
              </w:rPr>
            </w:pPr>
          </w:p>
        </w:tc>
        <w:tc>
          <w:tcPr>
            <w:tcW w:w="649"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color w:val="000000" w:themeColor="text1"/>
                <w:sz w:val="24"/>
                <w:szCs w:val="24"/>
                <w14:textFill>
                  <w14:solidFill>
                    <w14:schemeClr w14:val="tx1"/>
                  </w14:solidFill>
                </w14:textFill>
              </w:rPr>
            </w:pP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结果</w:t>
            </w:r>
            <w:r>
              <w:rPr>
                <w:rFonts w:hint="eastAsia" w:ascii="宋体" w:hAnsi="宋体" w:eastAsia="宋体" w:cs="宋体"/>
                <w:color w:val="000000" w:themeColor="text1"/>
                <w:kern w:val="0"/>
                <w:sz w:val="20"/>
                <w:szCs w:val="20"/>
                <w:lang w:val="en-US" w:eastAsia="zh-CN" w:bidi="ar"/>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bidi="ar"/>
                <w14:textFill>
                  <w14:solidFill>
                    <w14:schemeClr w14:val="tx1"/>
                  </w14:solidFill>
                </w14:textFill>
              </w:rPr>
              <w:t>维持</w:t>
            </w: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结果</w:t>
            </w:r>
            <w:r>
              <w:rPr>
                <w:rFonts w:hint="eastAsia" w:ascii="宋体" w:hAnsi="宋体" w:eastAsia="宋体" w:cs="宋体"/>
                <w:color w:val="000000" w:themeColor="text1"/>
                <w:kern w:val="0"/>
                <w:sz w:val="20"/>
                <w:szCs w:val="20"/>
                <w:lang w:val="en-US" w:eastAsia="zh-CN" w:bidi="ar"/>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bidi="ar"/>
                <w14:textFill>
                  <w14:solidFill>
                    <w14:schemeClr w14:val="tx1"/>
                  </w14:solidFill>
                </w14:textFill>
              </w:rPr>
              <w:t>纠正</w:t>
            </w:r>
          </w:p>
        </w:tc>
        <w:tc>
          <w:tcPr>
            <w:tcW w:w="650"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其他</w:t>
            </w:r>
            <w:r>
              <w:rPr>
                <w:rFonts w:hint="eastAsia" w:ascii="宋体" w:hAnsi="宋体" w:eastAsia="宋体" w:cs="宋体"/>
                <w:color w:val="000000" w:themeColor="text1"/>
                <w:kern w:val="0"/>
                <w:sz w:val="20"/>
                <w:szCs w:val="20"/>
                <w:lang w:val="en-US" w:eastAsia="zh-CN" w:bidi="ar"/>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bidi="ar"/>
                <w14:textFill>
                  <w14:solidFill>
                    <w14:schemeClr w14:val="tx1"/>
                  </w14:solidFill>
                </w14:textFill>
              </w:rPr>
              <w:t>结果</w:t>
            </w:r>
          </w:p>
        </w:tc>
        <w:tc>
          <w:tcPr>
            <w:tcW w:w="650"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尚未</w:t>
            </w:r>
            <w:r>
              <w:rPr>
                <w:rFonts w:hint="eastAsia" w:ascii="宋体" w:hAnsi="宋体" w:eastAsia="宋体" w:cs="宋体"/>
                <w:color w:val="000000" w:themeColor="text1"/>
                <w:kern w:val="0"/>
                <w:sz w:val="20"/>
                <w:szCs w:val="20"/>
                <w:lang w:val="en-US" w:eastAsia="zh-CN" w:bidi="ar"/>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bidi="ar"/>
                <w14:textFill>
                  <w14:solidFill>
                    <w14:schemeClr w14:val="tx1"/>
                  </w14:solidFill>
                </w14:textFill>
              </w:rPr>
              <w:t>审结</w:t>
            </w:r>
          </w:p>
        </w:tc>
        <w:tc>
          <w:tcPr>
            <w:tcW w:w="650"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总计</w:t>
            </w:r>
          </w:p>
        </w:tc>
        <w:tc>
          <w:tcPr>
            <w:tcW w:w="651"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结果</w:t>
            </w:r>
            <w:r>
              <w:rPr>
                <w:rFonts w:hint="eastAsia" w:ascii="宋体" w:hAnsi="宋体" w:eastAsia="宋体" w:cs="宋体"/>
                <w:color w:val="000000" w:themeColor="text1"/>
                <w:kern w:val="0"/>
                <w:sz w:val="20"/>
                <w:szCs w:val="20"/>
                <w:lang w:val="en-US" w:eastAsia="zh-CN" w:bidi="ar"/>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bidi="ar"/>
                <w14:textFill>
                  <w14:solidFill>
                    <w14:schemeClr w14:val="tx1"/>
                  </w14:solidFill>
                </w14:textFill>
              </w:rPr>
              <w:t>维持</w:t>
            </w:r>
          </w:p>
        </w:tc>
        <w:tc>
          <w:tcPr>
            <w:tcW w:w="651"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结果</w:t>
            </w:r>
            <w:r>
              <w:rPr>
                <w:rFonts w:hint="eastAsia" w:ascii="宋体" w:hAnsi="宋体" w:eastAsia="宋体" w:cs="宋体"/>
                <w:color w:val="000000" w:themeColor="text1"/>
                <w:kern w:val="0"/>
                <w:sz w:val="20"/>
                <w:szCs w:val="20"/>
                <w:lang w:val="en-US" w:eastAsia="zh-CN" w:bidi="ar"/>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bidi="ar"/>
                <w14:textFill>
                  <w14:solidFill>
                    <w14:schemeClr w14:val="tx1"/>
                  </w14:solidFill>
                </w14:textFill>
              </w:rPr>
              <w:t>纠正</w:t>
            </w:r>
          </w:p>
        </w:tc>
        <w:tc>
          <w:tcPr>
            <w:tcW w:w="651"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其他</w:t>
            </w:r>
            <w:r>
              <w:rPr>
                <w:rFonts w:hint="eastAsia" w:ascii="宋体" w:hAnsi="宋体" w:eastAsia="宋体" w:cs="宋体"/>
                <w:color w:val="000000" w:themeColor="text1"/>
                <w:kern w:val="0"/>
                <w:sz w:val="20"/>
                <w:szCs w:val="20"/>
                <w:lang w:val="en-US" w:eastAsia="zh-CN" w:bidi="ar"/>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bidi="ar"/>
                <w14:textFill>
                  <w14:solidFill>
                    <w14:schemeClr w14:val="tx1"/>
                  </w14:solidFill>
                </w14:textFill>
              </w:rPr>
              <w:t>结果</w:t>
            </w:r>
          </w:p>
        </w:tc>
        <w:tc>
          <w:tcPr>
            <w:tcW w:w="651"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尚未</w:t>
            </w:r>
            <w:r>
              <w:rPr>
                <w:rFonts w:hint="eastAsia" w:ascii="宋体" w:hAnsi="宋体" w:eastAsia="宋体" w:cs="宋体"/>
                <w:color w:val="000000" w:themeColor="text1"/>
                <w:kern w:val="0"/>
                <w:sz w:val="20"/>
                <w:szCs w:val="20"/>
                <w:lang w:val="en-US" w:eastAsia="zh-CN" w:bidi="ar"/>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bidi="ar"/>
                <w14:textFill>
                  <w14:solidFill>
                    <w14:schemeClr w14:val="tx1"/>
                  </w14:solidFill>
                </w14:textFill>
              </w:rPr>
              <w:t>审结</w:t>
            </w:r>
          </w:p>
        </w:tc>
        <w:tc>
          <w:tcPr>
            <w:tcW w:w="651"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72" w:hRule="atLeast"/>
          <w:jc w:val="center"/>
        </w:trPr>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黑体" w:hAnsi="宋体" w:eastAsia="黑体" w:cs="黑体"/>
                <w:color w:val="000000" w:themeColor="text1"/>
                <w:kern w:val="0"/>
                <w:sz w:val="20"/>
                <w:szCs w:val="20"/>
                <w:lang w:val="en-US" w:eastAsia="zh-CN" w:bidi="ar"/>
                <w14:textFill>
                  <w14:solidFill>
                    <w14:schemeClr w14:val="tx1"/>
                  </w14:solidFill>
                </w14:textFill>
              </w:rPr>
            </w:pPr>
            <w:r>
              <w:rPr>
                <w:rFonts w:hint="eastAsia" w:ascii="黑体" w:hAnsi="宋体" w:eastAsia="黑体" w:cs="黑体"/>
                <w:color w:val="000000" w:themeColor="text1"/>
                <w:kern w:val="0"/>
                <w:sz w:val="20"/>
                <w:szCs w:val="20"/>
                <w:lang w:val="en-US" w:eastAsia="zh-CN" w:bidi="ar"/>
                <w14:textFill>
                  <w14:solidFill>
                    <w14:schemeClr w14:val="tx1"/>
                  </w14:solidFill>
                </w14:textFill>
              </w:rPr>
              <w:t>1</w:t>
            </w: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黑体" w:hAnsi="宋体" w:eastAsia="黑体" w:cs="黑体"/>
                <w:color w:val="000000" w:themeColor="text1"/>
                <w:kern w:val="0"/>
                <w:sz w:val="20"/>
                <w:szCs w:val="20"/>
                <w:lang w:val="en-US" w:eastAsia="zh-CN" w:bidi="ar"/>
                <w14:textFill>
                  <w14:solidFill>
                    <w14:schemeClr w14:val="tx1"/>
                  </w14:solidFill>
                </w14:textFill>
              </w:rPr>
            </w:pPr>
            <w:r>
              <w:rPr>
                <w:rFonts w:hint="eastAsia" w:ascii="黑体" w:hAnsi="宋体" w:eastAsia="黑体" w:cs="黑体"/>
                <w:color w:val="000000" w:themeColor="text1"/>
                <w:kern w:val="0"/>
                <w:sz w:val="20"/>
                <w:szCs w:val="20"/>
                <w:lang w:val="en-US" w:eastAsia="zh-CN" w:bidi="ar"/>
                <w14:textFill>
                  <w14:solidFill>
                    <w14:schemeClr w14:val="tx1"/>
                  </w14:solidFill>
                </w14:textFill>
              </w:rPr>
              <w:t>0</w:t>
            </w: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黑体" w:hAnsi="宋体" w:eastAsia="黑体" w:cs="黑体"/>
                <w:color w:val="000000" w:themeColor="text1"/>
                <w:kern w:val="0"/>
                <w:sz w:val="20"/>
                <w:szCs w:val="20"/>
                <w:lang w:val="en-US" w:eastAsia="zh-CN" w:bidi="ar"/>
                <w14:textFill>
                  <w14:solidFill>
                    <w14:schemeClr w14:val="tx1"/>
                  </w14:solidFill>
                </w14:textFill>
              </w:rPr>
            </w:pPr>
            <w:r>
              <w:rPr>
                <w:rFonts w:hint="eastAsia" w:ascii="黑体" w:hAnsi="宋体" w:eastAsia="黑体" w:cs="黑体"/>
                <w:color w:val="000000" w:themeColor="text1"/>
                <w:kern w:val="0"/>
                <w:sz w:val="20"/>
                <w:szCs w:val="20"/>
                <w:lang w:val="en-US" w:eastAsia="zh-CN" w:bidi="ar"/>
                <w14:textFill>
                  <w14:solidFill>
                    <w14:schemeClr w14:val="tx1"/>
                  </w14:solidFill>
                </w14:textFill>
              </w:rPr>
              <w:t>0 </w:t>
            </w: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黑体" w:hAnsi="宋体" w:eastAsia="黑体" w:cs="黑体"/>
                <w:color w:val="000000" w:themeColor="text1"/>
                <w:kern w:val="0"/>
                <w:sz w:val="20"/>
                <w:szCs w:val="20"/>
                <w:lang w:val="en-US" w:eastAsia="zh-CN" w:bidi="ar"/>
                <w14:textFill>
                  <w14:solidFill>
                    <w14:schemeClr w14:val="tx1"/>
                  </w14:solidFill>
                </w14:textFill>
              </w:rPr>
            </w:pPr>
            <w:r>
              <w:rPr>
                <w:rFonts w:hint="eastAsia" w:ascii="黑体" w:hAnsi="宋体" w:eastAsia="黑体" w:cs="黑体"/>
                <w:color w:val="000000" w:themeColor="text1"/>
                <w:kern w:val="0"/>
                <w:sz w:val="20"/>
                <w:szCs w:val="20"/>
                <w:lang w:val="en-US" w:eastAsia="zh-CN" w:bidi="ar"/>
                <w14:textFill>
                  <w14:solidFill>
                    <w14:schemeClr w14:val="tx1"/>
                  </w14:solidFill>
                </w14:textFill>
              </w:rPr>
              <w:t>0 </w:t>
            </w: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黑体" w:hAnsi="宋体" w:eastAsia="黑体" w:cs="黑体"/>
                <w:color w:val="000000" w:themeColor="text1"/>
                <w:kern w:val="0"/>
                <w:sz w:val="20"/>
                <w:szCs w:val="20"/>
                <w:lang w:val="en-US" w:eastAsia="zh-CN" w:bidi="ar"/>
                <w14:textFill>
                  <w14:solidFill>
                    <w14:schemeClr w14:val="tx1"/>
                  </w14:solidFill>
                </w14:textFill>
              </w:rPr>
            </w:pPr>
            <w:r>
              <w:rPr>
                <w:rFonts w:hint="eastAsia" w:ascii="黑体" w:hAnsi="宋体" w:eastAsia="黑体" w:cs="黑体"/>
                <w:color w:val="000000" w:themeColor="text1"/>
                <w:kern w:val="0"/>
                <w:sz w:val="20"/>
                <w:szCs w:val="20"/>
                <w:lang w:val="en-US" w:eastAsia="zh-CN" w:bidi="ar"/>
                <w14:textFill>
                  <w14:solidFill>
                    <w14:schemeClr w14:val="tx1"/>
                  </w14:solidFill>
                </w14:textFill>
              </w:rPr>
              <w:t>1</w:t>
            </w: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黑体" w:hAnsi="宋体" w:eastAsia="黑体" w:cs="黑体"/>
                <w:color w:val="000000" w:themeColor="text1"/>
                <w:kern w:val="0"/>
                <w:sz w:val="20"/>
                <w:szCs w:val="20"/>
                <w:lang w:val="en-US" w:eastAsia="zh-CN" w:bidi="ar"/>
                <w14:textFill>
                  <w14:solidFill>
                    <w14:schemeClr w14:val="tx1"/>
                  </w14:solidFill>
                </w14:textFill>
              </w:rPr>
            </w:pPr>
            <w:r>
              <w:rPr>
                <w:rFonts w:hint="eastAsia" w:ascii="黑体" w:hAnsi="宋体" w:eastAsia="黑体" w:cs="黑体"/>
                <w:color w:val="000000" w:themeColor="text1"/>
                <w:kern w:val="0"/>
                <w:sz w:val="20"/>
                <w:szCs w:val="20"/>
                <w:lang w:val="en-US" w:eastAsia="zh-CN" w:bidi="ar"/>
                <w14:textFill>
                  <w14:solidFill>
                    <w14:schemeClr w14:val="tx1"/>
                  </w14:solidFill>
                </w14:textFill>
              </w:rPr>
              <w:t>0</w:t>
            </w: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黑体" w:hAnsi="宋体" w:eastAsia="黑体" w:cs="黑体"/>
                <w:color w:val="000000" w:themeColor="text1"/>
                <w:kern w:val="0"/>
                <w:sz w:val="20"/>
                <w:szCs w:val="20"/>
                <w:lang w:val="en-US" w:eastAsia="zh-CN" w:bidi="ar"/>
                <w14:textFill>
                  <w14:solidFill>
                    <w14:schemeClr w14:val="tx1"/>
                  </w14:solidFill>
                </w14:textFill>
              </w:rPr>
            </w:pPr>
            <w:r>
              <w:rPr>
                <w:rFonts w:hint="eastAsia" w:ascii="黑体" w:hAnsi="宋体" w:eastAsia="黑体" w:cs="黑体"/>
                <w:color w:val="000000" w:themeColor="text1"/>
                <w:kern w:val="0"/>
                <w:sz w:val="20"/>
                <w:szCs w:val="20"/>
                <w:lang w:val="en-US" w:eastAsia="zh-CN" w:bidi="ar"/>
                <w14:textFill>
                  <w14:solidFill>
                    <w14:schemeClr w14:val="tx1"/>
                  </w14:solidFill>
                </w14:textFill>
              </w:rPr>
              <w:t>0</w:t>
            </w:r>
          </w:p>
        </w:tc>
        <w:tc>
          <w:tcPr>
            <w:tcW w:w="650"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黑体" w:hAnsi="宋体" w:eastAsia="黑体" w:cs="黑体"/>
                <w:color w:val="000000" w:themeColor="text1"/>
                <w:kern w:val="0"/>
                <w:sz w:val="20"/>
                <w:szCs w:val="20"/>
                <w:lang w:val="en-US" w:eastAsia="zh-CN" w:bidi="ar"/>
                <w14:textFill>
                  <w14:solidFill>
                    <w14:schemeClr w14:val="tx1"/>
                  </w14:solidFill>
                </w14:textFill>
              </w:rPr>
            </w:pPr>
            <w:r>
              <w:rPr>
                <w:rFonts w:hint="eastAsia" w:ascii="黑体" w:hAnsi="宋体" w:eastAsia="黑体" w:cs="黑体"/>
                <w:color w:val="000000" w:themeColor="text1"/>
                <w:kern w:val="0"/>
                <w:sz w:val="20"/>
                <w:szCs w:val="20"/>
                <w:lang w:val="en-US" w:eastAsia="zh-CN" w:bidi="ar"/>
                <w14:textFill>
                  <w14:solidFill>
                    <w14:schemeClr w14:val="tx1"/>
                  </w14:solidFill>
                </w14:textFill>
              </w:rPr>
              <w:t>0</w:t>
            </w:r>
          </w:p>
        </w:tc>
        <w:tc>
          <w:tcPr>
            <w:tcW w:w="650"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黑体" w:hAnsi="宋体" w:eastAsia="黑体" w:cs="黑体"/>
                <w:color w:val="000000" w:themeColor="text1"/>
                <w:kern w:val="0"/>
                <w:sz w:val="20"/>
                <w:szCs w:val="20"/>
                <w:lang w:val="en-US" w:eastAsia="zh-CN" w:bidi="ar"/>
                <w14:textFill>
                  <w14:solidFill>
                    <w14:schemeClr w14:val="tx1"/>
                  </w14:solidFill>
                </w14:textFill>
              </w:rPr>
            </w:pPr>
            <w:r>
              <w:rPr>
                <w:rFonts w:hint="eastAsia" w:ascii="黑体" w:hAnsi="宋体" w:eastAsia="黑体" w:cs="黑体"/>
                <w:color w:val="000000" w:themeColor="text1"/>
                <w:kern w:val="0"/>
                <w:sz w:val="20"/>
                <w:szCs w:val="20"/>
                <w:lang w:val="en-US" w:eastAsia="zh-CN" w:bidi="ar"/>
                <w14:textFill>
                  <w14:solidFill>
                    <w14:schemeClr w14:val="tx1"/>
                  </w14:solidFill>
                </w14:textFill>
              </w:rPr>
              <w:t>0</w:t>
            </w:r>
          </w:p>
        </w:tc>
        <w:tc>
          <w:tcPr>
            <w:tcW w:w="650"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黑体" w:hAnsi="宋体" w:eastAsia="黑体" w:cs="黑体"/>
                <w:color w:val="000000" w:themeColor="text1"/>
                <w:kern w:val="0"/>
                <w:sz w:val="20"/>
                <w:szCs w:val="20"/>
                <w:lang w:val="en-US" w:eastAsia="zh-CN" w:bidi="ar"/>
                <w14:textFill>
                  <w14:solidFill>
                    <w14:schemeClr w14:val="tx1"/>
                  </w14:solidFill>
                </w14:textFill>
              </w:rPr>
            </w:pPr>
            <w:r>
              <w:rPr>
                <w:rFonts w:hint="eastAsia" w:ascii="黑体" w:hAnsi="宋体" w:eastAsia="黑体" w:cs="黑体"/>
                <w:color w:val="000000" w:themeColor="text1"/>
                <w:kern w:val="0"/>
                <w:sz w:val="20"/>
                <w:szCs w:val="20"/>
                <w:lang w:val="en-US" w:eastAsia="zh-CN" w:bidi="ar"/>
                <w14:textFill>
                  <w14:solidFill>
                    <w14:schemeClr w14:val="tx1"/>
                  </w14:solidFill>
                </w14:textFill>
              </w:rPr>
              <w:t>0</w:t>
            </w:r>
          </w:p>
        </w:tc>
        <w:tc>
          <w:tcPr>
            <w:tcW w:w="651"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黑体" w:hAnsi="宋体" w:eastAsia="黑体" w:cs="黑体"/>
                <w:color w:val="000000" w:themeColor="text1"/>
                <w:kern w:val="0"/>
                <w:sz w:val="20"/>
                <w:szCs w:val="20"/>
                <w:lang w:val="en-US" w:eastAsia="zh-CN" w:bidi="ar"/>
                <w14:textFill>
                  <w14:solidFill>
                    <w14:schemeClr w14:val="tx1"/>
                  </w14:solidFill>
                </w14:textFill>
              </w:rPr>
            </w:pPr>
            <w:r>
              <w:rPr>
                <w:rFonts w:hint="eastAsia" w:ascii="黑体" w:hAnsi="宋体" w:eastAsia="黑体" w:cs="黑体"/>
                <w:color w:val="000000" w:themeColor="text1"/>
                <w:kern w:val="0"/>
                <w:sz w:val="20"/>
                <w:szCs w:val="20"/>
                <w:lang w:val="en-US" w:eastAsia="zh-CN" w:bidi="ar"/>
                <w14:textFill>
                  <w14:solidFill>
                    <w14:schemeClr w14:val="tx1"/>
                  </w14:solidFill>
                </w14:textFill>
              </w:rPr>
              <w:t>0</w:t>
            </w:r>
          </w:p>
        </w:tc>
        <w:tc>
          <w:tcPr>
            <w:tcW w:w="651"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黑体" w:hAnsi="宋体" w:eastAsia="黑体" w:cs="黑体"/>
                <w:color w:val="000000" w:themeColor="text1"/>
                <w:kern w:val="0"/>
                <w:sz w:val="20"/>
                <w:szCs w:val="20"/>
                <w:lang w:val="en-US" w:eastAsia="zh-CN" w:bidi="ar"/>
                <w14:textFill>
                  <w14:solidFill>
                    <w14:schemeClr w14:val="tx1"/>
                  </w14:solidFill>
                </w14:textFill>
              </w:rPr>
            </w:pPr>
            <w:r>
              <w:rPr>
                <w:rFonts w:hint="eastAsia" w:ascii="黑体" w:hAnsi="宋体" w:eastAsia="黑体" w:cs="黑体"/>
                <w:color w:val="000000" w:themeColor="text1"/>
                <w:kern w:val="0"/>
                <w:sz w:val="20"/>
                <w:szCs w:val="20"/>
                <w:lang w:val="en-US" w:eastAsia="zh-CN" w:bidi="ar"/>
                <w14:textFill>
                  <w14:solidFill>
                    <w14:schemeClr w14:val="tx1"/>
                  </w14:solidFill>
                </w14:textFill>
              </w:rPr>
              <w:t>0</w:t>
            </w:r>
          </w:p>
        </w:tc>
        <w:tc>
          <w:tcPr>
            <w:tcW w:w="651"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黑体" w:hAnsi="宋体" w:eastAsia="黑体" w:cs="黑体"/>
                <w:color w:val="000000" w:themeColor="text1"/>
                <w:kern w:val="0"/>
                <w:sz w:val="20"/>
                <w:szCs w:val="20"/>
                <w:lang w:val="en-US" w:eastAsia="zh-CN" w:bidi="ar"/>
                <w14:textFill>
                  <w14:solidFill>
                    <w14:schemeClr w14:val="tx1"/>
                  </w14:solidFill>
                </w14:textFill>
              </w:rPr>
            </w:pPr>
            <w:r>
              <w:rPr>
                <w:rFonts w:hint="eastAsia" w:ascii="黑体" w:hAnsi="宋体" w:eastAsia="黑体" w:cs="黑体"/>
                <w:color w:val="000000" w:themeColor="text1"/>
                <w:kern w:val="0"/>
                <w:sz w:val="20"/>
                <w:szCs w:val="20"/>
                <w:lang w:val="en-US" w:eastAsia="zh-CN" w:bidi="ar"/>
                <w14:textFill>
                  <w14:solidFill>
                    <w14:schemeClr w14:val="tx1"/>
                  </w14:solidFill>
                </w14:textFill>
              </w:rPr>
              <w:t>0</w:t>
            </w:r>
          </w:p>
        </w:tc>
        <w:tc>
          <w:tcPr>
            <w:tcW w:w="651"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黑体" w:hAnsi="宋体" w:eastAsia="黑体" w:cs="黑体"/>
                <w:color w:val="000000" w:themeColor="text1"/>
                <w:kern w:val="0"/>
                <w:sz w:val="20"/>
                <w:szCs w:val="20"/>
                <w:lang w:val="en-US" w:eastAsia="zh-CN" w:bidi="ar"/>
                <w14:textFill>
                  <w14:solidFill>
                    <w14:schemeClr w14:val="tx1"/>
                  </w14:solidFill>
                </w14:textFill>
              </w:rPr>
            </w:pPr>
            <w:r>
              <w:rPr>
                <w:rFonts w:hint="eastAsia" w:ascii="黑体" w:hAnsi="宋体" w:eastAsia="黑体" w:cs="黑体"/>
                <w:color w:val="000000" w:themeColor="text1"/>
                <w:kern w:val="0"/>
                <w:sz w:val="20"/>
                <w:szCs w:val="20"/>
                <w:lang w:val="en-US" w:eastAsia="zh-CN" w:bidi="ar"/>
                <w14:textFill>
                  <w14:solidFill>
                    <w14:schemeClr w14:val="tx1"/>
                  </w14:solidFill>
                </w14:textFill>
              </w:rPr>
              <w:t>0</w:t>
            </w:r>
          </w:p>
        </w:tc>
        <w:tc>
          <w:tcPr>
            <w:tcW w:w="651"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黑体" w:hAnsi="宋体" w:eastAsia="黑体" w:cs="黑体"/>
                <w:color w:val="000000" w:themeColor="text1"/>
                <w:kern w:val="0"/>
                <w:sz w:val="20"/>
                <w:szCs w:val="20"/>
                <w:lang w:val="en-US" w:eastAsia="zh-CN" w:bidi="ar"/>
                <w14:textFill>
                  <w14:solidFill>
                    <w14:schemeClr w14:val="tx1"/>
                  </w14:solidFill>
                </w14:textFill>
              </w:rPr>
            </w:pPr>
            <w:r>
              <w:rPr>
                <w:rFonts w:hint="eastAsia" w:ascii="黑体" w:hAnsi="宋体" w:eastAsia="黑体" w:cs="黑体"/>
                <w:color w:val="000000" w:themeColor="text1"/>
                <w:kern w:val="0"/>
                <w:sz w:val="20"/>
                <w:szCs w:val="20"/>
                <w:lang w:val="en-US" w:eastAsia="zh-CN" w:bidi="ar"/>
                <w14:textFill>
                  <w14:solidFill>
                    <w14:schemeClr w14:val="tx1"/>
                  </w14:solidFill>
                </w14:textFill>
              </w:rPr>
              <w:t>0</w:t>
            </w:r>
          </w:p>
        </w:tc>
      </w:tr>
    </w:tbl>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rightChars="0" w:firstLine="640" w:firstLineChars="200"/>
        <w:jc w:val="both"/>
        <w:textAlignment w:val="auto"/>
        <w:rPr>
          <w:rFonts w:hint="eastAsia" w:ascii="黑体" w:hAnsi="黑体" w:eastAsia="黑体" w:cs="黑体"/>
          <w:b w:val="0"/>
          <w:bCs/>
          <w:i w:val="0"/>
          <w:caps w:val="0"/>
          <w:color w:val="000000" w:themeColor="text1"/>
          <w:spacing w:val="0"/>
          <w:sz w:val="32"/>
          <w:szCs w:val="32"/>
          <w:shd w:val="clear" w:color="auto" w:fill="FFFFFF"/>
          <w14:textFill>
            <w14:solidFill>
              <w14:schemeClr w14:val="tx1"/>
            </w14:solidFill>
          </w14:textFill>
        </w:rPr>
      </w:pPr>
      <w:r>
        <w:rPr>
          <w:rFonts w:hint="eastAsia" w:ascii="黑体" w:hAnsi="黑体" w:eastAsia="黑体" w:cs="黑体"/>
          <w:b w:val="0"/>
          <w:bCs/>
          <w:i w:val="0"/>
          <w:caps w:val="0"/>
          <w:color w:val="000000" w:themeColor="text1"/>
          <w:spacing w:val="0"/>
          <w:sz w:val="32"/>
          <w:szCs w:val="32"/>
          <w:shd w:val="clear" w:color="auto" w:fill="FFFFFF"/>
          <w:lang w:eastAsia="zh-CN"/>
          <w14:textFill>
            <w14:solidFill>
              <w14:schemeClr w14:val="tx1"/>
            </w14:solidFill>
          </w14:textFill>
        </w:rPr>
        <w:t>五、</w:t>
      </w:r>
      <w:r>
        <w:rPr>
          <w:rFonts w:hint="eastAsia" w:ascii="黑体" w:hAnsi="黑体" w:eastAsia="黑体" w:cs="黑体"/>
          <w:b w:val="0"/>
          <w:bCs/>
          <w:i w:val="0"/>
          <w:caps w:val="0"/>
          <w:color w:val="000000" w:themeColor="text1"/>
          <w:spacing w:val="0"/>
          <w:sz w:val="32"/>
          <w:szCs w:val="32"/>
          <w:shd w:val="clear" w:color="auto" w:fill="FFFFFF"/>
          <w14:textFill>
            <w14:solidFill>
              <w14:schemeClr w14:val="tx1"/>
            </w14:solidFill>
          </w14:textFill>
        </w:rPr>
        <w:t>存在的主要问题及改进情况</w:t>
      </w:r>
    </w:p>
    <w:p>
      <w:pPr>
        <w:keepNext w:val="0"/>
        <w:keepLines w:val="0"/>
        <w:pageBreakBefore w:val="0"/>
        <w:widowControl/>
        <w:numPr>
          <w:ilvl w:val="0"/>
          <w:numId w:val="0"/>
        </w:numPr>
        <w:kinsoku/>
        <w:wordWrap/>
        <w:overflowPunct/>
        <w:topLinePunct w:val="0"/>
        <w:autoSpaceDE w:val="0"/>
        <w:autoSpaceDN/>
        <w:bidi w:val="0"/>
        <w:adjustRightInd/>
        <w:snapToGrid/>
        <w:spacing w:line="576" w:lineRule="exact"/>
        <w:ind w:firstLine="642" w:firstLineChars="200"/>
        <w:textAlignment w:val="auto"/>
        <w:rPr>
          <w:rFonts w:hint="eastAsia" w:ascii="楷体_GB2312" w:hAnsi="楷体_GB2312" w:eastAsia="楷体_GB2312" w:cs="楷体_GB2312"/>
          <w:b/>
          <w:bCs/>
          <w:color w:val="000000" w:themeColor="text1"/>
          <w:sz w:val="32"/>
          <w:szCs w:val="32"/>
          <w:lang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eastAsia="zh-CN"/>
          <w14:textFill>
            <w14:solidFill>
              <w14:schemeClr w14:val="tx1"/>
            </w14:solidFill>
          </w14:textFill>
        </w:rPr>
        <w:t>（一）存在问题</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76" w:lineRule="exact"/>
        <w:ind w:firstLine="642" w:firstLineChars="200"/>
        <w:jc w:val="both"/>
        <w:textAlignment w:val="auto"/>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b/>
          <w:bCs/>
          <w:color w:val="000000" w:themeColor="text1"/>
          <w:kern w:val="0"/>
          <w:sz w:val="32"/>
          <w:szCs w:val="32"/>
          <w:lang w:val="en-US" w:eastAsia="zh-CN" w:bidi="ar"/>
          <w14:textFill>
            <w14:solidFill>
              <w14:schemeClr w14:val="tx1"/>
            </w14:solidFill>
          </w14:textFill>
        </w:rPr>
        <w:t>一是</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个别单位政府信息公开内容不够充分，知晓率不够高，还不能完全满足群众的实际需求。</w:t>
      </w:r>
      <w:r>
        <w:rPr>
          <w:rFonts w:hint="eastAsia" w:ascii="仿宋_GB2312" w:hAnsi="仿宋_GB2312" w:eastAsia="仿宋_GB2312" w:cs="仿宋_GB2312"/>
          <w:b/>
          <w:bCs/>
          <w:color w:val="000000" w:themeColor="text1"/>
          <w:kern w:val="0"/>
          <w:sz w:val="32"/>
          <w:szCs w:val="32"/>
          <w:lang w:val="en-US" w:eastAsia="zh-CN" w:bidi="ar"/>
          <w14:textFill>
            <w14:solidFill>
              <w14:schemeClr w14:val="tx1"/>
            </w14:solidFill>
          </w14:textFill>
        </w:rPr>
        <w:t>二是</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多数单位依托本单位办公室开展政务公开工作，未设立专门机构，无专职工作人员，工作水平参差不齐。</w:t>
      </w:r>
    </w:p>
    <w:p>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76" w:lineRule="exact"/>
        <w:ind w:firstLine="642" w:firstLineChars="200"/>
        <w:textAlignment w:val="auto"/>
        <w:rPr>
          <w:rFonts w:hint="eastAsia" w:ascii="楷体_GB2312" w:hAnsi="楷体_GB2312" w:eastAsia="楷体_GB2312" w:cs="楷体_GB2312"/>
          <w:b/>
          <w:bCs/>
          <w:color w:val="000000" w:themeColor="text1"/>
          <w:kern w:val="2"/>
          <w:sz w:val="32"/>
          <w:szCs w:val="32"/>
          <w:lang w:val="en-US" w:eastAsia="zh-CN" w:bidi="ar-SA"/>
          <w14:textFill>
            <w14:solidFill>
              <w14:schemeClr w14:val="tx1"/>
            </w14:solidFill>
          </w14:textFill>
        </w:rPr>
      </w:pPr>
      <w:r>
        <w:rPr>
          <w:rFonts w:hint="eastAsia" w:ascii="楷体_GB2312" w:hAnsi="楷体_GB2312" w:eastAsia="楷体_GB2312" w:cs="楷体_GB2312"/>
          <w:b/>
          <w:bCs/>
          <w:color w:val="000000" w:themeColor="text1"/>
          <w:kern w:val="2"/>
          <w:sz w:val="32"/>
          <w:szCs w:val="32"/>
          <w:lang w:val="en-US" w:eastAsia="zh-CN" w:bidi="ar-SA"/>
          <w14:textFill>
            <w14:solidFill>
              <w14:schemeClr w14:val="tx1"/>
            </w14:solidFill>
          </w14:textFill>
        </w:rPr>
        <w:t>（二）改进措施</w:t>
      </w:r>
    </w:p>
    <w:p>
      <w:pPr>
        <w:pStyle w:val="2"/>
        <w:keepNext w:val="0"/>
        <w:keepLines w:val="0"/>
        <w:pageBreakBefore w:val="0"/>
        <w:kinsoku/>
        <w:wordWrap/>
        <w:overflowPunct/>
        <w:topLinePunct w:val="0"/>
        <w:autoSpaceDE/>
        <w:autoSpaceDN/>
        <w:bidi w:val="0"/>
        <w:adjustRightInd/>
        <w:snapToGrid/>
        <w:spacing w:after="0" w:line="576" w:lineRule="exact"/>
        <w:ind w:left="0" w:leftChars="0" w:firstLine="642" w:firstLineChars="200"/>
        <w:textAlignment w:val="auto"/>
        <w:rPr>
          <w:rFonts w:hint="eastAsia"/>
          <w:lang w:val="en-US" w:eastAsia="zh-CN"/>
        </w:rPr>
      </w:pPr>
      <w:r>
        <w:rPr>
          <w:rFonts w:hint="eastAsia" w:ascii="仿宋_GB2312" w:hAnsi="仿宋_GB2312" w:eastAsia="仿宋_GB2312" w:cs="仿宋_GB2312"/>
          <w:b/>
          <w:bCs/>
          <w:color w:val="000000" w:themeColor="text1"/>
          <w:kern w:val="0"/>
          <w:sz w:val="32"/>
          <w:szCs w:val="32"/>
          <w:lang w:val="en-US" w:eastAsia="zh-CN" w:bidi="ar"/>
          <w14:textFill>
            <w14:solidFill>
              <w14:schemeClr w14:val="tx1"/>
            </w14:solidFill>
          </w14:textFill>
        </w:rPr>
        <w:t>一是不断深化重点领域信息公开。</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按职责分工继续抓好住房保障、食品药品、教育信息、稳岗就业、涉农补贴等社会高度关注、涉及群众切身利益领域的信息公开。</w:t>
      </w:r>
      <w:r>
        <w:rPr>
          <w:rFonts w:hint="eastAsia" w:ascii="仿宋_GB2312" w:hAnsi="仿宋_GB2312" w:eastAsia="仿宋_GB2312" w:cs="仿宋_GB2312"/>
          <w:b/>
          <w:bCs/>
          <w:color w:val="000000" w:themeColor="text1"/>
          <w:kern w:val="0"/>
          <w:sz w:val="32"/>
          <w:szCs w:val="32"/>
          <w:lang w:val="en-US" w:eastAsia="zh-CN" w:bidi="ar"/>
          <w14:textFill>
            <w14:solidFill>
              <w14:schemeClr w14:val="tx1"/>
            </w14:solidFill>
          </w14:textFill>
        </w:rPr>
        <w:t>二是持续强化队伍建设。</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构建培训学习常态化机制，不断提升我县政府公开队伍的专业化水平，提高各级工作人员政策把握和处理复杂问题的能力。</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rightChars="0" w:firstLine="640" w:firstLineChars="200"/>
        <w:jc w:val="both"/>
        <w:textAlignment w:val="auto"/>
        <w:rPr>
          <w:rFonts w:hint="eastAsia" w:ascii="黑体" w:hAnsi="黑体" w:eastAsia="黑体" w:cs="黑体"/>
          <w:b w:val="0"/>
          <w:bCs/>
          <w:i w:val="0"/>
          <w:caps w:val="0"/>
          <w:color w:val="000000" w:themeColor="text1"/>
          <w:spacing w:val="0"/>
          <w:sz w:val="32"/>
          <w:szCs w:val="32"/>
          <w:shd w:val="clear" w:color="auto" w:fill="FFFFFF"/>
          <w14:textFill>
            <w14:solidFill>
              <w14:schemeClr w14:val="tx1"/>
            </w14:solidFill>
          </w14:textFill>
        </w:rPr>
      </w:pPr>
      <w:r>
        <w:rPr>
          <w:rFonts w:hint="eastAsia" w:ascii="黑体" w:hAnsi="黑体" w:eastAsia="黑体" w:cs="黑体"/>
          <w:b w:val="0"/>
          <w:bCs/>
          <w:i w:val="0"/>
          <w:caps w:val="0"/>
          <w:color w:val="000000" w:themeColor="text1"/>
          <w:spacing w:val="0"/>
          <w:sz w:val="32"/>
          <w:szCs w:val="32"/>
          <w:shd w:val="clear" w:color="auto" w:fill="FFFFFF"/>
          <w:lang w:eastAsia="zh-CN"/>
          <w14:textFill>
            <w14:solidFill>
              <w14:schemeClr w14:val="tx1"/>
            </w14:solidFill>
          </w14:textFill>
        </w:rPr>
        <w:t>六、</w:t>
      </w:r>
      <w:r>
        <w:rPr>
          <w:rFonts w:hint="eastAsia" w:ascii="黑体" w:hAnsi="黑体" w:eastAsia="黑体" w:cs="黑体"/>
          <w:b w:val="0"/>
          <w:bCs/>
          <w:i w:val="0"/>
          <w:caps w:val="0"/>
          <w:color w:val="000000" w:themeColor="text1"/>
          <w:spacing w:val="0"/>
          <w:sz w:val="32"/>
          <w:szCs w:val="32"/>
          <w:shd w:val="clear" w:color="auto" w:fill="FFFFFF"/>
          <w14:textFill>
            <w14:solidFill>
              <w14:schemeClr w14:val="tx1"/>
            </w14:solidFill>
          </w14:textFill>
        </w:rPr>
        <w:t>其他需要报告的事项</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rightChars="0" w:firstLine="640" w:firstLineChars="200"/>
        <w:jc w:val="both"/>
        <w:textAlignment w:val="auto"/>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无</w:t>
      </w:r>
    </w:p>
    <w:p>
      <w:pPr>
        <w:keepNext w:val="0"/>
        <w:keepLines w:val="0"/>
        <w:pageBreakBefore w:val="0"/>
        <w:kinsoku/>
        <w:wordWrap/>
        <w:overflowPunct/>
        <w:topLinePunct w:val="0"/>
        <w:autoSpaceDE/>
        <w:autoSpaceDN/>
        <w:bidi w:val="0"/>
        <w:adjustRightInd/>
        <w:snapToGrid/>
        <w:spacing w:line="576" w:lineRule="exact"/>
        <w:ind w:firstLine="640" w:firstLineChars="200"/>
        <w:jc w:val="center"/>
        <w:textAlignment w:val="auto"/>
        <w:rPr>
          <w:rFonts w:hint="eastAsia" w:ascii="仿宋" w:hAnsi="仿宋" w:eastAsia="仿宋" w:cs="仿宋"/>
          <w:i w:val="0"/>
          <w:caps w:val="0"/>
          <w:color w:val="000000" w:themeColor="text1"/>
          <w:spacing w:val="0"/>
          <w:kern w:val="0"/>
          <w:sz w:val="32"/>
          <w:szCs w:val="32"/>
          <w:lang w:val="en-US" w:eastAsia="zh-CN" w:bidi="ar"/>
          <w14:textFill>
            <w14:solidFill>
              <w14:schemeClr w14:val="tx1"/>
            </w14:solidFill>
          </w14:textFill>
        </w:rPr>
      </w:pPr>
      <w:r>
        <w:rPr>
          <w:rFonts w:hint="eastAsia" w:ascii="仿宋" w:hAnsi="仿宋" w:eastAsia="仿宋" w:cs="仿宋"/>
          <w:i w:val="0"/>
          <w:caps w:val="0"/>
          <w:color w:val="000000" w:themeColor="text1"/>
          <w:spacing w:val="0"/>
          <w:kern w:val="0"/>
          <w:sz w:val="32"/>
          <w:szCs w:val="32"/>
          <w:lang w:val="en-US" w:eastAsia="zh-CN" w:bidi="ar"/>
          <w14:textFill>
            <w14:solidFill>
              <w14:schemeClr w14:val="tx1"/>
            </w14:solidFill>
          </w14:textFill>
        </w:rPr>
        <w:t xml:space="preserve">      </w:t>
      </w:r>
    </w:p>
    <w:p>
      <w:pPr>
        <w:keepNext w:val="0"/>
        <w:keepLines w:val="0"/>
        <w:pageBreakBefore w:val="0"/>
        <w:kinsoku/>
        <w:wordWrap/>
        <w:overflowPunct/>
        <w:topLinePunct w:val="0"/>
        <w:autoSpaceDE/>
        <w:autoSpaceDN/>
        <w:bidi w:val="0"/>
        <w:adjustRightInd/>
        <w:snapToGrid/>
        <w:spacing w:line="576" w:lineRule="exact"/>
        <w:ind w:firstLine="640" w:firstLineChars="200"/>
        <w:jc w:val="center"/>
        <w:textAlignment w:val="auto"/>
        <w:rPr>
          <w:rFonts w:hint="eastAsia" w:ascii="仿宋" w:hAnsi="仿宋" w:eastAsia="仿宋" w:cs="仿宋"/>
          <w:i w:val="0"/>
          <w:caps w:val="0"/>
          <w:color w:val="000000" w:themeColor="text1"/>
          <w:spacing w:val="0"/>
          <w:kern w:val="0"/>
          <w:sz w:val="32"/>
          <w:szCs w:val="32"/>
          <w:lang w:val="en-US" w:eastAsia="zh-CN" w:bidi="ar"/>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576" w:lineRule="exact"/>
        <w:ind w:firstLine="640" w:firstLineChars="200"/>
        <w:jc w:val="center"/>
        <w:textAlignment w:val="auto"/>
        <w:rPr>
          <w:rFonts w:hint="eastAsia" w:ascii="仿宋" w:hAnsi="仿宋" w:eastAsia="仿宋" w:cs="仿宋"/>
          <w:color w:val="000000" w:themeColor="text1"/>
          <w:kern w:val="0"/>
          <w:sz w:val="32"/>
          <w:szCs w:val="32"/>
          <w:lang w:val="en-US" w:eastAsia="zh-CN" w:bidi="ar"/>
          <w14:textFill>
            <w14:solidFill>
              <w14:schemeClr w14:val="tx1"/>
            </w14:solidFill>
          </w14:textFill>
        </w:rPr>
      </w:pPr>
      <w:r>
        <w:rPr>
          <w:rFonts w:hint="eastAsia" w:ascii="仿宋" w:hAnsi="仿宋" w:eastAsia="仿宋" w:cs="仿宋"/>
          <w:color w:val="000000" w:themeColor="text1"/>
          <w:kern w:val="0"/>
          <w:sz w:val="32"/>
          <w:szCs w:val="32"/>
          <w:lang w:val="en-US" w:eastAsia="zh-CN" w:bidi="ar"/>
          <w14:textFill>
            <w14:solidFill>
              <w14:schemeClr w14:val="tx1"/>
            </w14:solidFill>
          </w14:textFill>
        </w:rPr>
        <w:t xml:space="preserve">  </w:t>
      </w:r>
    </w:p>
    <w:p>
      <w:pPr>
        <w:keepNext w:val="0"/>
        <w:keepLines w:val="0"/>
        <w:pageBreakBefore w:val="0"/>
        <w:kinsoku/>
        <w:wordWrap w:val="0"/>
        <w:overflowPunct/>
        <w:topLinePunct w:val="0"/>
        <w:autoSpaceDE/>
        <w:autoSpaceDN/>
        <w:bidi w:val="0"/>
        <w:adjustRightInd/>
        <w:snapToGrid/>
        <w:spacing w:line="576" w:lineRule="exact"/>
        <w:ind w:firstLine="4800" w:firstLineChars="1500"/>
        <w:jc w:val="both"/>
        <w:textAlignment w:val="auto"/>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 xml:space="preserve">曲沃县人民政府   </w:t>
      </w:r>
    </w:p>
    <w:p>
      <w:pPr>
        <w:keepNext w:val="0"/>
        <w:keepLines w:val="0"/>
        <w:pageBreakBefore w:val="0"/>
        <w:kinsoku/>
        <w:wordWrap/>
        <w:overflowPunct/>
        <w:topLinePunct w:val="0"/>
        <w:autoSpaceDE/>
        <w:autoSpaceDN/>
        <w:bidi w:val="0"/>
        <w:adjustRightInd/>
        <w:snapToGrid/>
        <w:spacing w:line="576" w:lineRule="exact"/>
        <w:ind w:firstLine="640" w:firstLineChars="200"/>
        <w:jc w:val="center"/>
        <w:textAlignment w:val="auto"/>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 xml:space="preserve">                   2023年2月20日 </w:t>
      </w:r>
    </w:p>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18" w:lineRule="atLeast"/>
        <w:ind w:right="0" w:rightChars="0" w:firstLine="640" w:firstLineChars="200"/>
        <w:rPr>
          <w:rFonts w:hint="eastAsia" w:ascii="仿宋" w:hAnsi="仿宋" w:eastAsia="仿宋" w:cs="仿宋"/>
          <w:color w:val="000000" w:themeColor="text1"/>
          <w:sz w:val="32"/>
          <w:szCs w:val="32"/>
          <w:lang w:val="en-US" w:eastAsia="zh-CN"/>
          <w14:textFill>
            <w14:solidFill>
              <w14:schemeClr w14:val="tx1"/>
            </w14:solidFill>
          </w14:textFill>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微软雅黑">
    <w:altName w:val="黑体"/>
    <w:panose1 w:val="020B0503020204020204"/>
    <w:charset w:val="86"/>
    <w:family w:val="auto"/>
    <w:pitch w:val="default"/>
    <w:sig w:usb0="00000000" w:usb1="00000000" w:usb2="00000016" w:usb3="00000000" w:csb0="0004001F" w:csb1="00000000"/>
  </w:font>
  <w:font w:name="方正小标宋_GBK">
    <w:panose1 w:val="02000000000000000000"/>
    <w:charset w:val="86"/>
    <w:family w:val="auto"/>
    <w:pitch w:val="default"/>
    <w:sig w:usb0="A00002BF" w:usb1="38CF7CFA" w:usb2="00082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Bitstream Charter">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5"/>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5OTE0ZTFlNmM4Mjc1ZDFiOTI0ODBlZDAwZWY3N2EifQ=="/>
  </w:docVars>
  <w:rsids>
    <w:rsidRoot w:val="EFDBBBA1"/>
    <w:rsid w:val="00BE1985"/>
    <w:rsid w:val="00CA1E91"/>
    <w:rsid w:val="072F56BD"/>
    <w:rsid w:val="09835F85"/>
    <w:rsid w:val="0A8232E9"/>
    <w:rsid w:val="0CE0112D"/>
    <w:rsid w:val="0D98220E"/>
    <w:rsid w:val="108F616A"/>
    <w:rsid w:val="11355381"/>
    <w:rsid w:val="125F3DE0"/>
    <w:rsid w:val="141259D8"/>
    <w:rsid w:val="15C344F6"/>
    <w:rsid w:val="199131C9"/>
    <w:rsid w:val="19E31EED"/>
    <w:rsid w:val="1BAB6165"/>
    <w:rsid w:val="1DE71C83"/>
    <w:rsid w:val="1FB65DB1"/>
    <w:rsid w:val="209D0D1F"/>
    <w:rsid w:val="213C4821"/>
    <w:rsid w:val="23F5622D"/>
    <w:rsid w:val="248C222A"/>
    <w:rsid w:val="28157892"/>
    <w:rsid w:val="286608DB"/>
    <w:rsid w:val="2E6B483B"/>
    <w:rsid w:val="2EDF12CA"/>
    <w:rsid w:val="30F95E9B"/>
    <w:rsid w:val="32886F1A"/>
    <w:rsid w:val="341542BD"/>
    <w:rsid w:val="341724E9"/>
    <w:rsid w:val="34C544E7"/>
    <w:rsid w:val="34F7394E"/>
    <w:rsid w:val="372E04CB"/>
    <w:rsid w:val="38BE2B84"/>
    <w:rsid w:val="3B02643E"/>
    <w:rsid w:val="3B1F577B"/>
    <w:rsid w:val="3D4C7DD0"/>
    <w:rsid w:val="3D521369"/>
    <w:rsid w:val="3D9D1F07"/>
    <w:rsid w:val="3E5320DA"/>
    <w:rsid w:val="40A55512"/>
    <w:rsid w:val="41A559AC"/>
    <w:rsid w:val="477E3BFE"/>
    <w:rsid w:val="4CA05FC8"/>
    <w:rsid w:val="4EE872FC"/>
    <w:rsid w:val="4F5B0C5F"/>
    <w:rsid w:val="4F6F363C"/>
    <w:rsid w:val="4FE7FB5E"/>
    <w:rsid w:val="50113AF2"/>
    <w:rsid w:val="50D641F8"/>
    <w:rsid w:val="50E61077"/>
    <w:rsid w:val="50EE2BB8"/>
    <w:rsid w:val="54F007B4"/>
    <w:rsid w:val="560267AA"/>
    <w:rsid w:val="56CF6531"/>
    <w:rsid w:val="597F3B01"/>
    <w:rsid w:val="59B13FF3"/>
    <w:rsid w:val="5A3D3D89"/>
    <w:rsid w:val="5BAEDCF4"/>
    <w:rsid w:val="5CC9164A"/>
    <w:rsid w:val="5F2FA51F"/>
    <w:rsid w:val="5FBE2259"/>
    <w:rsid w:val="60750AB5"/>
    <w:rsid w:val="62346455"/>
    <w:rsid w:val="635FB96B"/>
    <w:rsid w:val="63853067"/>
    <w:rsid w:val="67FFDBCF"/>
    <w:rsid w:val="69F84472"/>
    <w:rsid w:val="6A7D7F38"/>
    <w:rsid w:val="6A7F478F"/>
    <w:rsid w:val="6AF7858B"/>
    <w:rsid w:val="6B554428"/>
    <w:rsid w:val="6EBC4B98"/>
    <w:rsid w:val="6EBF832B"/>
    <w:rsid w:val="6ED547AD"/>
    <w:rsid w:val="6ED74E66"/>
    <w:rsid w:val="6F5F03D4"/>
    <w:rsid w:val="70E94540"/>
    <w:rsid w:val="72770F96"/>
    <w:rsid w:val="72DB09F8"/>
    <w:rsid w:val="75463B3A"/>
    <w:rsid w:val="773D7157"/>
    <w:rsid w:val="77EE0E6F"/>
    <w:rsid w:val="78DF1BE3"/>
    <w:rsid w:val="78F33792"/>
    <w:rsid w:val="79536AA8"/>
    <w:rsid w:val="7BDEAD59"/>
    <w:rsid w:val="7C88395E"/>
    <w:rsid w:val="7DEE2756"/>
    <w:rsid w:val="7DFAE6B0"/>
    <w:rsid w:val="7E7F90CE"/>
    <w:rsid w:val="7EFD02B4"/>
    <w:rsid w:val="7EFD9256"/>
    <w:rsid w:val="7F7B5886"/>
    <w:rsid w:val="7F96ED2D"/>
    <w:rsid w:val="7FC215A3"/>
    <w:rsid w:val="9FFF58D8"/>
    <w:rsid w:val="B3CE3D6F"/>
    <w:rsid w:val="BFFBCA7B"/>
    <w:rsid w:val="D2BF5C71"/>
    <w:rsid w:val="DFF614A5"/>
    <w:rsid w:val="ECF7817F"/>
    <w:rsid w:val="ECFAA4F7"/>
    <w:rsid w:val="EEFBB99A"/>
    <w:rsid w:val="EF2E501B"/>
    <w:rsid w:val="EF6B50E3"/>
    <w:rsid w:val="EF8BCC2A"/>
    <w:rsid w:val="EFBF42C0"/>
    <w:rsid w:val="EFDBBBA1"/>
    <w:rsid w:val="EFDFCAB1"/>
    <w:rsid w:val="EFFF23CB"/>
    <w:rsid w:val="FBFE9ACB"/>
    <w:rsid w:val="FBFFB113"/>
    <w:rsid w:val="FD2B7322"/>
    <w:rsid w:val="FF1E64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9"/>
    <w:pPr>
      <w:widowControl/>
      <w:spacing w:before="100" w:beforeAutospacing="1" w:after="100" w:afterAutospacing="1"/>
      <w:jc w:val="left"/>
      <w:outlineLvl w:val="0"/>
    </w:pPr>
    <w:rPr>
      <w:rFonts w:ascii="宋体" w:hAnsi="宋体" w:cs="宋体"/>
      <w:b/>
      <w:bCs/>
      <w:kern w:val="36"/>
      <w:sz w:val="48"/>
      <w:szCs w:val="48"/>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ind w:left="420" w:left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1">
    <w:name w:val="Strong"/>
    <w:basedOn w:val="10"/>
    <w:qFormat/>
    <w:uiPriority w:val="0"/>
    <w:rPr>
      <w:b/>
    </w:rPr>
  </w:style>
  <w:style w:type="character" w:styleId="12">
    <w:name w:val="FollowedHyperlink"/>
    <w:basedOn w:val="10"/>
    <w:qFormat/>
    <w:uiPriority w:val="0"/>
    <w:rPr>
      <w:rFonts w:ascii="微软雅黑" w:hAnsi="微软雅黑" w:eastAsia="微软雅黑" w:cs="微软雅黑"/>
      <w:color w:val="222222"/>
      <w:u w:val="none"/>
    </w:rPr>
  </w:style>
  <w:style w:type="character" w:styleId="13">
    <w:name w:val="Emphasis"/>
    <w:basedOn w:val="10"/>
    <w:qFormat/>
    <w:uiPriority w:val="0"/>
    <w:rPr>
      <w:color w:val="0062EB"/>
      <w:u w:val="none"/>
    </w:rPr>
  </w:style>
  <w:style w:type="character" w:styleId="14">
    <w:name w:val="Hyperlink"/>
    <w:basedOn w:val="10"/>
    <w:qFormat/>
    <w:uiPriority w:val="0"/>
    <w:rPr>
      <w:rFonts w:hint="eastAsia" w:ascii="微软雅黑" w:hAnsi="微软雅黑" w:eastAsia="微软雅黑" w:cs="微软雅黑"/>
      <w:color w:val="222222"/>
      <w:u w:val="none"/>
    </w:rPr>
  </w:style>
  <w:style w:type="character" w:styleId="15">
    <w:name w:val="HTML Code"/>
    <w:basedOn w:val="10"/>
    <w:qFormat/>
    <w:uiPriority w:val="0"/>
    <w:rPr>
      <w:rFonts w:ascii="Courier New" w:hAnsi="Courier New"/>
      <w:sz w:val="20"/>
    </w:rPr>
  </w:style>
  <w:style w:type="character" w:customStyle="1" w:styleId="16">
    <w:name w:val="zwxxgk_bnt5"/>
    <w:basedOn w:val="10"/>
    <w:qFormat/>
    <w:uiPriority w:val="0"/>
  </w:style>
  <w:style w:type="character" w:customStyle="1" w:styleId="17">
    <w:name w:val="zwxxgk_bnt51"/>
    <w:basedOn w:val="10"/>
    <w:qFormat/>
    <w:uiPriority w:val="0"/>
  </w:style>
  <w:style w:type="character" w:customStyle="1" w:styleId="18">
    <w:name w:val="zwxxgk_bnt6"/>
    <w:basedOn w:val="10"/>
    <w:qFormat/>
    <w:uiPriority w:val="0"/>
  </w:style>
  <w:style w:type="character" w:customStyle="1" w:styleId="19">
    <w:name w:val="zwxxgk_bnt61"/>
    <w:basedOn w:val="10"/>
    <w:qFormat/>
    <w:uiPriority w:val="0"/>
  </w:style>
  <w:style w:type="character" w:customStyle="1" w:styleId="20">
    <w:name w:val="zwxxgk_bnt62"/>
    <w:basedOn w:val="10"/>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2401</Words>
  <Characters>2494</Characters>
  <Lines>0</Lines>
  <Paragraphs>0</Paragraphs>
  <TotalTime>0</TotalTime>
  <ScaleCrop>false</ScaleCrop>
  <LinksUpToDate>false</LinksUpToDate>
  <CharactersWithSpaces>2531</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2022-01-20T00:50:00Z</dcterms:created>
  <dc:creator>baixin</dc:creator>
  <cp:lastModifiedBy>baixin</cp:lastModifiedBy>
  <cp:lastPrinted>2023-02-20T12:19:00Z</cp:lastPrinted>
  <dcterms:modified xsi:type="dcterms:W3CDTF">2023-02-22T11:35:56Z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37375FEF1C1746C78453C7057153CFD5</vt:lpwstr>
  </property>
</Properties>
</file>