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ind w:right="0" w:rightChars="0"/>
        <w:jc w:val="center"/>
        <w:textAlignment w:val="auto"/>
        <w:rPr>
          <w:rFonts w:hint="eastAsia" w:eastAsia="仿宋" w:cs="Times New Roman"/>
          <w:b/>
          <w:bCs/>
          <w:sz w:val="36"/>
          <w:szCs w:val="36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-116205</wp:posOffset>
                </wp:positionH>
                <wp:positionV relativeFrom="page">
                  <wp:posOffset>949960</wp:posOffset>
                </wp:positionV>
                <wp:extent cx="869950" cy="494030"/>
                <wp:effectExtent l="0" t="0" r="0" b="0"/>
                <wp:wrapNone/>
                <wp:docPr id="101" name="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9950" cy="49403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黑体" w:hAnsi="黑体" w:eastAsia="黑体" w:cs="黑体"/>
                                <w:b w:val="0"/>
                                <w:bCs w:val="0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32"/>
                                <w:szCs w:val="32"/>
                                <w:lang w:val="en-US" w:eastAsia="zh-CN"/>
                              </w:rPr>
                              <w:t>附件3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矩形 69" o:spid="_x0000_s1026" o:spt="1" style="position:absolute;left:0pt;margin-left:-9.15pt;margin-top:74.8pt;height:38.9pt;width:68.5pt;mso-position-vertical-relative:page;z-index:251662336;mso-width-relative:page;mso-height-relative:page;" filled="f" stroked="f" coordsize="21600,21600" o:gfxdata="UEsFBgAAAAAAAAAAAAAAAAAAAAAAAFBLAwQKAAAAAACHTuJAAAAAAAAAAAAAAAAABAAAAGRycy9Q&#10;SwMEFAAAAAgAh07iQLHgeuXcAAAACwEAAA8AAABkcnMvZG93bnJldi54bWxNj8tuwjAQRfeV+g/W&#10;IHVTgZMUQQhxWCBVRVUl1PBYm3hIosbjEJuE/n3Nii5H9+jeM+nqphvWY2drQwLCSQAMqTCqplLA&#10;fvc+joFZJ0nJxhAK+EULq+z5KZWJMgN9Y5+7kvkSsokUUDnXJpzbokIt7cS0SD47m05L58+u5KqT&#10;gy/XDY+CYMa1rMkvVLLFdYXFT37VAoZi2x93Xx98+3rcGLpsLuv88CnEyygMlsAc3twDhru+V4fM&#10;O53MlZRljYBxGL951AfTxQzYnQjjObCTgCiaT4FnKf//Q/YHUEsDBBQAAAAIAIdO4kD5lDDB1AEA&#10;AI4DAAAOAAAAZHJzL2Uyb0RvYy54bWytU0uOEzEQ3SNxB8t70p0wiaZb6cwmDBsEIw0coGJXpy35&#10;J9tJd06DxI5DcBzENSg7ITOCDUJs3GX7+VW9V9Xru8lodsQQlbMdn89qztAKJ5Xdd/zTx/tXt5zF&#10;BFaCdhY7fsLI7zYvX6xH3+LCDU5LDIxIbGxH3/EhJd9WVRQDGogz59HSZe+CgUTbsK9kgJHYja4W&#10;db2qRhekD05gjHS6PV/yTeHvexTpQ99HTEx3nGpLZQ1l3eW12qyh3QfwgxKXMuAfqjCgLCW9Um0h&#10;ATsE9QeVUSK46Po0E85Uru+VwKKB1Mzr39Q8DuCxaCFzor/aFP8frXh/fAhMSepdPefMgqEm/fj8&#10;9fu3L2zVZHtGH1tCPfqHcNlFCrPWqQ8mf0kFm4qlp6ulOCUm6PB21TRLMl7Q1U1zU78ulldPj32I&#10;6S06w3LQ8UAdK0bC8V1MlJCgvyA5l3X3SuvSNW3Z2PFmuVgSPdDs9BoShcaTmmj3heYZPtNsIQ7s&#10;CDQM0Wklz+03KmHWBu2AIN9YydLJkw2WJpbnHAYlZxppwHNUkAmU/hskla8tqcgunn3LUZp2E9Hk&#10;cOfkiTpw8EHtBzIghQPmFOUFNb04cBnQPFXP9wX19Btt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WAAAAZHJzL1BLAQIUABQAAAAIAIdO&#10;4kCx4Hrl3AAAAAsBAAAPAAAAAAAAAAEAIAAAADgAAABkcnMvZG93bnJldi54bWxQSwECFAAUAAAA&#10;CACHTuJA+ZQwwdQBAACOAwAADgAAAAAAAAABACAAAABBAQAAZHJzL2Uyb0RvYy54bWxQSwUGAAAA&#10;AAYABgBZAQAAhwUAAAAA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黑体" w:hAnsi="黑体" w:eastAsia="黑体" w:cs="黑体"/>
                          <w:b w:val="0"/>
                          <w:bCs w:val="0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sz w:val="32"/>
                          <w:szCs w:val="32"/>
                          <w:lang w:val="en-US" w:eastAsia="zh-CN"/>
                        </w:rPr>
                        <w:t>附件3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曲沃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县辐射事故分级标准、响应象件及应急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措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施表</w:t>
      </w:r>
    </w:p>
    <w:p>
      <w:pPr>
        <w:pStyle w:val="2"/>
        <w:rPr>
          <w:rFonts w:hint="eastAsia"/>
          <w:lang w:val="en-US" w:eastAsia="zh-CN"/>
        </w:rPr>
      </w:pPr>
    </w:p>
    <w:tbl>
      <w:tblPr>
        <w:tblStyle w:val="4"/>
        <w:tblW w:w="4998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9"/>
        <w:gridCol w:w="2761"/>
        <w:gridCol w:w="2761"/>
        <w:gridCol w:w="2761"/>
        <w:gridCol w:w="276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01" w:type="pc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</w:pPr>
          </w:p>
        </w:tc>
        <w:tc>
          <w:tcPr>
            <w:tcW w:w="1024" w:type="pc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特别重大辐射事故</w:t>
            </w:r>
          </w:p>
        </w:tc>
        <w:tc>
          <w:tcPr>
            <w:tcW w:w="1024" w:type="pc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重大辐射事故</w:t>
            </w:r>
          </w:p>
        </w:tc>
        <w:tc>
          <w:tcPr>
            <w:tcW w:w="1024" w:type="pc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较大辐射事故</w:t>
            </w:r>
          </w:p>
        </w:tc>
        <w:tc>
          <w:tcPr>
            <w:tcW w:w="1025" w:type="pc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一般辐射事故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901" w:type="pc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分级标准</w:t>
            </w:r>
          </w:p>
        </w:tc>
        <w:tc>
          <w:tcPr>
            <w:tcW w:w="1024" w:type="pc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kern w:val="10"/>
                <w:szCs w:val="21"/>
                <w:lang w:val="en-US" w:eastAsia="zh-CN"/>
              </w:rPr>
              <w:t>凡符合下列情形之一的，为特别重大辐射事故</w:t>
            </w: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（1）Ⅰ</w:t>
            </w:r>
            <w:r>
              <w:rPr>
                <w:rFonts w:hint="default" w:ascii="仿宋" w:hAnsi="仿宋" w:eastAsia="仿宋" w:cs="仿宋"/>
                <w:kern w:val="10"/>
                <w:szCs w:val="21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Ⅱ</w:t>
            </w:r>
            <w:r>
              <w:rPr>
                <w:rFonts w:hint="default" w:ascii="仿宋" w:hAnsi="仿宋" w:eastAsia="仿宋" w:cs="仿宋"/>
                <w:kern w:val="10"/>
                <w:szCs w:val="21"/>
                <w:lang w:val="en-US" w:eastAsia="zh-CN"/>
              </w:rPr>
              <w:t>类放射源丢失、被盗、失控并造成大范围严重辐射污染后果</w:t>
            </w: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（2）</w:t>
            </w:r>
            <w:r>
              <w:rPr>
                <w:rFonts w:hint="default" w:ascii="仿宋" w:hAnsi="仿宋" w:eastAsia="仿宋" w:cs="仿宋"/>
                <w:kern w:val="10"/>
                <w:szCs w:val="21"/>
                <w:lang w:val="en-US" w:eastAsia="zh-CN"/>
              </w:rPr>
              <w:t>放射性同位素和射线装置失控导致3人及以上急性死亡</w:t>
            </w: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（3）</w:t>
            </w:r>
            <w:r>
              <w:rPr>
                <w:rFonts w:hint="default" w:ascii="仿宋" w:hAnsi="仿宋" w:eastAsia="仿宋" w:cs="仿宋"/>
                <w:kern w:val="10"/>
                <w:szCs w:val="21"/>
                <w:lang w:val="en-US" w:eastAsia="zh-CN"/>
              </w:rPr>
              <w:t>放射性物质泄漏，造成大范围辐射污染后果</w:t>
            </w: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（4）</w:t>
            </w:r>
            <w:r>
              <w:rPr>
                <w:rFonts w:hint="default" w:ascii="仿宋" w:hAnsi="仿宋" w:eastAsia="仿宋" w:cs="仿宋"/>
                <w:kern w:val="10"/>
                <w:szCs w:val="21"/>
                <w:lang w:val="en-US" w:eastAsia="zh-CN"/>
              </w:rPr>
              <w:t>国内外航天器在我</w:t>
            </w: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县</w:t>
            </w:r>
            <w:r>
              <w:rPr>
                <w:rFonts w:hint="default" w:ascii="仿宋" w:hAnsi="仿宋" w:eastAsia="仿宋" w:cs="仿宋"/>
                <w:kern w:val="10"/>
                <w:szCs w:val="21"/>
                <w:lang w:val="en-US" w:eastAsia="zh-CN"/>
              </w:rPr>
              <w:t>行政区域内坠落造成的环境放射性污染事件，以及可能对我</w:t>
            </w: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县</w:t>
            </w:r>
            <w:r>
              <w:rPr>
                <w:rFonts w:hint="default" w:ascii="仿宋" w:hAnsi="仿宋" w:eastAsia="仿宋" w:cs="仿宋"/>
                <w:kern w:val="10"/>
                <w:szCs w:val="21"/>
                <w:lang w:val="en-US" w:eastAsia="zh-CN"/>
              </w:rPr>
              <w:t>环境造成辐射影响的</w:t>
            </w: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县</w:t>
            </w:r>
            <w:r>
              <w:rPr>
                <w:rFonts w:hint="default" w:ascii="仿宋" w:hAnsi="仿宋" w:eastAsia="仿宋" w:cs="仿宋"/>
                <w:kern w:val="10"/>
                <w:szCs w:val="21"/>
                <w:lang w:val="en-US" w:eastAsia="zh-CN"/>
              </w:rPr>
              <w:t>域外核与辐射事故、事件。</w:t>
            </w:r>
          </w:p>
        </w:tc>
        <w:tc>
          <w:tcPr>
            <w:tcW w:w="1024" w:type="pc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凡符合下列情形之一的，为重大辐射事故：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（1）Ⅰ、Ⅱ类放射源丢失、被盗、失控；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（2）放射性同位素和射线装置失控导致3人以下急性死亡或者10人及以上急性重度放射病、局部器官残疾；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（3）放射性物质泄漏，造成较大范围辐射污染后果。</w:t>
            </w:r>
          </w:p>
        </w:tc>
        <w:tc>
          <w:tcPr>
            <w:tcW w:w="1024" w:type="pc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凡符合下列情形之一的，为较大辐射事故：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（1）Ⅳ、Ⅴ类放射源丢失、被盗、失控；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（2）放射性同位素和射线装置失控导致10人以下急性重度放射病、局部器官残疾；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（3）放射性物质泄漏，造成小范围辐射污染后果。</w:t>
            </w:r>
          </w:p>
        </w:tc>
        <w:tc>
          <w:tcPr>
            <w:tcW w:w="1025" w:type="pc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凡符合下列情形之一的，为一般辐射事故：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（1）Ⅳ、Ⅴ类放射源丢失、被盗、失控；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（2）放射性同位素和射线装置失控导致人员受到超过年剂量限值的照射；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（3）放射性物质泄漏，造成局部辐射污染后果；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（4）伴生放射性矿开发利用超标排放，造成环境辐射污染后果；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（5）测井用放射源落井，打捞不成功进行封井处理。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901" w:type="pc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响应条件及应急措施</w:t>
            </w:r>
          </w:p>
        </w:tc>
        <w:tc>
          <w:tcPr>
            <w:tcW w:w="1024" w:type="pc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初判发生特别重大辐射事故，上报市政府。</w:t>
            </w:r>
          </w:p>
        </w:tc>
        <w:tc>
          <w:tcPr>
            <w:tcW w:w="1024" w:type="pc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初判发生重大辐射事故，上报市政府。</w:t>
            </w:r>
          </w:p>
        </w:tc>
        <w:tc>
          <w:tcPr>
            <w:tcW w:w="1024" w:type="pc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初判发生较大辐射事故，上报市政府。</w:t>
            </w:r>
          </w:p>
        </w:tc>
        <w:tc>
          <w:tcPr>
            <w:tcW w:w="1025" w:type="pc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10"/>
                <w:szCs w:val="21"/>
                <w:lang w:val="en-US" w:eastAsia="zh-CN"/>
              </w:rPr>
              <w:t>初判发生一般辐射事故时，启动四级响应。应急措施:详见4.3.1</w:t>
            </w:r>
          </w:p>
        </w:tc>
      </w:tr>
    </w:tbl>
    <w:p>
      <w:pPr>
        <w:rPr>
          <w:rFonts w:hint="default"/>
        </w:rPr>
        <w:sectPr>
          <w:footerReference r:id="rId3" w:type="default"/>
          <w:pgSz w:w="16838" w:h="11906" w:orient="landscape"/>
          <w:pgMar w:top="1701" w:right="1871" w:bottom="1701" w:left="170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8"/>
          <w:cols w:space="720" w:num="1"/>
          <w:rtlGutter w:val="0"/>
          <w:docGrid w:type="lines" w:linePitch="312" w:charSpace="0"/>
        </w:sect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B1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altName w:val="方正小标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both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FFD9353"/>
    <w:rsid w:val="9FFD9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2022-01-21T10:22:00Z</dcterms:created>
  <dc:creator>baixin</dc:creator>
  <cp:lastModifiedBy>baixin</cp:lastModifiedBy>
  <dcterms:modified xsi:type="dcterms:W3CDTF">2022-01-21T10:26:41Z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