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rPr>
          <w:rFonts w:hint="eastAsia"/>
          <w:lang w:val="en-US" w:eastAsia="zh-CN"/>
        </w:rPr>
      </w:pPr>
      <w:r>
        <w:rPr>
          <w:rFonts w:hint="eastAsia"/>
          <w:lang w:val="en-US" w:eastAsia="zh-CN"/>
        </w:rPr>
        <w:t>曲沃县财政局2021年法治政府建设年度报告</w:t>
      </w:r>
    </w:p>
    <w:p>
      <w:pPr>
        <w:rPr>
          <w:rFonts w:hint="eastAsia" w:eastAsia="仿宋_GB2312"/>
          <w:lang w:val="en-US" w:eastAsia="zh-CN"/>
        </w:rPr>
      </w:pPr>
      <w:r>
        <w:rPr>
          <w:rFonts w:hint="eastAsia"/>
          <w:lang w:val="en-US" w:eastAsia="zh-CN"/>
        </w:rPr>
        <w:t>为进一步贯彻落实《临汾市法治政府建设年度报告制度》（曲法治办</w:t>
      </w:r>
      <w:r>
        <w:rPr>
          <w:rFonts w:hint="eastAsia" w:ascii="仿宋_GB2312" w:hAnsi="仿宋_GB2312" w:eastAsia="仿宋_GB2312" w:cs="仿宋_GB2312"/>
          <w:lang w:val="en-US" w:eastAsia="zh-CN"/>
        </w:rPr>
        <w:t>〔2020〕10</w:t>
      </w:r>
      <w:r>
        <w:rPr>
          <w:rFonts w:hint="eastAsia"/>
          <w:lang w:val="en-US" w:eastAsia="zh-CN"/>
        </w:rPr>
        <w:t>号）文件要求，推进法治政府建设、普法依法治理、依法行政工作顺利进行，我局紧紧围绕上级重大决策部署，以习近平新时代中国特色社会主义思想为指引，深入贯彻党的十九大和十九届历次全会精神，强化财政部门普法工作责任，努力提升依法行政水平，依法履行财政职能，教育引导财政干部增强法治观念，树立法治信仰，推动法治政府建设迈上新台阶。现将</w:t>
      </w:r>
      <w:r>
        <w:rPr>
          <w:rFonts w:hint="eastAsia" w:ascii="仿宋_GB2312" w:hAnsi="仿宋_GB2312" w:eastAsia="仿宋_GB2312" w:cs="仿宋_GB2312"/>
          <w:lang w:val="en-US" w:eastAsia="zh-CN"/>
        </w:rPr>
        <w:t>2021</w:t>
      </w:r>
      <w:r>
        <w:rPr>
          <w:rFonts w:hint="eastAsia"/>
          <w:lang w:val="en-US" w:eastAsia="zh-CN"/>
        </w:rPr>
        <w:t>年法治建设工作情况汇报如下：</w:t>
      </w:r>
    </w:p>
    <w:p>
      <w:pPr>
        <w:pStyle w:val="2"/>
        <w:bidi w:val="0"/>
        <w:rPr>
          <w:rFonts w:hint="eastAsia"/>
          <w:lang w:val="en-US" w:eastAsia="zh-CN"/>
        </w:rPr>
      </w:pPr>
      <w:r>
        <w:rPr>
          <w:rFonts w:hint="eastAsia"/>
          <w:lang w:val="en-US" w:eastAsia="zh-CN"/>
        </w:rPr>
        <w:t>一、2021年度推进法治政府建设的主要举措和成效</w:t>
      </w:r>
    </w:p>
    <w:p>
      <w:pPr>
        <w:pStyle w:val="3"/>
        <w:numPr>
          <w:ilvl w:val="0"/>
          <w:numId w:val="1"/>
        </w:numPr>
        <w:bidi w:val="0"/>
        <w:rPr>
          <w:rFonts w:hint="eastAsia"/>
          <w:lang w:val="en-US" w:eastAsia="zh-CN"/>
        </w:rPr>
      </w:pPr>
      <w:r>
        <w:rPr>
          <w:rFonts w:hint="eastAsia"/>
          <w:lang w:val="en-US" w:eastAsia="zh-CN"/>
        </w:rPr>
        <w:t>加强组织领导，健全领导机制</w:t>
      </w:r>
    </w:p>
    <w:p>
      <w:pPr>
        <w:bidi w:val="0"/>
        <w:rPr>
          <w:rFonts w:hint="default"/>
          <w:lang w:val="en-US" w:eastAsia="zh-CN"/>
        </w:rPr>
      </w:pPr>
      <w:r>
        <w:rPr>
          <w:rFonts w:hint="default"/>
          <w:lang w:val="en-US" w:eastAsia="zh-CN"/>
        </w:rPr>
        <w:t>我局高度重视依法行政工作，组建了以党组书记、局长丁全保同志任组长，党组成员、</w:t>
      </w:r>
      <w:r>
        <w:rPr>
          <w:rFonts w:hint="eastAsia"/>
          <w:lang w:val="en-US" w:eastAsia="zh-CN"/>
        </w:rPr>
        <w:t>分管领导</w:t>
      </w:r>
      <w:r>
        <w:rPr>
          <w:rFonts w:hint="default"/>
          <w:lang w:val="en-US" w:eastAsia="zh-CN"/>
        </w:rPr>
        <w:t>任副组长，其余党组成员为成员的</w:t>
      </w:r>
      <w:r>
        <w:rPr>
          <w:rFonts w:hint="eastAsia"/>
          <w:lang w:val="en-US" w:eastAsia="zh-CN"/>
        </w:rPr>
        <w:t>依法行政</w:t>
      </w:r>
      <w:r>
        <w:rPr>
          <w:rFonts w:hint="default"/>
          <w:lang w:val="en-US" w:eastAsia="zh-CN"/>
        </w:rPr>
        <w:t>工作领导小组，完善了领导小组职责和制度，加强了</w:t>
      </w:r>
      <w:r>
        <w:rPr>
          <w:rFonts w:hint="eastAsia"/>
          <w:lang w:val="en-US" w:eastAsia="zh-CN"/>
        </w:rPr>
        <w:t>法治政府建设</w:t>
      </w:r>
      <w:r>
        <w:rPr>
          <w:rFonts w:hint="default"/>
          <w:lang w:val="en-US" w:eastAsia="zh-CN"/>
        </w:rPr>
        <w:t>的领导力量。并下设办公室负责承办日常工作</w:t>
      </w:r>
      <w:r>
        <w:rPr>
          <w:rFonts w:hint="eastAsia"/>
          <w:lang w:val="en-US" w:eastAsia="zh-CN"/>
        </w:rPr>
        <w:t>，各股室、中心负责人为办公室成员，严格</w:t>
      </w:r>
      <w:r>
        <w:rPr>
          <w:rFonts w:hint="default"/>
          <w:lang w:val="en-US" w:eastAsia="zh-CN"/>
        </w:rPr>
        <w:t>落实领导小组的各项决策部署。</w:t>
      </w:r>
    </w:p>
    <w:p>
      <w:pPr>
        <w:pStyle w:val="3"/>
        <w:numPr>
          <w:ilvl w:val="0"/>
          <w:numId w:val="1"/>
        </w:numPr>
        <w:bidi w:val="0"/>
        <w:rPr>
          <w:rFonts w:hint="eastAsia"/>
          <w:lang w:val="en-US" w:eastAsia="zh-CN"/>
        </w:rPr>
      </w:pPr>
      <w:r>
        <w:rPr>
          <w:rFonts w:hint="eastAsia"/>
          <w:lang w:val="en-US" w:eastAsia="zh-CN"/>
        </w:rPr>
        <w:t>召开专题会议，全面动员部署</w:t>
      </w:r>
    </w:p>
    <w:p>
      <w:pPr>
        <w:bidi w:val="0"/>
        <w:rPr>
          <w:rFonts w:hint="eastAsia"/>
          <w:lang w:val="en-US" w:eastAsia="zh-CN"/>
        </w:rPr>
      </w:pPr>
      <w:r>
        <w:rPr>
          <w:rFonts w:hint="eastAsia"/>
          <w:lang w:val="en-US" w:eastAsia="zh-CN"/>
        </w:rPr>
        <w:t>召开推进法治政府建设专题会议，根据《</w:t>
      </w:r>
      <w:r>
        <w:rPr>
          <w:rFonts w:hint="eastAsia" w:ascii="仿宋_GB2312" w:hAnsi="仿宋_GB2312" w:eastAsia="仿宋_GB2312" w:cs="仿宋_GB2312"/>
          <w:lang w:val="en-US" w:eastAsia="zh-CN"/>
        </w:rPr>
        <w:t>2021</w:t>
      </w:r>
      <w:r>
        <w:rPr>
          <w:rFonts w:hint="eastAsia"/>
          <w:lang w:val="en-US" w:eastAsia="zh-CN"/>
        </w:rPr>
        <w:t>年曲沃县普法依法治理工作要点》、《</w:t>
      </w:r>
      <w:r>
        <w:rPr>
          <w:rFonts w:hint="eastAsia" w:ascii="仿宋_GB2312" w:hAnsi="仿宋_GB2312" w:eastAsia="仿宋_GB2312" w:cs="仿宋_GB2312"/>
          <w:lang w:val="en-US" w:eastAsia="zh-CN"/>
        </w:rPr>
        <w:t>2021</w:t>
      </w:r>
      <w:r>
        <w:rPr>
          <w:rFonts w:hint="eastAsia"/>
          <w:lang w:val="en-US" w:eastAsia="zh-CN"/>
        </w:rPr>
        <w:t>年县级部门普法责任清单》认真研究部署本单位依法行政重点工作，制定年度工作任务与责任清单，层层压实责任，将各项工作抓好、抓实。建立健全依法行政工作领导机制，严格落实法治政府建设第一责任人职责，坚持领导干部学法制度，通过主要领导统筹谋划，分管领导具体负责，各股室、中心各司其职、协调配合，确保依法、依规履职。</w:t>
      </w:r>
    </w:p>
    <w:p>
      <w:pPr>
        <w:pStyle w:val="3"/>
        <w:numPr>
          <w:ilvl w:val="0"/>
          <w:numId w:val="1"/>
        </w:numPr>
        <w:bidi w:val="0"/>
        <w:rPr>
          <w:rFonts w:hint="eastAsia"/>
          <w:lang w:val="en-US" w:eastAsia="zh-CN"/>
        </w:rPr>
      </w:pPr>
      <w:r>
        <w:rPr>
          <w:rFonts w:hint="eastAsia"/>
          <w:lang w:val="en-US" w:eastAsia="zh-CN"/>
        </w:rPr>
        <w:t>多重举措发力，全面积极推进</w:t>
      </w:r>
    </w:p>
    <w:p>
      <w:pPr>
        <w:bidi w:val="0"/>
        <w:rPr>
          <w:rFonts w:hint="eastAsia" w:ascii="仿宋_GB2312" w:hAnsi="仿宋_GB2312" w:eastAsia="仿宋_GB2312" w:cs="仿宋_GB2312"/>
          <w:sz w:val="32"/>
        </w:rPr>
      </w:pPr>
      <w:r>
        <w:rPr>
          <w:rStyle w:val="11"/>
          <w:rFonts w:hint="eastAsia"/>
          <w:lang w:val="en-US" w:eastAsia="zh-CN"/>
        </w:rPr>
        <w:t>一是加强法律法规学习，提升依法行政能力。</w:t>
      </w:r>
      <w:r>
        <w:rPr>
          <w:rFonts w:hint="eastAsia"/>
          <w:lang w:val="en-US" w:eastAsia="zh-CN"/>
        </w:rPr>
        <w:t>持续深入学习贯彻习近平总书记全面依法治国新理念新思想新战略。全面落实党委理论学习中心组学法制度，坚持领导干部带头学法用法，严格落实国家工作人员学法制度。引导全体干部职工集中学习省财政厅“十四五”期间深化财税体制改革情况专题讲座，深入学习《中华人民共和国宪法》《资产评估法》《密码法》等相关法律法规，进一步加深对财税体制机制改革的认识，不断提高财政干部依法理财的意识，</w:t>
      </w:r>
      <w:r>
        <w:rPr>
          <w:rFonts w:hint="eastAsia" w:ascii="仿宋_GB2312" w:hAnsi="仿宋_GB2312" w:eastAsia="仿宋_GB2312" w:cs="仿宋_GB2312"/>
          <w:sz w:val="32"/>
        </w:rPr>
        <w:t>努力打造一支政治强、作风硬、业务精的</w:t>
      </w:r>
      <w:r>
        <w:rPr>
          <w:rFonts w:hint="eastAsia" w:ascii="仿宋_GB2312" w:hAnsi="仿宋_GB2312" w:cs="仿宋_GB2312"/>
          <w:sz w:val="32"/>
          <w:lang w:eastAsia="zh-CN"/>
        </w:rPr>
        <w:t>法治</w:t>
      </w:r>
      <w:r>
        <w:rPr>
          <w:rFonts w:hint="eastAsia" w:ascii="仿宋_GB2312" w:hAnsi="仿宋_GB2312" w:eastAsia="仿宋_GB2312" w:cs="仿宋_GB2312"/>
          <w:sz w:val="32"/>
        </w:rPr>
        <w:t>工作队伍。</w:t>
      </w:r>
    </w:p>
    <w:p>
      <w:pPr>
        <w:bidi w:val="0"/>
        <w:rPr>
          <w:rFonts w:hint="eastAsia" w:ascii="仿宋_GB2312" w:hAnsi="仿宋_GB2312" w:eastAsia="仿宋" w:cs="仿宋_GB2312"/>
          <w:sz w:val="32"/>
          <w:lang w:eastAsia="zh-CN"/>
        </w:rPr>
      </w:pPr>
      <w:r>
        <w:rPr>
          <w:rStyle w:val="11"/>
          <w:rFonts w:hint="eastAsia"/>
          <w:lang w:eastAsia="zh-CN"/>
        </w:rPr>
        <w:t>二是加强财政规范管理，规范行政执法行为。</w:t>
      </w:r>
      <w:r>
        <w:rPr>
          <w:rFonts w:hint="eastAsia" w:ascii="仿宋_GB2312" w:hAnsi="仿宋_GB2312" w:cs="仿宋_GB2312"/>
          <w:sz w:val="32"/>
          <w:lang w:eastAsia="zh-CN"/>
        </w:rPr>
        <w:t>深入实施简政放权，</w:t>
      </w:r>
      <w:r>
        <w:rPr>
          <w:rFonts w:hint="eastAsia" w:ascii="仿宋" w:hAnsi="仿宋" w:eastAsia="仿宋"/>
          <w:sz w:val="32"/>
          <w:szCs w:val="32"/>
        </w:rPr>
        <w:t>推进代理记账行业“放管服效”和“证照分离”改革全覆盖，全面实施行政审批方式由优化服务转为告知承诺</w:t>
      </w:r>
      <w:r>
        <w:rPr>
          <w:rFonts w:hint="eastAsia" w:ascii="仿宋" w:hAnsi="仿宋" w:eastAsia="仿宋"/>
          <w:sz w:val="32"/>
          <w:szCs w:val="32"/>
          <w:lang w:eastAsia="zh-CN"/>
        </w:rPr>
        <w:t>，做到</w:t>
      </w:r>
      <w:r>
        <w:rPr>
          <w:rFonts w:hint="eastAsia" w:ascii="仿宋" w:hAnsi="仿宋" w:eastAsia="仿宋"/>
          <w:sz w:val="32"/>
          <w:szCs w:val="32"/>
        </w:rPr>
        <w:t>减证便民、优化服务</w:t>
      </w:r>
      <w:r>
        <w:rPr>
          <w:rFonts w:hint="eastAsia" w:ascii="仿宋" w:hAnsi="仿宋" w:eastAsia="仿宋"/>
          <w:sz w:val="32"/>
          <w:szCs w:val="32"/>
          <w:lang w:eastAsia="zh-CN"/>
        </w:rPr>
        <w:t>；</w:t>
      </w:r>
      <w:r>
        <w:rPr>
          <w:rFonts w:hint="eastAsia" w:ascii="仿宋_GB2312" w:hAnsi="仿宋_GB2312" w:cs="仿宋_GB2312"/>
          <w:sz w:val="32"/>
          <w:lang w:eastAsia="zh-CN"/>
        </w:rPr>
        <w:t>推行行政检查“双随机、一公开”工作，坚持做到明确随机主体，建立随机抽查事项清单、抽查对象名录库与执法检查人员名录库，制定抽查工作计划，有效履行监察职能，确保“双随机、一公开”检查覆盖率。</w:t>
      </w:r>
    </w:p>
    <w:p>
      <w:pPr>
        <w:bidi w:val="0"/>
        <w:rPr>
          <w:rFonts w:hint="eastAsia" w:ascii="仿宋_GB2312" w:hAnsi="仿宋_GB2312" w:eastAsia="仿宋" w:cs="仿宋_GB2312"/>
          <w:sz w:val="32"/>
          <w:lang w:val="en-US" w:eastAsia="zh-CN"/>
        </w:rPr>
      </w:pPr>
      <w:r>
        <w:rPr>
          <w:rStyle w:val="11"/>
          <w:rFonts w:hint="eastAsia"/>
          <w:lang w:val="en-US" w:eastAsia="zh-CN"/>
        </w:rPr>
        <w:t>三是开展全面普法宣传，营造学法用法氛围。</w:t>
      </w:r>
      <w:r>
        <w:rPr>
          <w:rFonts w:hint="eastAsia" w:ascii="仿宋_GB2312" w:hAnsi="仿宋_GB2312" w:cs="仿宋_GB2312"/>
          <w:sz w:val="32"/>
          <w:lang w:val="en-US" w:eastAsia="zh-CN"/>
        </w:rPr>
        <w:t>认真编制“八五”普法规划，严格落实“谁执法谁普法”普法责任制。针对管理对象、服务对象和执法对象的实际需求，通过预算绩效管理培训、部门决算编制培训、</w:t>
      </w:r>
      <w:r>
        <w:rPr>
          <w:rFonts w:hint="eastAsia" w:ascii="仿宋" w:hAnsi="仿宋" w:eastAsia="仿宋" w:cs="仿宋"/>
          <w:sz w:val="32"/>
          <w:szCs w:val="32"/>
        </w:rPr>
        <w:t>行政事业单位会计人员培训</w:t>
      </w:r>
      <w:r>
        <w:rPr>
          <w:rFonts w:hint="eastAsia" w:ascii="仿宋" w:hAnsi="仿宋" w:eastAsia="仿宋" w:cs="仿宋"/>
          <w:sz w:val="32"/>
          <w:szCs w:val="32"/>
          <w:lang w:eastAsia="zh-CN"/>
        </w:rPr>
        <w:t>、</w:t>
      </w:r>
      <w:r>
        <w:rPr>
          <w:rFonts w:hint="eastAsia" w:ascii="仿宋_GB2312" w:hAnsi="仿宋_GB2312" w:cs="仿宋_GB2312"/>
          <w:sz w:val="32"/>
          <w:lang w:val="en-US" w:eastAsia="zh-CN"/>
        </w:rPr>
        <w:t>行政事业性国有资产管理培训等业务培训同步开展</w:t>
      </w:r>
      <w:r>
        <w:rPr>
          <w:rFonts w:hint="eastAsia" w:ascii="仿宋_GB2312" w:hAnsi="仿宋_GB2312" w:eastAsia="仿宋_GB2312" w:cs="仿宋_GB2312"/>
          <w:sz w:val="32"/>
          <w:szCs w:val="32"/>
        </w:rPr>
        <w:t>预算绩效管理制度</w:t>
      </w:r>
      <w:r>
        <w:rPr>
          <w:rFonts w:hint="eastAsia" w:ascii="仿宋_GB2312" w:hAnsi="仿宋_GB2312" w:cs="仿宋_GB2312"/>
          <w:sz w:val="32"/>
          <w:szCs w:val="32"/>
          <w:lang w:eastAsia="zh-CN"/>
        </w:rPr>
        <w:t>、</w:t>
      </w:r>
      <w:r>
        <w:rPr>
          <w:rFonts w:hint="eastAsia" w:ascii="仿宋_GB2312" w:hAnsi="仿宋_GB2312" w:cs="仿宋_GB2312"/>
          <w:sz w:val="32"/>
          <w:lang w:val="en-US" w:eastAsia="zh-CN"/>
        </w:rPr>
        <w:t>《预算法》及其实施条例、《会计法》及</w:t>
      </w:r>
      <w:r>
        <w:rPr>
          <w:rFonts w:hint="eastAsia" w:ascii="仿宋" w:hAnsi="仿宋" w:eastAsia="仿宋" w:cs="仿宋"/>
          <w:sz w:val="32"/>
          <w:szCs w:val="32"/>
        </w:rPr>
        <w:t>《关于加强全省会计人员培训工作的意见》</w:t>
      </w:r>
      <w:r>
        <w:rPr>
          <w:rFonts w:hint="eastAsia" w:ascii="仿宋" w:hAnsi="仿宋" w:eastAsia="仿宋" w:cs="仿宋"/>
          <w:sz w:val="32"/>
          <w:szCs w:val="32"/>
          <w:lang w:eastAsia="zh-CN"/>
        </w:rPr>
        <w:t>、国有资产配置管理办法等</w:t>
      </w:r>
      <w:r>
        <w:rPr>
          <w:rFonts w:hint="eastAsia" w:ascii="仿宋_GB2312" w:hAnsi="仿宋_GB2312" w:cs="仿宋_GB2312"/>
          <w:sz w:val="32"/>
          <w:lang w:val="en-US" w:eastAsia="zh-CN"/>
        </w:rPr>
        <w:t>财政法律法规的培训和宣传，使普法更具针对性、实效性。同时，以“3.15”消费者权益日、“4.15”全民国家安全教育日、“6.26”禁毒宣传日、“12.4”国家宪法日等时间节点为契机，协同各相关职能部门深入乡镇、社区，通过设立咨询台、派发普法宣传小册子的形式向群众宣传法律热点和政策法规，营造尊法学法守法用法良好氛围。</w:t>
      </w:r>
    </w:p>
    <w:p>
      <w:pPr>
        <w:pStyle w:val="3"/>
        <w:numPr>
          <w:ilvl w:val="0"/>
          <w:numId w:val="1"/>
        </w:numPr>
        <w:bidi w:val="0"/>
        <w:rPr>
          <w:rFonts w:hint="eastAsia"/>
          <w:lang w:val="en-US" w:eastAsia="zh-CN"/>
        </w:rPr>
      </w:pPr>
      <w:r>
        <w:rPr>
          <w:rFonts w:hint="eastAsia"/>
          <w:lang w:val="en-US" w:eastAsia="zh-CN"/>
        </w:rPr>
        <w:t>制度建设和工作成绩、经验和亮点</w:t>
      </w:r>
    </w:p>
    <w:p>
      <w:pPr>
        <w:bidi w:val="0"/>
        <w:rPr>
          <w:rStyle w:val="11"/>
          <w:rFonts w:hint="eastAsia"/>
          <w:lang w:val="en-US" w:eastAsia="zh-CN"/>
        </w:rPr>
      </w:pPr>
      <w:r>
        <w:rPr>
          <w:rStyle w:val="11"/>
          <w:rFonts w:hint="eastAsia"/>
          <w:lang w:val="en-US" w:eastAsia="zh-CN"/>
        </w:rPr>
        <w:t>一是大力加强制度建设，争取财政管理新突破。</w:t>
      </w:r>
    </w:p>
    <w:p>
      <w:pPr>
        <w:bidi w:val="0"/>
        <w:rPr>
          <w:rFonts w:hint="eastAsia"/>
          <w:lang w:val="en-US" w:eastAsia="zh-CN"/>
        </w:rPr>
      </w:pPr>
      <w:r>
        <w:rPr>
          <w:rFonts w:hint="eastAsia"/>
          <w:lang w:val="en-US" w:eastAsia="zh-CN"/>
        </w:rPr>
        <w:t>为认真贯彻落实《政府采购法》《政府采购法实施条例》相关规章制度和省、市、县的各项要求，印发了《关于转发</w:t>
      </w:r>
      <w:r>
        <w:rPr>
          <w:rFonts w:hint="eastAsia" w:ascii="仿宋_GB2312" w:hAnsi="仿宋_GB2312" w:eastAsia="仿宋_GB2312" w:cs="仿宋_GB2312"/>
          <w:lang w:val="en-US" w:eastAsia="zh-CN"/>
        </w:rPr>
        <w:t>〈</w:t>
      </w:r>
      <w:r>
        <w:rPr>
          <w:rFonts w:hint="eastAsia"/>
          <w:lang w:val="en-US" w:eastAsia="zh-CN"/>
        </w:rPr>
        <w:t>山西省财政厅 山西省小企业发展促进局关于积极运用政府采购政策促进中小企业发展的通知</w:t>
      </w:r>
      <w:r>
        <w:rPr>
          <w:rFonts w:hint="eastAsia" w:ascii="仿宋_GB2312" w:hAnsi="仿宋_GB2312" w:eastAsia="仿宋_GB2312" w:cs="仿宋_GB2312"/>
          <w:lang w:val="en-US" w:eastAsia="zh-CN"/>
        </w:rPr>
        <w:t>〉</w:t>
      </w:r>
      <w:r>
        <w:rPr>
          <w:rFonts w:hint="eastAsia"/>
          <w:lang w:val="en-US" w:eastAsia="zh-CN"/>
        </w:rPr>
        <w:t>的通知》《关于转发</w:t>
      </w:r>
      <w:r>
        <w:rPr>
          <w:rFonts w:hint="eastAsia" w:ascii="仿宋_GB2312" w:hAnsi="仿宋_GB2312" w:eastAsia="仿宋_GB2312" w:cs="仿宋_GB2312"/>
          <w:lang w:val="en-US" w:eastAsia="zh-CN"/>
        </w:rPr>
        <w:t>〈</w:t>
      </w:r>
      <w:r>
        <w:rPr>
          <w:rFonts w:hint="eastAsia"/>
          <w:lang w:val="en-US" w:eastAsia="zh-CN"/>
        </w:rPr>
        <w:t>山西省财政厅关于防汛救灾政府采购便捷化的通知</w:t>
      </w:r>
      <w:r>
        <w:rPr>
          <w:rFonts w:hint="eastAsia" w:ascii="仿宋_GB2312" w:hAnsi="仿宋_GB2312" w:eastAsia="仿宋_GB2312" w:cs="仿宋_GB2312"/>
          <w:lang w:val="en-US" w:eastAsia="zh-CN"/>
        </w:rPr>
        <w:t>〉</w:t>
      </w:r>
      <w:r>
        <w:rPr>
          <w:rFonts w:hint="eastAsia"/>
          <w:lang w:val="en-US" w:eastAsia="zh-CN"/>
        </w:rPr>
        <w:t>的通知》等制度；为进一步优化营商环境，促进财政服务提质增效，印发了《关于转发</w:t>
      </w:r>
      <w:r>
        <w:rPr>
          <w:rFonts w:hint="eastAsia" w:ascii="仿宋_GB2312" w:hAnsi="仿宋_GB2312" w:eastAsia="仿宋_GB2312" w:cs="仿宋_GB2312"/>
          <w:lang w:val="en-US" w:eastAsia="zh-CN"/>
        </w:rPr>
        <w:t>〈</w:t>
      </w:r>
      <w:r>
        <w:rPr>
          <w:rFonts w:hint="eastAsia"/>
          <w:lang w:val="en-US" w:eastAsia="zh-CN"/>
        </w:rPr>
        <w:t>山西省财政厅关于促进公平竞争优化营商环境的通知</w:t>
      </w:r>
      <w:r>
        <w:rPr>
          <w:rFonts w:hint="eastAsia" w:ascii="仿宋_GB2312" w:hAnsi="仿宋_GB2312" w:eastAsia="仿宋_GB2312" w:cs="仿宋_GB2312"/>
          <w:lang w:val="en-US" w:eastAsia="zh-CN"/>
        </w:rPr>
        <w:t>〉</w:t>
      </w:r>
      <w:r>
        <w:rPr>
          <w:rFonts w:hint="eastAsia"/>
          <w:lang w:val="en-US" w:eastAsia="zh-CN"/>
        </w:rPr>
        <w:t>的通知》《关于进一步优化营商环境开展自查自纠工作的通知》；为加强预算绩效管理工作，制定了</w:t>
      </w:r>
      <w:r>
        <w:rPr>
          <w:rFonts w:hint="eastAsia" w:ascii="仿宋_GB2312" w:hAnsi="仿宋_GB2312" w:eastAsia="仿宋_GB2312" w:cs="仿宋_GB2312"/>
          <w:b w:val="0"/>
          <w:bCs w:val="0"/>
          <w:color w:val="000000"/>
          <w:kern w:val="0"/>
          <w:sz w:val="32"/>
          <w:szCs w:val="32"/>
          <w:lang w:val="en-US" w:eastAsia="zh-CN" w:bidi="ar"/>
        </w:rPr>
        <w:t>《关于2021年度项目支出绩效运行跟踪监控工作的通知》</w:t>
      </w:r>
      <w:r>
        <w:rPr>
          <w:rFonts w:hint="eastAsia" w:ascii="仿宋_GB2312" w:hAnsi="仿宋_GB2312" w:eastAsia="仿宋_GB2312" w:cs="仿宋_GB2312"/>
          <w:sz w:val="32"/>
          <w:szCs w:val="32"/>
        </w:rPr>
        <w:t>《关于编制202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年部门预算和202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年中期财政规划的通知》</w:t>
      </w:r>
      <w:r>
        <w:rPr>
          <w:rFonts w:hint="eastAsia" w:ascii="仿宋_GB2312" w:hAnsi="仿宋_GB2312" w:cs="仿宋_GB2312"/>
          <w:sz w:val="32"/>
          <w:szCs w:val="32"/>
          <w:lang w:eastAsia="zh-CN"/>
        </w:rPr>
        <w:t>等。</w:t>
      </w:r>
      <w:r>
        <w:rPr>
          <w:rFonts w:hint="eastAsia"/>
          <w:lang w:val="en-US" w:eastAsia="zh-CN"/>
        </w:rPr>
        <w:t>通过加强财政制度建设，进一步理顺工作关系，强化制度约束力，推进形成“按制度办事、依制度管理”的良好局面。</w:t>
      </w:r>
    </w:p>
    <w:p>
      <w:pPr>
        <w:bidi w:val="0"/>
        <w:rPr>
          <w:rFonts w:hint="eastAsia"/>
          <w:lang w:val="en-US" w:eastAsia="zh-CN"/>
        </w:rPr>
      </w:pPr>
      <w:r>
        <w:rPr>
          <w:rStyle w:val="11"/>
          <w:rFonts w:hint="eastAsia"/>
          <w:lang w:val="en-US" w:eastAsia="zh-CN"/>
        </w:rPr>
        <w:t>二是积极推动信息公开，着力打造“阳光财政”。</w:t>
      </w:r>
      <w:r>
        <w:rPr>
          <w:rFonts w:hint="eastAsia"/>
          <w:lang w:val="en-US" w:eastAsia="zh-CN"/>
        </w:rPr>
        <w:t>规范信息公开流程，加强政府信息公开咨询服务工作，方便公众获取财政信息。根据规定，按时公开财政预算执行情况、年度决算报告和“三公”经费支出情况，让人民群众及时了解县级预算收入和支出的详细“账单”；及时公开减税降费政策措施及各类税收优惠政策，向社会公布政府性基金目录、行政事业性收费目录和涉企行政事业性收费目录，动态更新取消清单和收费标准调整情况信息，有效提升纳税人政策知晓率；严格落实“</w:t>
      </w:r>
      <w:bookmarkStart w:id="0" w:name="_GoBack"/>
      <w:bookmarkEnd w:id="0"/>
      <w:r>
        <w:rPr>
          <w:rFonts w:hint="eastAsia"/>
          <w:lang w:val="en-US" w:eastAsia="zh-CN"/>
        </w:rPr>
        <w:t>双随机、一公开”制度，制定并公示随机抽查工作计划与事项清单，降低监管成本，减轻企业负担，努力营造良好营商环境、有序竞争环境。</w:t>
      </w:r>
    </w:p>
    <w:p>
      <w:pPr>
        <w:bidi w:val="0"/>
        <w:rPr>
          <w:rFonts w:hint="eastAsia" w:ascii="仿宋_GB2312" w:hAnsi="仿宋_GB2312" w:eastAsia="仿宋_GB2312" w:cs="仿宋_GB2312"/>
          <w:lang w:val="en-US" w:eastAsia="zh-CN"/>
        </w:rPr>
      </w:pPr>
      <w:r>
        <w:rPr>
          <w:rStyle w:val="11"/>
          <w:rFonts w:hint="eastAsia"/>
          <w:lang w:val="en-US" w:eastAsia="zh-CN"/>
        </w:rPr>
        <w:t>三是积极参与法律知识竞赛，推进法治财政建设。</w:t>
      </w:r>
      <w:r>
        <w:rPr>
          <w:rFonts w:hint="eastAsia" w:ascii="仿宋_GB2312" w:hAnsi="仿宋_GB2312" w:eastAsia="仿宋_GB2312" w:cs="仿宋_GB2312"/>
          <w:lang w:val="en-US" w:eastAsia="zh-CN"/>
        </w:rPr>
        <w:t>7月6日，我局举办全市财政法律法规知识竞赛选拔赛，全体干部职工积极参与，最终选出三名代表参与竞赛。10月24日，我局代表队参加临汾市财政系统法律法规知识竞赛县级（中片区）初赛，获得第三名的好成绩。</w:t>
      </w:r>
      <w:r>
        <w:rPr>
          <w:rFonts w:hint="eastAsia" w:ascii="仿宋_GB2312" w:hAnsi="仿宋_GB2312" w:cs="仿宋_GB2312"/>
          <w:lang w:val="en-US" w:eastAsia="zh-CN"/>
        </w:rPr>
        <w:t>通过此次竞赛，营造出人人学法、懂法、守法、用法的浓厚氛围，切实增强干部职工依法行政、依法办事和依法理财的综合能力和素养，推动养成办事依法、遇事找法、解决问题用法、化解矛盾靠法的好习惯，全力推进财政法治建设。</w:t>
      </w:r>
    </w:p>
    <w:p>
      <w:pPr>
        <w:pStyle w:val="2"/>
        <w:bidi w:val="0"/>
        <w:rPr>
          <w:rFonts w:hint="eastAsia"/>
          <w:lang w:val="en-US" w:eastAsia="zh-CN"/>
        </w:rPr>
      </w:pPr>
      <w:r>
        <w:rPr>
          <w:rFonts w:hint="eastAsia"/>
          <w:lang w:val="en-US" w:eastAsia="zh-CN"/>
        </w:rPr>
        <w:t>二、2021年度推进法治政府建设存在的不足和原因</w:t>
      </w:r>
    </w:p>
    <w:p>
      <w:pPr>
        <w:rPr>
          <w:rFonts w:hint="default"/>
          <w:lang w:val="en-US" w:eastAsia="zh-CN"/>
        </w:rPr>
      </w:pPr>
      <w:r>
        <w:rPr>
          <w:rFonts w:hint="default"/>
          <w:lang w:val="en-US" w:eastAsia="zh-CN"/>
        </w:rPr>
        <w:t>我局在财政管理领域依法行政方面虽然取得了一定的成绩，但对照全面依法行政、建设法治政府的目标要求，还存在一定的差距</w:t>
      </w:r>
      <w:r>
        <w:rPr>
          <w:rFonts w:hint="eastAsia"/>
          <w:lang w:val="en-US" w:eastAsia="zh-CN"/>
        </w:rPr>
        <w:t>；</w:t>
      </w:r>
      <w:r>
        <w:rPr>
          <w:rFonts w:hint="default"/>
          <w:lang w:val="en-US" w:eastAsia="zh-CN"/>
        </w:rPr>
        <w:t>依法行政、依法理财意识</w:t>
      </w:r>
      <w:r>
        <w:rPr>
          <w:rFonts w:hint="eastAsia"/>
          <w:lang w:val="en-US" w:eastAsia="zh-CN"/>
        </w:rPr>
        <w:t>仍有待提升；</w:t>
      </w:r>
      <w:r>
        <w:rPr>
          <w:rFonts w:hint="default"/>
          <w:lang w:val="en-US" w:eastAsia="zh-CN"/>
        </w:rPr>
        <w:t>面对新形势、新情况自觉运用法律的手段解决各种矛盾和问题上，还存在一定的不足。</w:t>
      </w:r>
    </w:p>
    <w:p>
      <w:pPr>
        <w:pStyle w:val="2"/>
        <w:bidi w:val="0"/>
        <w:rPr>
          <w:rFonts w:hint="eastAsia"/>
          <w:lang w:val="en-US" w:eastAsia="zh-CN"/>
        </w:rPr>
      </w:pPr>
      <w:r>
        <w:rPr>
          <w:rFonts w:hint="eastAsia"/>
          <w:lang w:val="en-US" w:eastAsia="zh-CN"/>
        </w:rPr>
        <w:t>三、2021年度党政主要负责人履行推进法治建设第一责任人职责情况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color w:val="000000"/>
          <w:sz w:val="32"/>
          <w:szCs w:val="32"/>
        </w:rPr>
        <w:t>为持续推进法治建设工作，</w:t>
      </w:r>
      <w:r>
        <w:rPr>
          <w:rFonts w:hint="eastAsia" w:ascii="仿宋_GB2312" w:hAnsi="仿宋_GB2312" w:eastAsia="仿宋_GB2312" w:cs="仿宋_GB2312"/>
          <w:lang w:val="en-US" w:eastAsia="zh-CN"/>
        </w:rPr>
        <w:t>根据《山西省贯彻&lt;党政主要负责人履行推进法治建设第一责任人职责规定&gt;实施办法》要求，我局制定了《2021年度党政主要负责人履行推进</w:t>
      </w:r>
      <w:r>
        <w:rPr>
          <w:rFonts w:hint="eastAsia" w:ascii="仿宋_GB2312" w:hAnsi="仿宋_GB2312" w:cs="仿宋_GB2312"/>
          <w:lang w:val="en-US" w:eastAsia="zh-CN"/>
        </w:rPr>
        <w:t>法治</w:t>
      </w:r>
      <w:r>
        <w:rPr>
          <w:rFonts w:hint="eastAsia" w:ascii="仿宋_GB2312" w:hAnsi="仿宋_GB2312" w:eastAsia="仿宋_GB2312" w:cs="仿宋_GB2312"/>
          <w:lang w:val="en-US" w:eastAsia="zh-CN"/>
        </w:rPr>
        <w:t>建设第一责任人职责清单》。</w:t>
      </w:r>
    </w:p>
    <w:p>
      <w:pPr>
        <w:rPr>
          <w:rStyle w:val="11"/>
          <w:rFonts w:hint="eastAsia"/>
          <w:lang w:val="en-US" w:eastAsia="zh-CN"/>
        </w:rPr>
      </w:pPr>
      <w:r>
        <w:rPr>
          <w:rFonts w:hint="eastAsia" w:ascii="仿宋_GB2312" w:hAnsi="仿宋_GB2312" w:eastAsia="仿宋_GB2312" w:cs="仿宋_GB2312"/>
          <w:lang w:val="en-US" w:eastAsia="zh-CN"/>
        </w:rPr>
        <w:t>一年来，我局党政主要负责人在推进法治建设方面充分发挥表率作用，在工作中充分发挥组织、协调、指导、督查作用，推动法治建设扎实开展，确保法治建设工作落到实处。</w:t>
      </w:r>
      <w:r>
        <w:rPr>
          <w:rStyle w:val="11"/>
          <w:rFonts w:hint="eastAsia"/>
          <w:lang w:val="en-US" w:eastAsia="zh-CN"/>
        </w:rPr>
        <w:t>一是认真履行职责。</w:t>
      </w:r>
      <w:r>
        <w:rPr>
          <w:rFonts w:hint="eastAsia"/>
          <w:lang w:val="en-US" w:eastAsia="zh-CN"/>
        </w:rPr>
        <w:t>按照职责清单认真履行推进法治建设第一责任人职责，定期主持召开法治建设专题会议，牵头制定年度法治建设工作计划，及时研究解决法治建设过程中遇到的问题和困难。</w:t>
      </w:r>
      <w:r>
        <w:rPr>
          <w:rStyle w:val="11"/>
          <w:rFonts w:hint="eastAsia"/>
          <w:lang w:val="en-US" w:eastAsia="zh-CN"/>
        </w:rPr>
        <w:t>二是带头开展学习。</w:t>
      </w:r>
      <w:r>
        <w:rPr>
          <w:rFonts w:hint="eastAsia"/>
          <w:lang w:val="en-US" w:eastAsia="zh-CN"/>
        </w:rPr>
        <w:t>亲自组织专题学习，带头学习习近平法治思想以及最新颁布实施的法律法规，研究贯彻落实措施，将习近平法治思想贯彻落实到法治建设的全过程和各方面，不断提高法治建设水平，推动法治建设工作各项任务落实到位。</w:t>
      </w:r>
      <w:r>
        <w:rPr>
          <w:rStyle w:val="11"/>
          <w:rFonts w:hint="eastAsia"/>
          <w:lang w:val="en-US" w:eastAsia="zh-CN"/>
        </w:rPr>
        <w:t>三是带头遵法守法。</w:t>
      </w:r>
      <w:r>
        <w:rPr>
          <w:rFonts w:hint="eastAsia"/>
          <w:lang w:val="en-US" w:eastAsia="zh-CN"/>
        </w:rPr>
        <w:t>从个人做起，严于律己、以身作则、遵纪守法、勤政廉政，发挥模范带头作用。在日常工作中，坚持依规治党、依法行政，做到有法必依、执法必严，督促领导班子其他成员、各股室及中心负责人依法行政、依法办事，起到了良好的示范带头作用。</w:t>
      </w:r>
      <w:r>
        <w:rPr>
          <w:rStyle w:val="11"/>
          <w:rFonts w:hint="eastAsia"/>
          <w:lang w:val="en-US" w:eastAsia="zh-CN"/>
        </w:rPr>
        <w:t>四是严格依法决策。</w:t>
      </w:r>
      <w:r>
        <w:rPr>
          <w:rFonts w:hint="eastAsia"/>
          <w:lang w:val="en-US" w:eastAsia="zh-CN"/>
        </w:rPr>
        <w:t>严格落实“三重一大”集体决策制度，规范重大行政决策程序，重大行政决策集体讨论，提高依法决策水平，积极推进行政决策的科学化、民主化、法治化。</w:t>
      </w:r>
    </w:p>
    <w:p>
      <w:pPr>
        <w:pStyle w:val="2"/>
        <w:bidi w:val="0"/>
        <w:rPr>
          <w:rFonts w:hint="eastAsia"/>
          <w:lang w:val="en-US" w:eastAsia="zh-CN"/>
        </w:rPr>
      </w:pPr>
      <w:r>
        <w:rPr>
          <w:rFonts w:hint="eastAsia"/>
          <w:lang w:val="en-US" w:eastAsia="zh-CN"/>
        </w:rPr>
        <w:t>四、2022年推进法治政府建设的主要安排</w:t>
      </w:r>
    </w:p>
    <w:p>
      <w:pPr>
        <w:pStyle w:val="3"/>
        <w:numPr>
          <w:ilvl w:val="0"/>
          <w:numId w:val="2"/>
        </w:numPr>
        <w:bidi w:val="0"/>
        <w:rPr>
          <w:rFonts w:hint="eastAsia"/>
          <w:lang w:val="en-US" w:eastAsia="zh-CN"/>
        </w:rPr>
      </w:pPr>
      <w:r>
        <w:rPr>
          <w:rFonts w:hint="eastAsia"/>
          <w:lang w:val="en-US" w:eastAsia="zh-CN"/>
        </w:rPr>
        <w:t>总体工作思路和工作目标</w:t>
      </w:r>
    </w:p>
    <w:p>
      <w:pPr>
        <w:bidi w:val="0"/>
        <w:rPr>
          <w:rFonts w:hint="eastAsia"/>
          <w:lang w:val="en-US" w:eastAsia="zh-CN"/>
        </w:rPr>
      </w:pPr>
      <w:r>
        <w:rPr>
          <w:rFonts w:hint="eastAsia" w:ascii="仿宋_GB2312" w:hAnsi="仿宋_GB2312" w:eastAsia="仿宋_GB2312" w:cs="仿宋_GB2312"/>
          <w:lang w:val="en-US" w:eastAsia="zh-CN"/>
        </w:rPr>
        <w:t>2022年</w:t>
      </w:r>
      <w:r>
        <w:rPr>
          <w:rFonts w:hint="eastAsia"/>
          <w:lang w:val="en-US" w:eastAsia="zh-CN"/>
        </w:rPr>
        <w:t>，县财政部门将坚持以习近平新时代中国特色社会主义思想为指导，以全面落实依法治国理念为统领，以全面推进法治政府建设为目标，按照县委、县政府安排部署，进一步加快法治政府建设进程，不断提高财政法治建设水平，为将曲沃县打造成活力之城幸福之城奋斗之城贡献智慧、担当和作为。</w:t>
      </w:r>
    </w:p>
    <w:p>
      <w:pPr>
        <w:pStyle w:val="3"/>
        <w:numPr>
          <w:ilvl w:val="0"/>
          <w:numId w:val="2"/>
        </w:numPr>
        <w:bidi w:val="0"/>
        <w:rPr>
          <w:rFonts w:hint="eastAsia"/>
          <w:lang w:val="en-US" w:eastAsia="zh-CN"/>
        </w:rPr>
      </w:pPr>
      <w:r>
        <w:rPr>
          <w:rFonts w:hint="eastAsia"/>
          <w:lang w:val="en-US" w:eastAsia="zh-CN"/>
        </w:rPr>
        <w:t>打算推进的主要工作及针对问题拟采取的措施</w:t>
      </w:r>
    </w:p>
    <w:p>
      <w:pPr>
        <w:bidi w:val="0"/>
        <w:rPr>
          <w:rFonts w:hint="eastAsia"/>
          <w:lang w:val="en-US" w:eastAsia="zh-CN"/>
        </w:rPr>
      </w:pPr>
      <w:r>
        <w:rPr>
          <w:rStyle w:val="11"/>
          <w:rFonts w:hint="eastAsia"/>
          <w:lang w:val="en-US" w:eastAsia="zh-CN"/>
        </w:rPr>
        <w:t>一是深入学习宣传习近平新时代中国特色社会主义思想。</w:t>
      </w:r>
      <w:r>
        <w:rPr>
          <w:rFonts w:hint="eastAsia"/>
          <w:lang w:val="en-US" w:eastAsia="zh-CN"/>
        </w:rPr>
        <w:t>深入学习宣传习近平总书记全面依法治国新理念新思想新战略、党中央关于全面推进依法治国的战略决策和重大部署，以及习近平总书记关于宪法、法治重要论述精神，积极开展法治宣传教育，全面普及法律法规知识，不断提升全社会法治意识。</w:t>
      </w:r>
    </w:p>
    <w:p>
      <w:pPr>
        <w:bidi w:val="0"/>
        <w:rPr>
          <w:rFonts w:hint="eastAsia"/>
          <w:lang w:val="en-US" w:eastAsia="zh-CN"/>
        </w:rPr>
      </w:pPr>
      <w:r>
        <w:rPr>
          <w:rStyle w:val="11"/>
          <w:rFonts w:hint="eastAsia"/>
          <w:lang w:val="en-US" w:eastAsia="zh-CN"/>
        </w:rPr>
        <w:t>二是加大系统内普法力度，提高依法理财的意识和水平。</w:t>
      </w:r>
      <w:r>
        <w:rPr>
          <w:rFonts w:hint="eastAsia"/>
          <w:lang w:val="en-US" w:eastAsia="zh-CN"/>
        </w:rPr>
        <w:t>坚持和完善党组理论学习和中心组学习制度，发挥领导干部普法模范带头作用。积极推动预算、会计、政府采购的法治教育纳入党组中心组学习重要内容，采取专题辅导、组织培训、集中宣讲等方式，组织财政干部开展法律法规知识和依法行政能力的专题培训，积极开展以案释法活动，不断增强干部学法、守法、用法、敬法的法治意识和法治思维，规范行政执法行为，发挥依法行政对法治社会建设的示范效应。</w:t>
      </w:r>
    </w:p>
    <w:p>
      <w:pPr>
        <w:bidi w:val="0"/>
        <w:rPr>
          <w:rFonts w:hint="eastAsia" w:eastAsia="仿宋_GB2312"/>
          <w:lang w:val="en-US" w:eastAsia="zh-CN"/>
        </w:rPr>
      </w:pPr>
      <w:r>
        <w:rPr>
          <w:rStyle w:val="11"/>
          <w:rFonts w:hint="eastAsia"/>
          <w:lang w:val="en-US" w:eastAsia="zh-CN"/>
        </w:rPr>
        <w:t>三是进一步优化营商环境，推动财政服务提质增效。</w:t>
      </w:r>
      <w:r>
        <w:rPr>
          <w:rFonts w:hint="eastAsia"/>
          <w:lang w:val="en-US" w:eastAsia="zh-CN"/>
        </w:rPr>
        <w:t>加大对减税降费、采购电子卖场、融资担保等政策的宣传力度，让更多的企业、供应商及“三农”主体享受到政策扶持；深化预算管理改革和政府政府采购制度改革，有效对接预算管理一体化系统和政府采购信息化平台数据，实现“全程在线、一网通办、留痕可追溯”，提升财政管理效能；进一步加大简政放权力度，提升政务服务的质量和效率，加强主动服务意识，落实保姆式服务，全面提高群众和企业优化营商环境工作的满意度、获得感。</w:t>
      </w:r>
    </w:p>
    <w:p>
      <w:pPr>
        <w:pStyle w:val="2"/>
        <w:bidi w:val="0"/>
        <w:rPr>
          <w:rFonts w:hint="eastAsia"/>
          <w:lang w:val="en-US" w:eastAsia="zh-CN"/>
        </w:rPr>
      </w:pPr>
      <w:r>
        <w:rPr>
          <w:rFonts w:hint="eastAsia"/>
          <w:lang w:val="en-US" w:eastAsia="zh-CN"/>
        </w:rPr>
        <w:t>五、对全县加强法治政府建设的意见、建议</w:t>
      </w:r>
    </w:p>
    <w:p>
      <w:pPr>
        <w:bidi w:val="0"/>
        <w:rPr>
          <w:rFonts w:hint="default"/>
          <w:lang w:val="en-US" w:eastAsia="zh-CN"/>
        </w:rPr>
      </w:pPr>
      <w:r>
        <w:rPr>
          <w:rFonts w:hint="eastAsia"/>
          <w:lang w:val="en-US" w:eastAsia="zh-CN"/>
        </w:rPr>
        <w:t>我县在领导法治政府建设方面取得了一定成效，领导干部法治意识有所提升，但入脑入心自觉运用法律的意识仍有差距，依法行政的意识和水平需进一步提升。</w:t>
      </w:r>
    </w:p>
    <w:p>
      <w:pPr>
        <w:pStyle w:val="2"/>
        <w:bidi w:val="0"/>
        <w:rPr>
          <w:rFonts w:hint="eastAsia"/>
          <w:lang w:val="en-US" w:eastAsia="zh-CN"/>
        </w:rPr>
      </w:pPr>
      <w:r>
        <w:rPr>
          <w:rFonts w:hint="eastAsia"/>
          <w:lang w:val="en-US" w:eastAsia="zh-CN"/>
        </w:rPr>
        <w:t>六、其他需要报告的重要事项。</w:t>
      </w:r>
    </w:p>
    <w:p>
      <w:pPr>
        <w:bidi w:val="0"/>
        <w:rPr>
          <w:rFonts w:hint="default"/>
          <w:lang w:val="en-US" w:eastAsia="zh-CN"/>
        </w:rPr>
      </w:pPr>
      <w:r>
        <w:rPr>
          <w:rFonts w:hint="eastAsia"/>
          <w:lang w:val="en-US" w:eastAsia="zh-CN"/>
        </w:rPr>
        <w:t>无。</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wordWrap w:val="0"/>
        <w:jc w:val="right"/>
        <w:rPr>
          <w:rFonts w:hint="default"/>
          <w:lang w:val="en-US" w:eastAsia="zh-CN"/>
        </w:rPr>
      </w:pPr>
      <w:r>
        <w:rPr>
          <w:rFonts w:hint="eastAsia"/>
          <w:lang w:val="en-US" w:eastAsia="zh-CN"/>
        </w:rPr>
        <w:t xml:space="preserve">曲沃县财政局          </w:t>
      </w:r>
    </w:p>
    <w:p>
      <w:pPr>
        <w:wordWrap w:val="0"/>
        <w:jc w:val="right"/>
        <w:rPr>
          <w:rFonts w:hint="default"/>
          <w:lang w:val="en-US" w:eastAsia="zh-CN"/>
        </w:rPr>
      </w:pPr>
      <w:r>
        <w:rPr>
          <w:rFonts w:hint="eastAsia" w:ascii="仿宋_GB2312" w:hAnsi="仿宋_GB2312" w:eastAsia="仿宋_GB2312" w:cs="仿宋_GB2312"/>
          <w:lang w:val="en-US" w:eastAsia="zh-CN"/>
        </w:rPr>
        <w:t>202</w:t>
      </w:r>
      <w:r>
        <w:rPr>
          <w:rFonts w:hint="eastAsia" w:ascii="仿宋_GB2312" w:hAnsi="仿宋_GB2312" w:cs="仿宋_GB2312"/>
          <w:lang w:val="en-US" w:eastAsia="zh-CN"/>
        </w:rPr>
        <w:t>2</w:t>
      </w:r>
      <w:r>
        <w:rPr>
          <w:rFonts w:hint="eastAsia" w:ascii="仿宋_GB2312" w:hAnsi="仿宋_GB2312" w:eastAsia="仿宋_GB2312" w:cs="仿宋_GB2312"/>
          <w:lang w:val="en-US" w:eastAsia="zh-CN"/>
        </w:rPr>
        <w:t>年</w:t>
      </w:r>
      <w:r>
        <w:rPr>
          <w:rFonts w:hint="eastAsia" w:ascii="仿宋_GB2312" w:hAnsi="仿宋_GB2312" w:cs="仿宋_GB2312"/>
          <w:lang w:val="en-US" w:eastAsia="zh-CN"/>
        </w:rPr>
        <w:t>2</w:t>
      </w:r>
      <w:r>
        <w:rPr>
          <w:rFonts w:hint="eastAsia" w:ascii="仿宋_GB2312" w:hAnsi="仿宋_GB2312" w:eastAsia="仿宋_GB2312" w:cs="仿宋_GB2312"/>
          <w:lang w:val="en-US" w:eastAsia="zh-CN"/>
        </w:rPr>
        <w:t>月</w:t>
      </w:r>
      <w:r>
        <w:rPr>
          <w:rFonts w:hint="eastAsia" w:ascii="仿宋_GB2312" w:hAnsi="仿宋_GB2312" w:cs="仿宋_GB2312"/>
          <w:lang w:val="en-US" w:eastAsia="zh-CN"/>
        </w:rPr>
        <w:t>15</w:t>
      </w:r>
      <w:r>
        <w:rPr>
          <w:rFonts w:hint="eastAsia" w:ascii="仿宋_GB2312" w:hAnsi="仿宋_GB2312" w:eastAsia="仿宋_GB2312" w:cs="仿宋_GB2312"/>
          <w:lang w:val="en-US" w:eastAsia="zh-CN"/>
        </w:rPr>
        <w:t>日</w:t>
      </w:r>
      <w:r>
        <w:rPr>
          <w:rFonts w:hint="eastAsia"/>
          <w:lang w:val="en-US" w:eastAsia="zh-CN"/>
        </w:rPr>
        <w:t>　　　　</w:t>
      </w:r>
    </w:p>
    <w:sectPr>
      <w:pgSz w:w="11906" w:h="16838"/>
      <w:pgMar w:top="2098" w:right="1474" w:bottom="1984"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71DE53"/>
    <w:multiLevelType w:val="singleLevel"/>
    <w:tmpl w:val="2971DE53"/>
    <w:lvl w:ilvl="0" w:tentative="0">
      <w:start w:val="1"/>
      <w:numFmt w:val="chineseCounting"/>
      <w:suff w:val="nothing"/>
      <w:lvlText w:val="（%1）"/>
      <w:lvlJc w:val="left"/>
      <w:rPr>
        <w:rFonts w:hint="eastAsia"/>
      </w:rPr>
    </w:lvl>
  </w:abstractNum>
  <w:abstractNum w:abstractNumId="1">
    <w:nsid w:val="5AC4A038"/>
    <w:multiLevelType w:val="singleLevel"/>
    <w:tmpl w:val="5AC4A03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560E4"/>
    <w:rsid w:val="01177E2F"/>
    <w:rsid w:val="019A3056"/>
    <w:rsid w:val="02530469"/>
    <w:rsid w:val="05300BAB"/>
    <w:rsid w:val="062A5682"/>
    <w:rsid w:val="06FC0CC3"/>
    <w:rsid w:val="07906E46"/>
    <w:rsid w:val="086D3316"/>
    <w:rsid w:val="08E10093"/>
    <w:rsid w:val="090F053A"/>
    <w:rsid w:val="095E42BE"/>
    <w:rsid w:val="098730CB"/>
    <w:rsid w:val="0A306E3E"/>
    <w:rsid w:val="0A4F39F0"/>
    <w:rsid w:val="0A570407"/>
    <w:rsid w:val="0AB844FF"/>
    <w:rsid w:val="0B1A1737"/>
    <w:rsid w:val="0B4D460D"/>
    <w:rsid w:val="0B5242A9"/>
    <w:rsid w:val="0BF17F85"/>
    <w:rsid w:val="0C58482F"/>
    <w:rsid w:val="0D574F49"/>
    <w:rsid w:val="0D714D23"/>
    <w:rsid w:val="0DE94757"/>
    <w:rsid w:val="0EB624B4"/>
    <w:rsid w:val="0ED94F2D"/>
    <w:rsid w:val="0F9156FD"/>
    <w:rsid w:val="12250B97"/>
    <w:rsid w:val="130A3859"/>
    <w:rsid w:val="137D6285"/>
    <w:rsid w:val="14B15E68"/>
    <w:rsid w:val="19AF0863"/>
    <w:rsid w:val="19D13EA7"/>
    <w:rsid w:val="1AE9712E"/>
    <w:rsid w:val="1B4C4F40"/>
    <w:rsid w:val="1BDC0628"/>
    <w:rsid w:val="1C003FB7"/>
    <w:rsid w:val="1C3531FA"/>
    <w:rsid w:val="1CFC15FB"/>
    <w:rsid w:val="1D344C38"/>
    <w:rsid w:val="1E550368"/>
    <w:rsid w:val="1EC76809"/>
    <w:rsid w:val="2104042F"/>
    <w:rsid w:val="21451D01"/>
    <w:rsid w:val="22760BB5"/>
    <w:rsid w:val="2576409B"/>
    <w:rsid w:val="27FB6FE8"/>
    <w:rsid w:val="2823557E"/>
    <w:rsid w:val="2A3F6D5D"/>
    <w:rsid w:val="2A4E4F84"/>
    <w:rsid w:val="2B154E18"/>
    <w:rsid w:val="2B50109C"/>
    <w:rsid w:val="2D405DE5"/>
    <w:rsid w:val="2FA44211"/>
    <w:rsid w:val="2FA91536"/>
    <w:rsid w:val="2FD31F83"/>
    <w:rsid w:val="301F2D07"/>
    <w:rsid w:val="30F16169"/>
    <w:rsid w:val="312A0313"/>
    <w:rsid w:val="319E0B0E"/>
    <w:rsid w:val="319E6072"/>
    <w:rsid w:val="323777CC"/>
    <w:rsid w:val="35BE34A7"/>
    <w:rsid w:val="35CD489A"/>
    <w:rsid w:val="381B380F"/>
    <w:rsid w:val="38BFC41C"/>
    <w:rsid w:val="391E2C57"/>
    <w:rsid w:val="3AF347DE"/>
    <w:rsid w:val="3D983A71"/>
    <w:rsid w:val="40E707E4"/>
    <w:rsid w:val="413A69B1"/>
    <w:rsid w:val="42C67B75"/>
    <w:rsid w:val="42F337E9"/>
    <w:rsid w:val="446A6A3F"/>
    <w:rsid w:val="45F574EF"/>
    <w:rsid w:val="48037A71"/>
    <w:rsid w:val="48CD4840"/>
    <w:rsid w:val="48D3703D"/>
    <w:rsid w:val="491B04A5"/>
    <w:rsid w:val="49A845EB"/>
    <w:rsid w:val="49BE4104"/>
    <w:rsid w:val="4A571951"/>
    <w:rsid w:val="4BEA11C0"/>
    <w:rsid w:val="4C5F29F6"/>
    <w:rsid w:val="4C771B83"/>
    <w:rsid w:val="4C9A58BB"/>
    <w:rsid w:val="4CD81881"/>
    <w:rsid w:val="4D472C8C"/>
    <w:rsid w:val="4D4819AB"/>
    <w:rsid w:val="4D5D4AEA"/>
    <w:rsid w:val="4E7B27C3"/>
    <w:rsid w:val="506229CE"/>
    <w:rsid w:val="52E82252"/>
    <w:rsid w:val="54CC05CB"/>
    <w:rsid w:val="56781FDC"/>
    <w:rsid w:val="57554186"/>
    <w:rsid w:val="5775594C"/>
    <w:rsid w:val="57977A69"/>
    <w:rsid w:val="579A0BB6"/>
    <w:rsid w:val="592C6E1D"/>
    <w:rsid w:val="5A725567"/>
    <w:rsid w:val="5A937FF0"/>
    <w:rsid w:val="5B063F2C"/>
    <w:rsid w:val="5B9F0DFA"/>
    <w:rsid w:val="5BDF6995"/>
    <w:rsid w:val="5C675101"/>
    <w:rsid w:val="5CE10F84"/>
    <w:rsid w:val="5E0A4793"/>
    <w:rsid w:val="5E4D53E3"/>
    <w:rsid w:val="5E535B41"/>
    <w:rsid w:val="5ED11039"/>
    <w:rsid w:val="5EFFD69A"/>
    <w:rsid w:val="5FA50DB8"/>
    <w:rsid w:val="5FAB70A4"/>
    <w:rsid w:val="60B44D05"/>
    <w:rsid w:val="628647F8"/>
    <w:rsid w:val="63367F23"/>
    <w:rsid w:val="670C004C"/>
    <w:rsid w:val="679D272C"/>
    <w:rsid w:val="681C777B"/>
    <w:rsid w:val="68E76FE2"/>
    <w:rsid w:val="68FD6AC8"/>
    <w:rsid w:val="6A453DDE"/>
    <w:rsid w:val="6B7B79A4"/>
    <w:rsid w:val="6C3C1F4B"/>
    <w:rsid w:val="6CAE14E7"/>
    <w:rsid w:val="6CDA2D2D"/>
    <w:rsid w:val="6CF108DE"/>
    <w:rsid w:val="6ECC3959"/>
    <w:rsid w:val="6F4C5717"/>
    <w:rsid w:val="70DF5FD1"/>
    <w:rsid w:val="725F5D7E"/>
    <w:rsid w:val="731F3479"/>
    <w:rsid w:val="73797D1C"/>
    <w:rsid w:val="75583544"/>
    <w:rsid w:val="76126949"/>
    <w:rsid w:val="765046E7"/>
    <w:rsid w:val="767305F6"/>
    <w:rsid w:val="78122107"/>
    <w:rsid w:val="784639C7"/>
    <w:rsid w:val="7D3D7AD3"/>
    <w:rsid w:val="7D996EAE"/>
    <w:rsid w:val="7E6B2EC0"/>
    <w:rsid w:val="7ECE6C42"/>
    <w:rsid w:val="7F995516"/>
    <w:rsid w:val="7FBB60AA"/>
    <w:rsid w:val="FEBD2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eastAsia="仿宋_GB2312" w:cs="仿宋_GB2312" w:asciiTheme="minorAscii" w:hAnsiTheme="minorAscii"/>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eastAsia="黑体"/>
      <w:kern w:val="44"/>
    </w:rPr>
  </w:style>
  <w:style w:type="paragraph" w:styleId="3">
    <w:name w:val="heading 2"/>
    <w:basedOn w:val="1"/>
    <w:next w:val="1"/>
    <w:unhideWhenUsed/>
    <w:qFormat/>
    <w:uiPriority w:val="0"/>
    <w:pPr>
      <w:keepNext/>
      <w:keepLines/>
      <w:spacing w:beforeLines="0" w:beforeAutospacing="0" w:afterLines="0" w:afterAutospacing="0" w:line="240" w:lineRule="auto"/>
      <w:outlineLvl w:val="1"/>
    </w:pPr>
    <w:rPr>
      <w:rFonts w:ascii="Arial" w:hAnsi="Arial" w:eastAsia="楷体_GB2312"/>
      <w:b/>
    </w:rPr>
  </w:style>
  <w:style w:type="paragraph" w:styleId="4">
    <w:name w:val="heading 3"/>
    <w:basedOn w:val="1"/>
    <w:next w:val="1"/>
    <w:link w:val="11"/>
    <w:unhideWhenUsed/>
    <w:qFormat/>
    <w:uiPriority w:val="0"/>
    <w:pPr>
      <w:keepNext/>
      <w:keepLines/>
      <w:spacing w:beforeLines="0" w:beforeAutospacing="0" w:afterLines="0" w:afterAutospacing="0" w:line="240" w:lineRule="auto"/>
      <w:outlineLvl w:val="2"/>
    </w:pPr>
    <w:rPr>
      <w:rFonts w:eastAsia="仿宋_GB2312"/>
      <w:b/>
    </w:rPr>
  </w:style>
  <w:style w:type="paragraph" w:styleId="5">
    <w:name w:val="heading 4"/>
    <w:basedOn w:val="1"/>
    <w:next w:val="1"/>
    <w:unhideWhenUsed/>
    <w:qFormat/>
    <w:uiPriority w:val="0"/>
    <w:pPr>
      <w:keepNext/>
      <w:keepLines/>
      <w:spacing w:beforeLines="0" w:beforeAutospacing="0" w:afterLines="0" w:afterAutospacing="0" w:line="240" w:lineRule="auto"/>
      <w:ind w:firstLine="0" w:firstLineChars="0"/>
      <w:jc w:val="center"/>
      <w:outlineLvl w:val="3"/>
    </w:pPr>
    <w:rPr>
      <w:rFonts w:ascii="Arial" w:hAnsi="Arial" w:eastAsia="方正小标宋简体"/>
      <w:sz w:val="44"/>
    </w:rPr>
  </w:style>
  <w:style w:type="character" w:default="1" w:styleId="9">
    <w:name w:val="Default Paragraph Font"/>
    <w:semiHidden/>
    <w:qFormat/>
    <w:uiPriority w:val="0"/>
    <w:rPr>
      <w:rFonts w:ascii="Calibri" w:hAnsi="Calibri" w:eastAsia="仿宋_GB2312"/>
      <w:sz w:val="32"/>
    </w:rPr>
  </w:style>
  <w:style w:type="table" w:default="1" w:styleId="8">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标题 3 Char"/>
    <w:link w:val="4"/>
    <w:qFormat/>
    <w:uiPriority w:val="0"/>
    <w:rPr>
      <w:rFonts w:eastAsia="仿宋_GB2312"/>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2021-10-15T00:06:00Z</dcterms:created>
  <dc:creator>Administrator</dc:creator>
  <cp:lastModifiedBy>En</cp:lastModifiedBy>
  <dcterms:modified xsi:type="dcterms:W3CDTF">2024-04-08T17:16:14Z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