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rPr>
          <w:rFonts w:hint="eastAsia" w:eastAsia="仿宋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ge">
                  <wp:posOffset>949960</wp:posOffset>
                </wp:positionV>
                <wp:extent cx="869950" cy="494030"/>
                <wp:effectExtent l="0" t="0" r="0" b="0"/>
                <wp:wrapNone/>
                <wp:docPr id="101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94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9.15pt;margin-top:74.8pt;height:38.9pt;width:68.5pt;mso-position-vertical-relative:page;z-index:251662336;mso-width-relative:page;mso-height-relative:page;" filled="f" stroked="f" coordsize="21600,21600" o:gfxdata="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x4Hrl3AAAAAsBAAAPAAAAAAAAAAEAIAAAADgAAABkcnMvZG93bnJldi54bWxQSwECFAAUAAAA&#10;CACHTuJA+ZQwwdQBAACOAwAADgAAAAAAAAABACAAAABBAQAAZHJzL2Uyb0RvYy54bWxQSwUGAAAA&#10;AAYABgBZAQAAhw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曲沃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县辐射事故分级标准、响应象件及应急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措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施表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61"/>
        <w:gridCol w:w="2761"/>
        <w:gridCol w:w="2761"/>
        <w:gridCol w:w="2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特别重大辐射事故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重大辐射事故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较大辐射事故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一般辐射事故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分级标准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凡符合下列情形之一的，为特别重大辐射事故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（1）Ⅰ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Ⅱ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类放射源丢失、被盗、失控并造成大范围严重辐射污染后果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（2）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放射性同位素和射线装置失控导致3人及以上急性死亡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（3）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放射性物质泄漏，造成大范围辐射污染后果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（4）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国内外航天器在我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县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行政区域内坠落造成的环境放射性污染事件，以及可能对我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县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环境造成辐射影响的</w:t>
            </w: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县</w:t>
            </w:r>
            <w:r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  <w:t>域外核与辐射事故、事件。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凡符合下列情形之一的，为重大辐射事故：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（1）Ⅰ、Ⅱ类放射源丢失、被盗、失控；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（2）放射性同位素和射线装置失控导致3人以下急性死亡或者10人及以上急性重度放射病、局部器官残疾；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（3）放射性物质泄漏，造成较大范围辐射污染后果。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凡符合下列情形之一的，为较大辐射事故：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（1）Ⅳ、Ⅴ类放射源丢失、被盗、失控；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（2）放射性同位素和射线装置失控导致10人以下急性重度放射病、局部器官残疾；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（3）放射性物质泄漏，造成小范围辐射污染后果。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凡符合下列情形之一的，为一般辐射事故：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（1）Ⅳ、Ⅴ类放射源丢失、被盗、失控；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（2）放射性同位素和射线装置失控导致人员受到超过年剂量限值的照射；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（3）放射性物质泄漏，造成局部辐射污染后果；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（4）伴生放射性矿开发利用超标排放，造成环境辐射污染后果；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（5）测井用放射源落井，打捞不成功进行封井处理。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响应条件及应急措施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初判发生特别重大辐射事故，上报市政府。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初判发生重大辐射事故，上报市政府。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初判发生较大辐射事故，上报市政府。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0"/>
                <w:szCs w:val="21"/>
                <w:lang w:val="en-US" w:eastAsia="zh-CN"/>
              </w:rPr>
              <w:t>初判发生一般辐射事故时，启动四级响应。应急措施:详见4.3.1</w:t>
            </w:r>
          </w:p>
        </w:tc>
      </w:tr>
    </w:tbl>
    <w:p>
      <w:pPr>
        <w:rPr>
          <w:rFonts w:hint="default"/>
        </w:rPr>
        <w:sectPr>
          <w:footerReference r:id="rId3" w:type="default"/>
          <w:pgSz w:w="16838" w:h="11906" w:orient="landscape"/>
          <w:pgMar w:top="1701" w:right="187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8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9353"/>
    <w:rsid w:val="9FFD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2022-01-21T10:22:00Z</dcterms:created>
  <dc:creator>baixin</dc:creator>
  <cp:lastModifiedBy>baixin</cp:lastModifiedBy>
  <dcterms:modified xsi:type="dcterms:W3CDTF">2022-01-21T10:26:41Z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