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jc w:val="center"/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曲沃县校园安全事故分级标准</w:t>
      </w:r>
      <w:bookmarkEnd w:id="0"/>
    </w:p>
    <w:tbl>
      <w:tblPr>
        <w:tblStyle w:val="4"/>
        <w:tblW w:w="1414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3780"/>
        <w:gridCol w:w="3600"/>
        <w:gridCol w:w="3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特别重大事故（1级）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重大事故（2级）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较大事故（3级）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一般事故（4级）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3" w:hRule="atLeast"/>
        </w:trPr>
        <w:tc>
          <w:tcPr>
            <w:tcW w:w="3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420" w:firstLineChars="2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造成30人以上死亡，或者100人以上重伤（包括急性工业中毒，下同），或者1亿元以上直接经济损失的事故；以及符合县级相关专项应急预案规定的特别重大事件（1级）标准的教育系统突发公共事件。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420" w:firstLineChars="2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造成10人以上30人以下死亡，或者50人以上100人以下重伤，或者5000万元以上1亿元以下直接经济损失的事故；以及符合县级相关专项应急预案规定的重大事件（2级）标准的教育系统突发公共事件。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420" w:firstLineChars="2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造成3人以上10人以下死亡，或者10人以上50人以下重伤，或者1000万元以上5000万元以下直接经济损失的事故；以及符合县级相关专项应急预案规定的较大事件（3级）标准的教育系统突发公共事件。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420" w:firstLineChars="2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造成3人以下死亡，或者10人以下重伤，或者1000万元以下直接经济损失的事故；以及符合县级相关专项应急预案规定的一般事件（4级）标准的教育系统突发公共事件。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</w:rPr>
        <w:sectPr>
          <w:footerReference r:id="rId3" w:type="default"/>
          <w:pgSz w:w="16838" w:h="11906" w:orient="landscape"/>
          <w:pgMar w:top="1021" w:right="1588" w:bottom="964" w:left="1701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宋体" w:eastAsia="仿宋_GB2312" w:cs="宋体"/>
          <w:kern w:val="0"/>
        </w:rPr>
        <w:t>注：所称的“以上”包括本数，“以下”不包括本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2432"/>
        <w:tab w:val="clear" w:pos="4153"/>
      </w:tabs>
    </w:pPr>
    <w:r>
      <w:rPr>
        <w:rFonts w:hint="eastAsia" w:ascii="宋体" w:hAnsi="宋体" w:eastAsia="宋体" w:cs="宋体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E3662"/>
    <w:rsid w:val="DF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2023-04-28T16:26:00Z</dcterms:created>
  <dc:creator>baixin</dc:creator>
  <cp:lastModifiedBy>baixin</cp:lastModifiedBy>
  <dcterms:modified xsi:type="dcterms:W3CDTF">2023-04-28T16:38:26Z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