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overflowPunct/>
        <w:topLinePunct w:val="0"/>
        <w:bidi w:val="0"/>
        <w:spacing w:line="560" w:lineRule="exact"/>
        <w:ind w:left="4"/>
        <w:rPr>
          <w:rFonts w:ascii="黑体" w:hAnsi="黑体" w:eastAsia="黑体" w:cs="黑体"/>
          <w:b w:val="0"/>
          <w:bCs w:val="0"/>
          <w:sz w:val="33"/>
          <w:szCs w:val="33"/>
        </w:rPr>
      </w:pPr>
      <w:r>
        <w:rPr>
          <w:rFonts w:ascii="黑体" w:hAnsi="黑体" w:eastAsia="黑体" w:cs="黑体"/>
          <w:b w:val="0"/>
          <w:bCs w:val="0"/>
          <w:spacing w:val="3"/>
          <w:sz w:val="33"/>
          <w:szCs w:val="33"/>
        </w:rPr>
        <w:t>附件3</w:t>
      </w:r>
    </w:p>
    <w:p>
      <w:pPr>
        <w:wordWrap/>
        <w:overflowPunct/>
        <w:topLinePunct w:val="0"/>
        <w:bidi w:val="0"/>
        <w:spacing w:line="560" w:lineRule="exact"/>
        <w:ind w:left="2395" w:firstLine="928" w:firstLineChars="200"/>
        <w:jc w:val="both"/>
        <w:rPr>
          <w:rFonts w:hint="eastAsia" w:ascii="方正小标宋_GBK" w:hAnsi="方正小标宋_GBK" w:eastAsia="方正小标宋_GBK" w:cs="方正小标宋_GBK"/>
          <w:b w:val="0"/>
          <w:bCs w:val="0"/>
          <w:spacing w:val="12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12"/>
          <w:sz w:val="44"/>
          <w:szCs w:val="44"/>
        </w:rPr>
        <w:t>名 词 术 语</w:t>
      </w:r>
    </w:p>
    <w:p>
      <w:pPr>
        <w:wordWrap/>
        <w:overflowPunct/>
        <w:topLinePunct w:val="0"/>
        <w:bidi w:val="0"/>
        <w:spacing w:line="560" w:lineRule="exact"/>
        <w:rPr>
          <w:rFonts w:ascii="Arial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洪水风险图：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是融合地理、社会经济、洪水特征信息，通过资料调查、洪水计算和成果整理，以地图形式直观反映某一地区发生洪水后可能淹没的范围和水深，用以分析和预评估不同量级洪水可能造成的风险和危害的工具。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8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干旱风险图：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是融合地理、社会经济、水资源特征信息，通过资料调查、水资源计算和成果整理，以地图形式直观反映某一地区发生干旱后可能影响的范围，用以分析和预评估不同干旱等级造成的风险和危害的工具。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13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防御洪水方案：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是对有防汛抗洪任务的县级以上政府根据流域综合规划、防洪工程实际状况和国家规定的防洪标准，制定的防御江河洪水(包括特大洪水)、山洪灾害(指由降雨引发的山洪、泥石流灾害)等方案的统称。防御洪水方案经批准后，各级政府必须执行。各级防指和承担防汛抗洪任务的部门和单位，必须根据防御洪水方案做好防汛抗洪准备工作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13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洪水等级：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根据《水文情报预报规范》(GB/T22482-2008)。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13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小洪水：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洪水要素重现期小于5年的洪水。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13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中洪水：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洪水要素重现期为5年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~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20年的洪水。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13" w:firstLine="640" w:firstLineChars="200"/>
        <w:jc w:val="both"/>
        <w:textAlignment w:val="baseline"/>
        <w:rPr>
          <w:rFonts w:ascii="仿宋" w:hAnsi="仿宋" w:eastAsia="仿宋" w:cs="仿宋"/>
          <w:spacing w:val="24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大洪水：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洪水要素重现期为20年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~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50年的洪水。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13" w:firstLine="640" w:firstLineChars="200"/>
        <w:jc w:val="both"/>
        <w:textAlignment w:val="baseline"/>
        <w:rPr>
          <w:rFonts w:ascii="仿宋" w:hAnsi="仿宋" w:eastAsia="仿宋" w:cs="仿宋"/>
          <w:spacing w:val="24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特大洪水：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洪水要素重现期大于50年的洪水。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13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旱灾：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因降水少，河流及其他水资源短缺，对工农业生产、城乡居民生活造成直接影响的旱情，以及旱情发生后对工农业生产造成的损失。</w:t>
      </w:r>
    </w:p>
    <w:p>
      <w:pPr>
        <w:wordWrap/>
        <w:overflowPunct/>
        <w:topLinePunct w:val="0"/>
        <w:bidi w:val="0"/>
        <w:spacing w:line="560" w:lineRule="exact"/>
        <w:ind w:left="644"/>
        <w:rPr>
          <w:rFonts w:ascii="仿宋" w:hAnsi="仿宋" w:eastAsia="仿宋" w:cs="仿宋"/>
          <w:spacing w:val="24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受旱面积比例：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指作物受旱面积与作物播种面积之比。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13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临时性饮水困难人口：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由于干旱导致人饮取水点被迫改变或基本生活用水量北方地区低于20升/人.天，且持续15天以上。因旱人饮困难标准参考《旱情等级标准》(SL424-2008)。</w:t>
      </w:r>
    </w:p>
    <w:p>
      <w:pPr>
        <w:wordWrap/>
        <w:overflowPunct/>
        <w:topLinePunct w:val="0"/>
        <w:bidi w:val="0"/>
        <w:spacing w:line="560" w:lineRule="exact"/>
        <w:ind w:right="124" w:firstLine="644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干旱等级：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区域农业旱情等级、区域牧业旱情等级、区域农牧业旱情等级、区域因旱饮水困难等级、城市旱情等级划分参照《区域旱情等级》(GB/T32135-2015)。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13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旱情：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干旱的表现形式和发生、发展过程，包括干旱历时、影响范围、发展趋势和作物受旱程度等。</w:t>
      </w:r>
    </w:p>
    <w:p>
      <w:pPr>
        <w:wordWrap/>
        <w:overflowPunct/>
        <w:topLinePunct w:val="0"/>
        <w:bidi w:val="0"/>
        <w:spacing w:line="560" w:lineRule="exact"/>
        <w:ind w:firstLine="644"/>
      </w:pPr>
      <w:r>
        <w:rPr>
          <w:rFonts w:hint="eastAsia" w:ascii="黑体" w:hAnsi="黑体" w:eastAsia="黑体" w:cs="黑体"/>
          <w:b w:val="0"/>
          <w:bC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紧急防汛期：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根据《中华人民共和国防洪法》规定，当河流、湖泊的水情接近保证水位或者安全流量，水库水位接近设计洪水位，或者防洪工程设施发生重大险情时，有关县级以上政府防汛指挥机构可以宣布进入紧急防汛期。在紧急防汛期，国家防汛指挥机构或者其授权的流域省(区、市)防汛指挥机构有权对壅水、阻水严重的桥梁、引道、码头和其他跨河工程设施作出紧急处置。防汛指挥机构根据防汛抗洪的需要，有权在其管辖范围内调用物资、设备、交通运输工具和人力，决定采取取土占地、砍伐林木、清除阻水障碍物和其他必要的紧急措施。必要时，公安、交通等有关部门按照防汛指挥机构的决定，依法实施陆地和水面交通管制。</w:t>
      </w:r>
    </w:p>
    <w:p>
      <w:pPr>
        <w:wordWrap/>
        <w:overflowPunct/>
        <w:topLinePunct w:val="0"/>
        <w:bidi w:val="0"/>
        <w:spacing w:line="560" w:lineRule="exact"/>
        <w:ind w:firstLine="644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NmQzMmZiYjJmMjc0MzRlZDEwYzlhN2U5ZTY0MzkifQ=="/>
  </w:docVars>
  <w:rsids>
    <w:rsidRoot w:val="00000000"/>
    <w:rsid w:val="1CB1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 Spacing_ad81b47b-6779-4c76-b471-79375858c8cb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2023-07-03T01:32:04Z</dcterms:created>
  <dc:creator>lenovo</dc:creator>
  <cp:lastModifiedBy>李阳</cp:lastModifiedBy>
  <dcterms:modified xsi:type="dcterms:W3CDTF">2023-07-03T01:32:16Z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69F18700350442AF85A92241520CE747_12</vt:lpwstr>
  </property>
</Properties>
</file>