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曲沃县林业和草原有害生物灾害分级标准</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060"/>
        <w:gridCol w:w="4770"/>
        <w:gridCol w:w="3215"/>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 w:cs="仿宋_GB2312"/>
                <w:b/>
                <w:bCs/>
                <w:sz w:val="24"/>
                <w:szCs w:val="24"/>
                <w:vertAlign w:val="baseline"/>
                <w:lang w:val="en-US" w:eastAsia="zh-CN"/>
              </w:rPr>
              <w:t>林业有害生物灾害分级</w:t>
            </w:r>
          </w:p>
        </w:tc>
        <w:tc>
          <w:tcPr>
            <w:tcW w:w="306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特别重大林业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有害生物灾害(一级)</w:t>
            </w:r>
          </w:p>
        </w:tc>
        <w:tc>
          <w:tcPr>
            <w:tcW w:w="477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重大林业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有害生物灾害(二级)</w:t>
            </w:r>
          </w:p>
        </w:tc>
        <w:tc>
          <w:tcPr>
            <w:tcW w:w="32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较大林业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有害生物灾害(三级)</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一般林业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有害生物灾害(四级)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trPr>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18"/>
                <w:szCs w:val="18"/>
                <w:vertAlign w:val="baseline"/>
                <w:lang w:val="en-US" w:eastAsia="zh-CN"/>
              </w:rPr>
            </w:pPr>
          </w:p>
        </w:tc>
        <w:tc>
          <w:tcPr>
            <w:tcW w:w="306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1.发生对人类健康构成威胁、可引起人类疾病的林业有害生物的;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2.首次发现国(境)外新传入的林业有害生物的;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3.首次发生国家级林业检疫性有害生物疫情的;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4.首次发现可直接造成林木死亡的林业有害生物且林木受害面积大于1亩的；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5.国家和省林业和草原局认定的其他情形。</w:t>
            </w:r>
          </w:p>
        </w:tc>
        <w:tc>
          <w:tcPr>
            <w:tcW w:w="47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1.市内分布的国家级林业检疫性有害生物聚发,新增疫区连片成灾面积1000 亩以上,树木死亡严重,危及风景名胜区和自然保护区生态安全的;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2.我省补充林业检疫性有害生物暴发,新增疫区连片成灾面积 5000 亩以上,树木死亡严重,危及风量名胜区和自然保护区生态安全的;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3.非检疫性有害生物跨市级行政区发生,导致叶部受害连片成灾面积15万亩以上或枝于受害连片成灾面积1.5万亩以上的;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4.经专家评估确认为重大林业有害生物灾害的。</w:t>
            </w:r>
          </w:p>
        </w:tc>
        <w:tc>
          <w:tcPr>
            <w:tcW w:w="3215"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在市行政区域内集中发生的非检疫性有害生物导致叶部受害连片成灾面积5万亩以上15 万亩以下,或枝干受害连片成灾面积 0.5万亩以上,1.5 万亩以下的;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2.经专家评估确认为较大林业有害生物灾害的。</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在县级行政区范围内集中发生的非检疫性有害生物导致叶部受害连片成灾面积1万亩以上、5万亩以下,或枝干受害连片成灾面积 0.1万亩以上、0.5万亩以下的。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 w:cs="仿宋_GB2312"/>
                <w:b/>
                <w:bCs/>
                <w:sz w:val="24"/>
                <w:szCs w:val="24"/>
                <w:vertAlign w:val="baseline"/>
                <w:lang w:val="en-US" w:eastAsia="zh-CN"/>
              </w:rPr>
              <w:t>草原有害生物灾害分</w:t>
            </w:r>
            <w:r>
              <w:rPr>
                <w:rFonts w:hint="eastAsia" w:ascii="仿宋_GB2312" w:hAnsi="仿宋_GB2312" w:eastAsia="仿宋" w:cs="仿宋_GB2312"/>
                <w:b/>
                <w:bCs/>
                <w:sz w:val="32"/>
                <w:szCs w:val="32"/>
                <w:vertAlign w:val="baseline"/>
                <w:lang w:val="en-US" w:eastAsia="zh-CN"/>
              </w:rPr>
              <w:t>级</w:t>
            </w:r>
          </w:p>
        </w:tc>
        <w:tc>
          <w:tcPr>
            <w:tcW w:w="306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 w:cs="仿宋_GB2312"/>
                <w:b/>
                <w:bCs/>
                <w:color w:val="auto"/>
                <w:sz w:val="24"/>
                <w:szCs w:val="24"/>
                <w:vertAlign w:val="baseline"/>
                <w:lang w:val="en-US" w:eastAsia="zh-CN"/>
              </w:rPr>
            </w:pPr>
            <w:r>
              <w:rPr>
                <w:rFonts w:hint="eastAsia" w:ascii="仿宋_GB2312" w:hAnsi="仿宋_GB2312" w:eastAsia="仿宋" w:cs="仿宋_GB2312"/>
                <w:b/>
                <w:bCs/>
                <w:color w:val="auto"/>
                <w:sz w:val="24"/>
                <w:szCs w:val="24"/>
                <w:vertAlign w:val="baseline"/>
                <w:lang w:val="en-US" w:eastAsia="zh-CN"/>
              </w:rPr>
              <w:t>特别重大草原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 w:cs="仿宋_GB2312"/>
                <w:b/>
                <w:bCs/>
                <w:color w:val="auto"/>
                <w:sz w:val="24"/>
                <w:szCs w:val="24"/>
                <w:vertAlign w:val="baseline"/>
                <w:lang w:val="en-US" w:eastAsia="zh-CN"/>
              </w:rPr>
              <w:t>有害生物灾害(一级)</w:t>
            </w:r>
          </w:p>
        </w:tc>
        <w:tc>
          <w:tcPr>
            <w:tcW w:w="477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 w:cs="仿宋_GB2312"/>
                <w:b/>
                <w:bCs/>
                <w:color w:val="auto"/>
                <w:sz w:val="24"/>
                <w:szCs w:val="24"/>
                <w:vertAlign w:val="baseline"/>
                <w:lang w:val="en-US" w:eastAsia="zh-CN"/>
              </w:rPr>
            </w:pPr>
            <w:r>
              <w:rPr>
                <w:rFonts w:hint="eastAsia" w:ascii="仿宋_GB2312" w:hAnsi="仿宋_GB2312" w:eastAsia="仿宋" w:cs="仿宋_GB2312"/>
                <w:b/>
                <w:bCs/>
                <w:color w:val="auto"/>
                <w:sz w:val="24"/>
                <w:szCs w:val="24"/>
                <w:vertAlign w:val="baseline"/>
                <w:lang w:val="en-US" w:eastAsia="zh-CN"/>
              </w:rPr>
              <w:t>重大草原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 w:cs="仿宋_GB2312"/>
                <w:b/>
                <w:bCs/>
                <w:color w:val="auto"/>
                <w:sz w:val="24"/>
                <w:szCs w:val="24"/>
                <w:vertAlign w:val="baseline"/>
                <w:lang w:val="en-US" w:eastAsia="zh-CN"/>
              </w:rPr>
              <w:t>有害生物灾害(二级)</w:t>
            </w:r>
          </w:p>
        </w:tc>
        <w:tc>
          <w:tcPr>
            <w:tcW w:w="32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 w:cs="仿宋_GB2312"/>
                <w:b/>
                <w:bCs/>
                <w:color w:val="auto"/>
                <w:sz w:val="24"/>
                <w:szCs w:val="24"/>
                <w:vertAlign w:val="baseline"/>
                <w:lang w:val="en-US" w:eastAsia="zh-CN"/>
              </w:rPr>
            </w:pPr>
            <w:r>
              <w:rPr>
                <w:rFonts w:hint="eastAsia" w:ascii="仿宋_GB2312" w:hAnsi="仿宋_GB2312" w:eastAsia="仿宋" w:cs="仿宋_GB2312"/>
                <w:b/>
                <w:bCs/>
                <w:color w:val="auto"/>
                <w:sz w:val="24"/>
                <w:szCs w:val="24"/>
                <w:vertAlign w:val="baseline"/>
                <w:lang w:val="en-US" w:eastAsia="zh-CN"/>
              </w:rPr>
              <w:t>较大草原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 w:cs="仿宋_GB2312"/>
                <w:b/>
                <w:bCs/>
                <w:color w:val="auto"/>
                <w:sz w:val="24"/>
                <w:szCs w:val="24"/>
                <w:vertAlign w:val="baseline"/>
                <w:lang w:val="en-US" w:eastAsia="zh-CN"/>
              </w:rPr>
              <w:t>有害生物灾害(三级)</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 w:cs="仿宋_GB2312"/>
                <w:b/>
                <w:bCs/>
                <w:color w:val="auto"/>
                <w:sz w:val="24"/>
                <w:szCs w:val="24"/>
                <w:vertAlign w:val="baseline"/>
                <w:lang w:val="en-US" w:eastAsia="zh-CN"/>
              </w:rPr>
            </w:pPr>
            <w:r>
              <w:rPr>
                <w:rFonts w:hint="eastAsia" w:ascii="仿宋_GB2312" w:hAnsi="仿宋_GB2312" w:eastAsia="仿宋" w:cs="仿宋_GB2312"/>
                <w:b/>
                <w:bCs/>
                <w:color w:val="auto"/>
                <w:sz w:val="24"/>
                <w:szCs w:val="24"/>
                <w:vertAlign w:val="baseline"/>
                <w:lang w:val="en-US" w:eastAsia="zh-CN"/>
              </w:rPr>
              <w:t>一般草原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 w:cs="仿宋_GB2312"/>
                <w:b/>
                <w:bCs/>
                <w:color w:val="auto"/>
                <w:sz w:val="24"/>
                <w:szCs w:val="24"/>
                <w:vertAlign w:val="baseline"/>
                <w:lang w:val="en-US" w:eastAsia="zh-CN"/>
              </w:rPr>
              <w:t>有害生物灾害(四级)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3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18"/>
                <w:szCs w:val="18"/>
                <w:vertAlign w:val="baseline"/>
                <w:lang w:val="en-US" w:eastAsia="zh-CN"/>
              </w:rPr>
            </w:pPr>
          </w:p>
        </w:tc>
        <w:tc>
          <w:tcPr>
            <w:tcW w:w="306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1.国(境)外新传入迁移性较强、密度较高的有害生物的;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2.全市草原有害生物成灾总面积达200 万亩以上,或在一定区域内连片成灾面积达 100 万亩以上;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3.国家、省林业和草原局认定的其他情形。</w:t>
            </w:r>
          </w:p>
        </w:tc>
        <w:tc>
          <w:tcPr>
            <w:tcW w:w="477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1.全市草原有害生物的成灾面积达50万亩以上,200 万亩以下;或在一定区城内连片成灾面积 15 万亩以上,100 万亩以下;</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2.国家和省林业和草原局认定的其他情形;</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3.经专家评估确认为重大草原有害生物灾害的。</w:t>
            </w:r>
          </w:p>
        </w:tc>
        <w:tc>
          <w:tcPr>
            <w:tcW w:w="3215"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1.在市行政区域内草原有害生物成灾面积达20 万亩以上、50万亩以下的;或在县圾行政区城内成灾面积达 10万亩以上,20 万亩以下的,或在一定区域内连片成灾面积达5万亩以上,15 万亩以下的；</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2.国家和省林草局认定的其他情形;</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3.经专家评估确认为较大草原有害生物灾害的。</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指在县级行政区城内,草原有害生物的成灾面积达5万亩以上10万亩以下,或在一定区域内连片成灾面积达3万亩以上5万亩以下的。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417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 w:cs="仿宋_GB2312"/>
                <w:sz w:val="24"/>
                <w:szCs w:val="24"/>
                <w:vertAlign w:val="baseline"/>
                <w:lang w:val="en-US" w:eastAsia="zh-CN"/>
              </w:rPr>
              <w:t>说明:以上关于数字的表述，“以上"包含本数，“以下”不包含本数。</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1A321"/>
    <w:multiLevelType w:val="singleLevel"/>
    <w:tmpl w:val="4791A32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FDCF1"/>
    <w:rsid w:val="FFBFD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2023-07-03T09:41:00Z</dcterms:created>
  <dc:creator>baixin</dc:creator>
  <cp:lastModifiedBy>baixin</cp:lastModifiedBy>
  <dcterms:modified xsi:type="dcterms:W3CDTF">2023-07-03T09:47:35Z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