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Cs/>
          <w:sz w:val="28"/>
          <w:szCs w:val="28"/>
        </w:rPr>
      </w:pPr>
      <w:bookmarkStart w:id="0" w:name="_GoBack"/>
      <w:r>
        <w:rPr>
          <w:rFonts w:ascii="Times New Roman" w:hAnsi="Times New Roman" w:eastAsia="黑体"/>
          <w:bCs/>
          <w:sz w:val="28"/>
          <w:szCs w:val="28"/>
        </w:rPr>
        <w:t>附件3</w:t>
      </w:r>
    </w:p>
    <w:p>
      <w:pPr>
        <w:spacing w:before="282" w:line="535" w:lineRule="exact"/>
        <w:jc w:val="center"/>
        <w:rPr>
          <w:rFonts w:ascii="Times New Roman" w:hAnsi="Times New Roman" w:eastAsia="方正小标宋简体"/>
          <w:b/>
          <w:color w:val="000000"/>
          <w:sz w:val="44"/>
          <w:szCs w:val="22"/>
        </w:rPr>
      </w:pPr>
      <w:r>
        <w:rPr>
          <w:rFonts w:hint="eastAsia" w:ascii="Times New Roman" w:hAnsi="Times New Roman" w:eastAsia="方正小标宋简体"/>
          <w:b/>
          <w:color w:val="000000"/>
          <w:sz w:val="44"/>
          <w:szCs w:val="22"/>
          <w:lang w:eastAsia="zh-CN"/>
        </w:rPr>
        <w:t>曲沃县</w:t>
      </w:r>
      <w:r>
        <w:rPr>
          <w:rFonts w:ascii="Times New Roman" w:hAnsi="Times New Roman" w:eastAsia="方正小标宋简体"/>
          <w:b/>
          <w:color w:val="000000"/>
          <w:sz w:val="44"/>
          <w:szCs w:val="22"/>
        </w:rPr>
        <w:t>煤电油气运综合协调应急指挥部</w:t>
      </w:r>
      <w:r>
        <w:rPr>
          <w:rFonts w:hint="eastAsia" w:ascii="Times New Roman" w:hAnsi="Times New Roman" w:eastAsia="方正小标宋简体"/>
          <w:b/>
          <w:color w:val="000000"/>
          <w:sz w:val="44"/>
          <w:szCs w:val="22"/>
        </w:rPr>
        <w:t>指挥</w:t>
      </w:r>
      <w:r>
        <w:rPr>
          <w:rFonts w:ascii="Times New Roman" w:hAnsi="Times New Roman" w:eastAsia="方正小标宋简体"/>
          <w:b/>
          <w:color w:val="000000"/>
          <w:sz w:val="44"/>
          <w:szCs w:val="22"/>
        </w:rPr>
        <w:t>机构及职责</w:t>
      </w:r>
    </w:p>
    <w:bookmarkEnd w:id="0"/>
    <w:p>
      <w:pPr>
        <w:spacing w:before="282"/>
        <w:rPr>
          <w:rFonts w:ascii="Times New Roman" w:hAnsi="Times New Roman"/>
          <w:color w:val="000000"/>
          <w:sz w:val="10"/>
          <w:szCs w:val="1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976"/>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644" w:type="dxa"/>
            <w:gridSpan w:val="2"/>
            <w:noWrap w:val="0"/>
            <w:vAlign w:val="center"/>
          </w:tcPr>
          <w:p>
            <w:pPr>
              <w:jc w:val="center"/>
              <w:rPr>
                <w:rFonts w:hint="eastAsia" w:ascii="Times New Roman" w:hAnsi="Times New Roman" w:eastAsia="黑体"/>
                <w:sz w:val="28"/>
                <w:szCs w:val="28"/>
              </w:rPr>
            </w:pPr>
            <w:r>
              <w:rPr>
                <w:rFonts w:hint="eastAsia" w:ascii="Times New Roman" w:hAnsi="Times New Roman" w:eastAsia="黑体"/>
                <w:sz w:val="28"/>
                <w:szCs w:val="28"/>
              </w:rPr>
              <w:t>指挥机构组成</w:t>
            </w:r>
          </w:p>
        </w:tc>
        <w:tc>
          <w:tcPr>
            <w:tcW w:w="9230" w:type="dxa"/>
            <w:noWrap w:val="0"/>
            <w:vAlign w:val="center"/>
          </w:tcPr>
          <w:p>
            <w:pPr>
              <w:jc w:val="center"/>
              <w:rPr>
                <w:rFonts w:ascii="Times New Roman" w:hAnsi="Times New Roman" w:eastAsia="黑体"/>
                <w:sz w:val="28"/>
                <w:szCs w:val="28"/>
              </w:rPr>
            </w:pPr>
            <w:r>
              <w:rPr>
                <w:rFonts w:ascii="Times New Roman" w:hAnsi="Times New Roman" w:eastAsia="黑体"/>
                <w:sz w:val="28"/>
                <w:szCs w:val="2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68" w:type="dxa"/>
            <w:noWrap w:val="0"/>
            <w:vAlign w:val="center"/>
          </w:tcPr>
          <w:p>
            <w:pPr>
              <w:bidi w:val="0"/>
              <w:jc w:val="center"/>
              <w:rPr>
                <w:rFonts w:hint="eastAsia" w:ascii="黑体" w:hAnsi="黑体" w:eastAsia="黑体" w:cs="黑体"/>
                <w:sz w:val="24"/>
                <w:szCs w:val="24"/>
              </w:rPr>
            </w:pPr>
            <w:r>
              <w:rPr>
                <w:rFonts w:hint="eastAsia" w:ascii="黑体" w:hAnsi="黑体" w:eastAsia="黑体" w:cs="黑体"/>
                <w:sz w:val="24"/>
                <w:szCs w:val="24"/>
              </w:rPr>
              <w:t>指</w:t>
            </w:r>
          </w:p>
          <w:p>
            <w:pPr>
              <w:bidi w:val="0"/>
              <w:jc w:val="center"/>
              <w:rPr>
                <w:rFonts w:hint="eastAsia" w:ascii="黑体" w:hAnsi="黑体" w:eastAsia="黑体" w:cs="黑体"/>
                <w:sz w:val="24"/>
                <w:szCs w:val="24"/>
              </w:rPr>
            </w:pPr>
            <w:r>
              <w:rPr>
                <w:rFonts w:hint="eastAsia" w:ascii="黑体" w:hAnsi="黑体" w:eastAsia="黑体" w:cs="黑体"/>
                <w:sz w:val="24"/>
                <w:szCs w:val="24"/>
              </w:rPr>
              <w:t>挥</w:t>
            </w:r>
          </w:p>
          <w:p>
            <w:pPr>
              <w:bidi w:val="0"/>
              <w:jc w:val="center"/>
              <w:rPr>
                <w:rFonts w:hint="eastAsia" w:ascii="黑体" w:hAnsi="黑体" w:eastAsia="黑体" w:cs="黑体"/>
                <w:sz w:val="24"/>
                <w:szCs w:val="24"/>
              </w:rPr>
            </w:pPr>
            <w:r>
              <w:rPr>
                <w:rFonts w:hint="eastAsia" w:ascii="黑体" w:hAnsi="黑体" w:eastAsia="黑体" w:cs="黑体"/>
                <w:sz w:val="24"/>
                <w:szCs w:val="24"/>
              </w:rPr>
              <w:t>长</w:t>
            </w:r>
          </w:p>
        </w:tc>
        <w:tc>
          <w:tcPr>
            <w:tcW w:w="297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none"/>
              </w:rPr>
              <w:t>分管发改工作的副</w:t>
            </w:r>
            <w:r>
              <w:rPr>
                <w:rFonts w:hint="eastAsia" w:ascii="仿宋_GB2312" w:hAnsi="仿宋_GB2312" w:eastAsia="仿宋_GB2312" w:cs="仿宋_GB2312"/>
                <w:sz w:val="24"/>
                <w:szCs w:val="24"/>
                <w:u w:val="none"/>
                <w:lang w:eastAsia="zh-CN"/>
              </w:rPr>
              <w:t>县</w:t>
            </w:r>
            <w:r>
              <w:rPr>
                <w:rFonts w:hint="eastAsia" w:ascii="仿宋_GB2312" w:hAnsi="仿宋_GB2312" w:eastAsia="仿宋_GB2312" w:cs="仿宋_GB2312"/>
                <w:sz w:val="24"/>
                <w:szCs w:val="24"/>
                <w:u w:val="none"/>
              </w:rPr>
              <w:t>长</w:t>
            </w:r>
          </w:p>
        </w:tc>
        <w:tc>
          <w:tcPr>
            <w:tcW w:w="9230" w:type="dxa"/>
            <w:vMerge w:val="restart"/>
            <w:noWrap w:val="0"/>
            <w:vAlign w:val="center"/>
          </w:tcPr>
          <w:p>
            <w:pP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lang w:eastAsia="zh-CN"/>
              </w:rPr>
              <w:t>县</w:t>
            </w:r>
            <w:r>
              <w:rPr>
                <w:rFonts w:hint="eastAsia" w:ascii="仿宋_GB2312" w:hAnsi="仿宋_GB2312" w:eastAsia="仿宋_GB2312" w:cs="仿宋_GB2312"/>
                <w:spacing w:val="6"/>
                <w:sz w:val="24"/>
                <w:szCs w:val="24"/>
              </w:rPr>
              <w:t>指挥部职责：</w:t>
            </w:r>
            <w:r>
              <w:rPr>
                <w:rFonts w:hint="eastAsia" w:ascii="仿宋_GB2312" w:hAnsi="仿宋_GB2312" w:eastAsia="仿宋_GB2312" w:cs="仿宋_GB2312"/>
                <w:kern w:val="0"/>
                <w:sz w:val="24"/>
                <w:szCs w:val="24"/>
              </w:rPr>
              <w:t>贯彻落实党中央、国务院及省委、省政府</w:t>
            </w:r>
            <w:r>
              <w:rPr>
                <w:rFonts w:hint="eastAsia" w:ascii="仿宋_GB2312" w:hAnsi="仿宋_GB2312" w:eastAsia="仿宋_GB2312" w:cs="仿宋_GB2312"/>
                <w:spacing w:val="6"/>
                <w:sz w:val="24"/>
                <w:szCs w:val="24"/>
              </w:rPr>
              <w:t>、市委、市政府</w:t>
            </w:r>
            <w:r>
              <w:rPr>
                <w:rFonts w:hint="eastAsia" w:ascii="仿宋_GB2312" w:hAnsi="仿宋_GB2312" w:eastAsia="仿宋_GB2312" w:cs="仿宋_GB2312"/>
                <w:spacing w:val="6"/>
                <w:sz w:val="24"/>
                <w:szCs w:val="24"/>
                <w:lang w:eastAsia="zh-CN"/>
              </w:rPr>
              <w:t>、县委、县政府</w:t>
            </w:r>
            <w:r>
              <w:rPr>
                <w:rFonts w:hint="eastAsia" w:ascii="仿宋_GB2312" w:hAnsi="仿宋_GB2312" w:eastAsia="仿宋_GB2312" w:cs="仿宋_GB2312"/>
                <w:kern w:val="0"/>
                <w:sz w:val="24"/>
                <w:szCs w:val="24"/>
              </w:rPr>
              <w:t>关于煤电油气运突发事件应对工作的决策部署。指导协调相关突发事件风险防控、监测预警、调查评估和善后工作。决定</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级层面应急响应级别，组织指挥煤电油气运突发事件应急处置工作。完成</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spacing w:val="6"/>
                <w:sz w:val="24"/>
                <w:szCs w:val="24"/>
              </w:rPr>
              <w:t>委、</w:t>
            </w:r>
            <w:r>
              <w:rPr>
                <w:rFonts w:hint="eastAsia" w:ascii="仿宋_GB2312" w:hAnsi="仿宋_GB2312" w:eastAsia="仿宋_GB2312" w:cs="仿宋_GB2312"/>
                <w:spacing w:val="6"/>
                <w:sz w:val="24"/>
                <w:szCs w:val="24"/>
                <w:lang w:eastAsia="zh-CN"/>
              </w:rPr>
              <w:t>县</w:t>
            </w:r>
            <w:r>
              <w:rPr>
                <w:rFonts w:hint="eastAsia" w:ascii="仿宋_GB2312" w:hAnsi="仿宋_GB2312" w:eastAsia="仿宋_GB2312" w:cs="仿宋_GB2312"/>
                <w:spacing w:val="6"/>
                <w:sz w:val="24"/>
                <w:szCs w:val="24"/>
              </w:rPr>
              <w:t>政府</w:t>
            </w:r>
            <w:r>
              <w:rPr>
                <w:rFonts w:hint="eastAsia" w:ascii="仿宋_GB2312" w:hAnsi="仿宋_GB2312" w:eastAsia="仿宋_GB2312" w:cs="仿宋_GB2312"/>
                <w:kern w:val="0"/>
                <w:sz w:val="24"/>
                <w:szCs w:val="24"/>
              </w:rPr>
              <w:t>及</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应急救援总指挥部交办的煤电油气运应急处置其他相关工作。</w:t>
            </w:r>
          </w:p>
          <w:p>
            <w:pPr>
              <w:rPr>
                <w:rFonts w:hint="eastAsia" w:ascii="仿宋_GB2312" w:hAnsi="仿宋_GB2312" w:eastAsia="仿宋_GB2312" w:cs="仿宋_GB2312"/>
                <w:spacing w:val="6"/>
                <w:sz w:val="24"/>
                <w:szCs w:val="24"/>
              </w:rPr>
            </w:pPr>
          </w:p>
          <w:p>
            <w:pPr>
              <w:rPr>
                <w:rFonts w:ascii="Times New Roman" w:hAnsi="Times New Roman"/>
                <w:spacing w:val="6"/>
              </w:rPr>
            </w:pPr>
            <w:r>
              <w:rPr>
                <w:rFonts w:hint="eastAsia" w:ascii="仿宋_GB2312" w:hAnsi="仿宋_GB2312" w:eastAsia="仿宋_GB2312" w:cs="仿宋_GB2312"/>
                <w:spacing w:val="6"/>
                <w:sz w:val="24"/>
                <w:szCs w:val="24"/>
                <w:lang w:eastAsia="zh-CN"/>
              </w:rPr>
              <w:t>县</w:t>
            </w:r>
            <w:r>
              <w:rPr>
                <w:rFonts w:hint="eastAsia" w:ascii="仿宋_GB2312" w:hAnsi="仿宋_GB2312" w:eastAsia="仿宋_GB2312" w:cs="仿宋_GB2312"/>
                <w:spacing w:val="6"/>
                <w:sz w:val="24"/>
                <w:szCs w:val="24"/>
              </w:rPr>
              <w:t>指挥部办公室主要职责：</w:t>
            </w:r>
            <w:r>
              <w:rPr>
                <w:rFonts w:hint="eastAsia" w:ascii="仿宋_GB2312" w:hAnsi="仿宋_GB2312" w:eastAsia="仿宋_GB2312" w:cs="仿宋_GB2312"/>
                <w:kern w:val="0"/>
                <w:sz w:val="24"/>
                <w:szCs w:val="24"/>
              </w:rPr>
              <w:t>承担</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sz w:val="24"/>
                <w:szCs w:val="24"/>
              </w:rPr>
              <w:t>煤电油气运综合协调应急</w:t>
            </w:r>
            <w:r>
              <w:rPr>
                <w:rFonts w:hint="eastAsia" w:ascii="仿宋_GB2312" w:hAnsi="仿宋_GB2312" w:eastAsia="仿宋_GB2312" w:cs="仿宋_GB2312"/>
                <w:kern w:val="0"/>
                <w:sz w:val="24"/>
                <w:szCs w:val="24"/>
              </w:rPr>
              <w:t>指挥部日常工作，</w:t>
            </w:r>
            <w:r>
              <w:rPr>
                <w:rFonts w:hint="eastAsia" w:ascii="仿宋_GB2312" w:hAnsi="仿宋_GB2312" w:eastAsia="仿宋_GB2312" w:cs="仿宋_GB2312"/>
                <w:spacing w:val="6"/>
                <w:sz w:val="24"/>
                <w:szCs w:val="24"/>
              </w:rPr>
              <w:t>组织应急管理培训、演练、开展应急宣传，</w:t>
            </w:r>
            <w:r>
              <w:rPr>
                <w:rFonts w:hint="eastAsia" w:ascii="仿宋_GB2312" w:hAnsi="仿宋_GB2312" w:eastAsia="仿宋_GB2312" w:cs="仿宋_GB2312"/>
                <w:kern w:val="0"/>
                <w:sz w:val="24"/>
                <w:szCs w:val="24"/>
              </w:rPr>
              <w:t>制定、修订煤电油气运综合协调应急预案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召开指挥部应急协调会议，分析研判紧急状态影响程度及事态发展趋势，确定是否发布预警信息及预警级别；</w:t>
            </w:r>
            <w:r>
              <w:rPr>
                <w:rFonts w:hint="eastAsia" w:ascii="仿宋_GB2312" w:hAnsi="仿宋_GB2312" w:eastAsia="仿宋_GB2312" w:cs="仿宋_GB2312"/>
                <w:kern w:val="0"/>
                <w:sz w:val="24"/>
                <w:szCs w:val="24"/>
              </w:rPr>
              <w:t>收集、分析和报告煤电油气运</w:t>
            </w:r>
            <w:r>
              <w:rPr>
                <w:rFonts w:hint="eastAsia" w:ascii="仿宋_GB2312" w:hAnsi="仿宋_GB2312" w:eastAsia="仿宋_GB2312" w:cs="仿宋_GB2312"/>
                <w:sz w:val="24"/>
                <w:szCs w:val="24"/>
              </w:rPr>
              <w:t>突发事件应急处置</w:t>
            </w:r>
            <w:r>
              <w:rPr>
                <w:rFonts w:hint="eastAsia" w:ascii="仿宋_GB2312" w:hAnsi="仿宋_GB2312" w:eastAsia="仿宋_GB2312" w:cs="仿宋_GB2312"/>
                <w:kern w:val="0"/>
                <w:sz w:val="24"/>
                <w:szCs w:val="24"/>
              </w:rPr>
              <w:t>信息</w:t>
            </w:r>
            <w:r>
              <w:rPr>
                <w:rFonts w:hint="eastAsia" w:ascii="仿宋_GB2312" w:hAnsi="仿宋_GB2312" w:eastAsia="仿宋_GB2312" w:cs="仿宋_GB2312"/>
                <w:sz w:val="24"/>
                <w:szCs w:val="24"/>
              </w:rPr>
              <w:t>，提出应急响应启动和终止建议；</w:t>
            </w:r>
            <w:r>
              <w:rPr>
                <w:rFonts w:hint="eastAsia" w:ascii="仿宋_GB2312" w:hAnsi="仿宋_GB2312" w:eastAsia="仿宋_GB2312" w:cs="仿宋_GB2312"/>
                <w:spacing w:val="6"/>
                <w:sz w:val="24"/>
                <w:szCs w:val="24"/>
              </w:rPr>
              <w:t>指</w:t>
            </w:r>
            <w:r>
              <w:rPr>
                <w:rFonts w:hint="eastAsia" w:ascii="仿宋_GB2312" w:hAnsi="仿宋_GB2312" w:eastAsia="仿宋_GB2312" w:cs="仿宋_GB2312"/>
                <w:spacing w:val="6"/>
                <w:sz w:val="24"/>
                <w:szCs w:val="24"/>
                <w:u w:val="none"/>
              </w:rPr>
              <w:t>导</w:t>
            </w:r>
            <w:r>
              <w:rPr>
                <w:rFonts w:hint="eastAsia" w:ascii="仿宋_GB2312" w:hAnsi="仿宋_GB2312" w:eastAsia="仿宋_GB2312" w:cs="仿宋_GB2312"/>
                <w:spacing w:val="6"/>
                <w:sz w:val="24"/>
                <w:szCs w:val="24"/>
                <w:u w:val="none"/>
                <w:lang w:eastAsia="zh-CN"/>
              </w:rPr>
              <w:t>乡镇</w:t>
            </w:r>
            <w:r>
              <w:rPr>
                <w:rFonts w:hint="eastAsia" w:ascii="仿宋_GB2312" w:hAnsi="仿宋_GB2312" w:eastAsia="仿宋_GB2312" w:cs="仿宋_GB2312"/>
                <w:spacing w:val="6"/>
                <w:sz w:val="24"/>
                <w:szCs w:val="24"/>
              </w:rPr>
              <w:t>做好煤电油气运突发事件应对等工作；</w:t>
            </w:r>
            <w:r>
              <w:rPr>
                <w:rFonts w:hint="eastAsia" w:ascii="仿宋_GB2312" w:hAnsi="仿宋_GB2312" w:eastAsia="仿宋_GB2312" w:cs="仿宋_GB2312"/>
                <w:kern w:val="0"/>
                <w:sz w:val="24"/>
                <w:szCs w:val="24"/>
              </w:rPr>
              <w:t>完成</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指挥部交办的其他相关工作。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68" w:type="dxa"/>
            <w:vMerge w:val="restart"/>
            <w:noWrap w:val="0"/>
            <w:vAlign w:val="center"/>
          </w:tcPr>
          <w:p>
            <w:pPr>
              <w:bidi w:val="0"/>
              <w:jc w:val="center"/>
              <w:rPr>
                <w:rFonts w:hint="eastAsia" w:ascii="黑体" w:hAnsi="黑体" w:eastAsia="黑体" w:cs="黑体"/>
                <w:sz w:val="24"/>
                <w:szCs w:val="24"/>
              </w:rPr>
            </w:pPr>
            <w:r>
              <w:rPr>
                <w:rFonts w:hint="eastAsia" w:ascii="黑体" w:hAnsi="黑体" w:eastAsia="黑体" w:cs="黑体"/>
                <w:sz w:val="24"/>
                <w:szCs w:val="24"/>
              </w:rPr>
              <w:t>副</w:t>
            </w:r>
          </w:p>
          <w:p>
            <w:pPr>
              <w:bidi w:val="0"/>
              <w:jc w:val="center"/>
              <w:rPr>
                <w:rFonts w:hint="eastAsia" w:ascii="黑体" w:hAnsi="黑体" w:eastAsia="黑体" w:cs="黑体"/>
                <w:sz w:val="24"/>
                <w:szCs w:val="24"/>
              </w:rPr>
            </w:pPr>
            <w:r>
              <w:rPr>
                <w:rFonts w:hint="eastAsia" w:ascii="黑体" w:hAnsi="黑体" w:eastAsia="黑体" w:cs="黑体"/>
                <w:sz w:val="24"/>
                <w:szCs w:val="24"/>
              </w:rPr>
              <w:t>指</w:t>
            </w:r>
          </w:p>
          <w:p>
            <w:pPr>
              <w:bidi w:val="0"/>
              <w:jc w:val="center"/>
              <w:rPr>
                <w:rFonts w:hint="eastAsia" w:ascii="黑体" w:hAnsi="黑体" w:eastAsia="黑体" w:cs="黑体"/>
                <w:sz w:val="24"/>
                <w:szCs w:val="24"/>
              </w:rPr>
            </w:pPr>
            <w:r>
              <w:rPr>
                <w:rFonts w:hint="eastAsia" w:ascii="黑体" w:hAnsi="黑体" w:eastAsia="黑体" w:cs="黑体"/>
                <w:sz w:val="24"/>
                <w:szCs w:val="24"/>
              </w:rPr>
              <w:t>挥</w:t>
            </w:r>
          </w:p>
          <w:p>
            <w:pPr>
              <w:bidi w:val="0"/>
              <w:jc w:val="center"/>
              <w:rPr>
                <w:rFonts w:hint="eastAsia" w:ascii="黑体" w:hAnsi="黑体" w:eastAsia="黑体" w:cs="黑体"/>
                <w:sz w:val="24"/>
                <w:szCs w:val="24"/>
              </w:rPr>
            </w:pPr>
            <w:r>
              <w:rPr>
                <w:rFonts w:hint="eastAsia" w:ascii="黑体" w:hAnsi="黑体" w:eastAsia="黑体" w:cs="黑体"/>
                <w:sz w:val="24"/>
                <w:szCs w:val="24"/>
              </w:rPr>
              <w:t>长</w:t>
            </w:r>
          </w:p>
        </w:tc>
        <w:tc>
          <w:tcPr>
            <w:tcW w:w="297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none"/>
                <w:lang w:eastAsia="zh-CN"/>
              </w:rPr>
              <w:t>县</w:t>
            </w:r>
            <w:r>
              <w:rPr>
                <w:rFonts w:hint="eastAsia" w:ascii="仿宋_GB2312" w:hAnsi="仿宋_GB2312" w:eastAsia="仿宋_GB2312" w:cs="仿宋_GB2312"/>
                <w:sz w:val="24"/>
                <w:szCs w:val="24"/>
                <w:u w:val="none"/>
              </w:rPr>
              <w:t>政府协</w:t>
            </w:r>
            <w:r>
              <w:rPr>
                <w:rFonts w:hint="eastAsia" w:ascii="仿宋_GB2312" w:hAnsi="仿宋_GB2312" w:eastAsia="仿宋_GB2312" w:cs="仿宋_GB2312"/>
                <w:sz w:val="24"/>
                <w:szCs w:val="24"/>
                <w:u w:val="none"/>
                <w:lang w:val="en-US" w:eastAsia="zh-CN"/>
              </w:rPr>
              <w:t>助</w:t>
            </w:r>
            <w:r>
              <w:rPr>
                <w:rFonts w:hint="eastAsia" w:ascii="仿宋_GB2312" w:hAnsi="仿宋_GB2312" w:eastAsia="仿宋_GB2312" w:cs="仿宋_GB2312"/>
                <w:sz w:val="24"/>
                <w:szCs w:val="24"/>
                <w:u w:val="none"/>
              </w:rPr>
              <w:t>副</w:t>
            </w:r>
            <w:r>
              <w:rPr>
                <w:rFonts w:hint="eastAsia" w:ascii="仿宋_GB2312" w:hAnsi="仿宋_GB2312" w:eastAsia="仿宋_GB2312" w:cs="仿宋_GB2312"/>
                <w:sz w:val="24"/>
                <w:szCs w:val="24"/>
                <w:u w:val="none"/>
                <w:lang w:val="en-US" w:eastAsia="zh-CN"/>
              </w:rPr>
              <w:t>主任</w:t>
            </w:r>
          </w:p>
        </w:tc>
        <w:tc>
          <w:tcPr>
            <w:tcW w:w="9230" w:type="dxa"/>
            <w:vMerge w:val="continue"/>
            <w:noWrap w:val="0"/>
            <w:vAlign w:val="top"/>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68" w:type="dxa"/>
            <w:vMerge w:val="continue"/>
            <w:noWrap w:val="0"/>
            <w:vAlign w:val="center"/>
          </w:tcPr>
          <w:p>
            <w:pPr>
              <w:jc w:val="center"/>
              <w:rPr>
                <w:rFonts w:ascii="Times New Roman" w:hAnsi="Times New Roman" w:eastAsia="仿宋_GB2312"/>
              </w:rPr>
            </w:pPr>
          </w:p>
        </w:tc>
        <w:tc>
          <w:tcPr>
            <w:tcW w:w="297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none"/>
                <w:lang w:eastAsia="zh-CN"/>
              </w:rPr>
              <w:t>县</w:t>
            </w:r>
            <w:r>
              <w:rPr>
                <w:rFonts w:hint="eastAsia" w:ascii="仿宋_GB2312" w:hAnsi="仿宋_GB2312" w:eastAsia="仿宋_GB2312" w:cs="仿宋_GB2312"/>
                <w:sz w:val="24"/>
                <w:szCs w:val="24"/>
                <w:u w:val="none"/>
              </w:rPr>
              <w:t>发改</w:t>
            </w:r>
            <w:r>
              <w:rPr>
                <w:rFonts w:hint="eastAsia" w:ascii="仿宋_GB2312" w:hAnsi="仿宋_GB2312" w:eastAsia="仿宋_GB2312" w:cs="仿宋_GB2312"/>
                <w:sz w:val="24"/>
                <w:szCs w:val="24"/>
                <w:u w:val="none"/>
                <w:lang w:eastAsia="zh-CN"/>
              </w:rPr>
              <w:t>局局长</w:t>
            </w:r>
          </w:p>
        </w:tc>
        <w:tc>
          <w:tcPr>
            <w:tcW w:w="9230" w:type="dxa"/>
            <w:vMerge w:val="continue"/>
            <w:noWrap w:val="0"/>
            <w:vAlign w:val="top"/>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68" w:type="dxa"/>
            <w:vMerge w:val="continue"/>
            <w:noWrap w:val="0"/>
            <w:vAlign w:val="center"/>
          </w:tcPr>
          <w:p>
            <w:pPr>
              <w:jc w:val="center"/>
              <w:rPr>
                <w:rFonts w:ascii="Times New Roman" w:hAnsi="Times New Roman" w:eastAsia="仿宋_GB2312"/>
              </w:rPr>
            </w:pPr>
          </w:p>
        </w:tc>
        <w:tc>
          <w:tcPr>
            <w:tcW w:w="297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工信局局长</w:t>
            </w:r>
          </w:p>
        </w:tc>
        <w:tc>
          <w:tcPr>
            <w:tcW w:w="9230" w:type="dxa"/>
            <w:vMerge w:val="continue"/>
            <w:noWrap w:val="0"/>
            <w:vAlign w:val="top"/>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68" w:type="dxa"/>
            <w:vMerge w:val="continue"/>
            <w:noWrap w:val="0"/>
            <w:vAlign w:val="center"/>
          </w:tcPr>
          <w:p>
            <w:pPr>
              <w:jc w:val="center"/>
              <w:rPr>
                <w:rFonts w:ascii="Times New Roman" w:hAnsi="Times New Roman" w:eastAsia="仿宋_GB2312"/>
              </w:rPr>
            </w:pPr>
          </w:p>
        </w:tc>
        <w:tc>
          <w:tcPr>
            <w:tcW w:w="297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能源局局长</w:t>
            </w:r>
          </w:p>
        </w:tc>
        <w:tc>
          <w:tcPr>
            <w:tcW w:w="9230" w:type="dxa"/>
            <w:vMerge w:val="continue"/>
            <w:noWrap w:val="0"/>
            <w:vAlign w:val="top"/>
          </w:tcPr>
          <w:p>
            <w:pPr>
              <w:rPr>
                <w:rFonts w:ascii="Times New Roman" w:hAnsi="Times New Roman" w:eastAsia="仿宋_GB2312"/>
              </w:rPr>
            </w:pPr>
          </w:p>
        </w:tc>
      </w:tr>
    </w:tbl>
    <w:p>
      <w:pPr>
        <w:spacing w:before="282" w:line="535" w:lineRule="exact"/>
        <w:jc w:val="center"/>
        <w:rPr>
          <w:rFonts w:ascii="Times New Roman" w:hAnsi="Times New Roman" w:eastAsia="方正小标宋简体"/>
          <w:color w:val="000000"/>
          <w:sz w:val="44"/>
          <w:szCs w:val="22"/>
        </w:rPr>
        <w:sectPr>
          <w:headerReference r:id="rId3" w:type="default"/>
          <w:footerReference r:id="rId4" w:type="default"/>
          <w:pgSz w:w="16838" w:h="11906" w:orient="landscape"/>
          <w:pgMar w:top="1871" w:right="1474" w:bottom="1701" w:left="170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930"/>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576" w:type="dxa"/>
            <w:gridSpan w:val="2"/>
            <w:noWrap w:val="0"/>
            <w:vAlign w:val="center"/>
          </w:tcPr>
          <w:p>
            <w:pPr>
              <w:jc w:val="center"/>
              <w:rPr>
                <w:rFonts w:hint="eastAsia" w:ascii="Times New Roman" w:hAnsi="Times New Roman" w:eastAsia="黑体"/>
                <w:sz w:val="28"/>
                <w:szCs w:val="28"/>
              </w:rPr>
            </w:pPr>
            <w:r>
              <w:rPr>
                <w:rFonts w:hint="eastAsia" w:ascii="Times New Roman" w:hAnsi="Times New Roman" w:eastAsia="黑体"/>
                <w:sz w:val="28"/>
                <w:szCs w:val="28"/>
              </w:rPr>
              <w:t>指挥机构组成</w:t>
            </w:r>
          </w:p>
        </w:tc>
        <w:tc>
          <w:tcPr>
            <w:tcW w:w="9076" w:type="dxa"/>
            <w:noWrap w:val="0"/>
            <w:vAlign w:val="center"/>
          </w:tcPr>
          <w:p>
            <w:pPr>
              <w:jc w:val="center"/>
              <w:rPr>
                <w:rFonts w:hint="eastAsia" w:ascii="Times New Roman" w:hAnsi="Times New Roman" w:eastAsia="黑体"/>
                <w:sz w:val="28"/>
                <w:szCs w:val="28"/>
              </w:rPr>
            </w:pPr>
            <w:r>
              <w:rPr>
                <w:rFonts w:hint="eastAsia" w:ascii="Times New Roman" w:hAnsi="Times New Roman" w:eastAsia="黑体"/>
                <w:sz w:val="28"/>
                <w:szCs w:val="2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6" w:type="dxa"/>
            <w:vMerge w:val="restart"/>
            <w:noWrap w:val="0"/>
            <w:vAlign w:val="center"/>
          </w:tcPr>
          <w:p>
            <w:pPr>
              <w:bidi w:val="0"/>
              <w:jc w:val="center"/>
              <w:rPr>
                <w:rFonts w:hint="eastAsia" w:ascii="黑体" w:hAnsi="黑体" w:eastAsia="黑体" w:cs="黑体"/>
                <w:sz w:val="24"/>
                <w:szCs w:val="24"/>
              </w:rPr>
            </w:pPr>
            <w:r>
              <w:rPr>
                <w:rFonts w:hint="eastAsia" w:ascii="黑体" w:hAnsi="黑体" w:eastAsia="黑体" w:cs="黑体"/>
                <w:sz w:val="24"/>
                <w:szCs w:val="24"/>
              </w:rPr>
              <w:t>成</w:t>
            </w:r>
          </w:p>
          <w:p>
            <w:pPr>
              <w:bidi w:val="0"/>
              <w:jc w:val="center"/>
              <w:rPr>
                <w:rFonts w:hint="eastAsia" w:ascii="黑体" w:hAnsi="黑体" w:eastAsia="黑体" w:cs="黑体"/>
                <w:sz w:val="24"/>
                <w:szCs w:val="24"/>
              </w:rPr>
            </w:pPr>
            <w:r>
              <w:rPr>
                <w:rFonts w:hint="eastAsia" w:ascii="黑体" w:hAnsi="黑体" w:eastAsia="黑体" w:cs="黑体"/>
                <w:sz w:val="24"/>
                <w:szCs w:val="24"/>
              </w:rPr>
              <w:t>员</w:t>
            </w:r>
          </w:p>
          <w:p>
            <w:pPr>
              <w:bidi w:val="0"/>
              <w:jc w:val="center"/>
              <w:rPr>
                <w:rFonts w:hint="eastAsia" w:ascii="黑体" w:hAnsi="黑体" w:eastAsia="黑体" w:cs="黑体"/>
                <w:sz w:val="24"/>
                <w:szCs w:val="24"/>
              </w:rPr>
            </w:pPr>
            <w:r>
              <w:rPr>
                <w:rFonts w:hint="eastAsia" w:ascii="黑体" w:hAnsi="黑体" w:eastAsia="黑体" w:cs="黑体"/>
                <w:sz w:val="24"/>
                <w:szCs w:val="24"/>
              </w:rPr>
              <w:t>单</w:t>
            </w:r>
          </w:p>
          <w:p>
            <w:pPr>
              <w:bidi w:val="0"/>
              <w:jc w:val="center"/>
              <w:rPr>
                <w:rFonts w:ascii="Times New Roman" w:hAnsi="Times New Roman" w:eastAsia="仿宋_GB2312"/>
              </w:rPr>
            </w:pPr>
            <w:r>
              <w:rPr>
                <w:rFonts w:hint="eastAsia" w:ascii="黑体" w:hAnsi="黑体" w:eastAsia="黑体" w:cs="黑体"/>
                <w:sz w:val="24"/>
                <w:szCs w:val="24"/>
              </w:rPr>
              <w:t>位</w:t>
            </w:r>
          </w:p>
        </w:tc>
        <w:tc>
          <w:tcPr>
            <w:tcW w:w="2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委宣传部</w:t>
            </w:r>
          </w:p>
        </w:tc>
        <w:tc>
          <w:tcPr>
            <w:tcW w:w="9076" w:type="dxa"/>
            <w:noWrap w:val="0"/>
            <w:vAlign w:val="center"/>
          </w:tcPr>
          <w:p>
            <w:pPr>
              <w:rPr>
                <w:rFonts w:hint="eastAsia" w:ascii="仿宋_GB2312" w:hAnsi="仿宋_GB2312" w:eastAsia="仿宋_GB2312" w:cs="仿宋_GB2312"/>
                <w:spacing w:val="6"/>
                <w:sz w:val="24"/>
                <w:szCs w:val="24"/>
              </w:rPr>
            </w:pPr>
            <w:r>
              <w:rPr>
                <w:rFonts w:hint="eastAsia" w:ascii="仿宋_GB2312" w:hAnsi="仿宋_GB2312" w:eastAsia="仿宋_GB2312" w:cs="仿宋_GB2312"/>
                <w:kern w:val="0"/>
                <w:sz w:val="24"/>
                <w:szCs w:val="24"/>
              </w:rPr>
              <w:t>负责指导新闻单位做好煤电油气运紧张状态的信息发布和宣传工作，正确引导社会舆情。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6" w:type="dxa"/>
            <w:vMerge w:val="continue"/>
            <w:noWrap w:val="0"/>
            <w:vAlign w:val="center"/>
          </w:tcPr>
          <w:p>
            <w:pPr>
              <w:jc w:val="center"/>
              <w:rPr>
                <w:rFonts w:ascii="Times New Roman" w:hAnsi="Times New Roman" w:eastAsia="仿宋_GB2312"/>
              </w:rPr>
            </w:pPr>
          </w:p>
        </w:tc>
        <w:tc>
          <w:tcPr>
            <w:tcW w:w="29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发改</w:t>
            </w:r>
            <w:r>
              <w:rPr>
                <w:rFonts w:hint="eastAsia" w:ascii="仿宋_GB2312" w:hAnsi="仿宋_GB2312" w:eastAsia="仿宋_GB2312" w:cs="仿宋_GB2312"/>
                <w:sz w:val="24"/>
                <w:szCs w:val="24"/>
                <w:lang w:eastAsia="zh-CN"/>
              </w:rPr>
              <w:t>局</w:t>
            </w:r>
          </w:p>
        </w:tc>
        <w:tc>
          <w:tcPr>
            <w:tcW w:w="907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负责指挥部办公室的日常工作，研究提出需要应急领导小组讨论决定的建议方案和重大事项，跟踪检查督办煤电油气运应急工作措施落实情况，组织沟通重要情况，汇总综合信息；统筹煤炭、电力、天然气、成品油、交通运输等方面的工作衔接；</w:t>
            </w:r>
            <w:r>
              <w:rPr>
                <w:rFonts w:hint="eastAsia" w:ascii="仿宋_GB2312" w:hAnsi="仿宋_GB2312" w:eastAsia="仿宋_GB2312" w:cs="仿宋_GB2312"/>
                <w:kern w:val="0"/>
                <w:sz w:val="24"/>
                <w:szCs w:val="24"/>
                <w:lang w:val="en-US" w:eastAsia="zh-CN"/>
              </w:rPr>
              <w:t>负责煤电油气运价格监管，维护市场价格平稳运行；</w:t>
            </w:r>
            <w:r>
              <w:rPr>
                <w:rFonts w:hint="eastAsia" w:ascii="仿宋_GB2312" w:hAnsi="仿宋_GB2312" w:eastAsia="仿宋_GB2312" w:cs="仿宋_GB2312"/>
                <w:kern w:val="0"/>
                <w:sz w:val="24"/>
                <w:szCs w:val="24"/>
              </w:rPr>
              <w:t>负责紧急状态下重要物资生产组织工作，落实有关动用计划和指令。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6" w:type="dxa"/>
            <w:vMerge w:val="continue"/>
            <w:noWrap w:val="0"/>
            <w:vAlign w:val="center"/>
          </w:tcPr>
          <w:p>
            <w:pPr>
              <w:jc w:val="center"/>
              <w:rPr>
                <w:rFonts w:ascii="Times New Roman" w:hAnsi="Times New Roman" w:eastAsia="仿宋_GB2312"/>
              </w:rPr>
            </w:pPr>
          </w:p>
        </w:tc>
        <w:tc>
          <w:tcPr>
            <w:tcW w:w="2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工信局</w:t>
            </w:r>
          </w:p>
        </w:tc>
        <w:tc>
          <w:tcPr>
            <w:tcW w:w="9076" w:type="dxa"/>
            <w:noWrap w:val="0"/>
            <w:vAlign w:val="center"/>
          </w:tcPr>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负责统筹制定全</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工业企业“压非保民”方案，指导</w:t>
            </w:r>
            <w:r>
              <w:rPr>
                <w:rFonts w:hint="eastAsia" w:ascii="仿宋_GB2312" w:hAnsi="仿宋_GB2312" w:eastAsia="仿宋_GB2312" w:cs="仿宋_GB2312"/>
                <w:kern w:val="0"/>
                <w:sz w:val="24"/>
                <w:szCs w:val="24"/>
                <w:u w:val="none"/>
              </w:rPr>
              <w:t>各</w:t>
            </w:r>
            <w:r>
              <w:rPr>
                <w:rFonts w:hint="eastAsia" w:ascii="仿宋_GB2312" w:hAnsi="仿宋_GB2312" w:eastAsia="仿宋_GB2312" w:cs="仿宋_GB2312"/>
                <w:kern w:val="0"/>
                <w:sz w:val="24"/>
                <w:szCs w:val="24"/>
                <w:u w:val="none"/>
                <w:lang w:eastAsia="zh-CN"/>
              </w:rPr>
              <w:t>相关</w:t>
            </w:r>
            <w:r>
              <w:rPr>
                <w:rFonts w:hint="eastAsia" w:ascii="仿宋_GB2312" w:hAnsi="仿宋_GB2312" w:eastAsia="仿宋_GB2312" w:cs="仿宋_GB2312"/>
                <w:kern w:val="0"/>
                <w:sz w:val="24"/>
                <w:szCs w:val="24"/>
                <w:u w:val="none"/>
              </w:rPr>
              <w:t>工</w:t>
            </w:r>
            <w:r>
              <w:rPr>
                <w:rFonts w:hint="eastAsia" w:ascii="仿宋_GB2312" w:hAnsi="仿宋_GB2312" w:eastAsia="仿宋_GB2312" w:cs="仿宋_GB2312"/>
                <w:kern w:val="0"/>
                <w:sz w:val="24"/>
                <w:szCs w:val="24"/>
              </w:rPr>
              <w:t>业企业减停供次序；组织协调各电信运营企业做好应急通信保障工作</w:t>
            </w:r>
            <w:r>
              <w:rPr>
                <w:rFonts w:hint="eastAsia" w:ascii="仿宋_GB2312" w:hAnsi="仿宋_GB2312" w:eastAsia="仿宋_GB2312" w:cs="仿宋_GB2312"/>
                <w:kern w:val="0"/>
                <w:sz w:val="24"/>
                <w:szCs w:val="24"/>
                <w:lang w:eastAsia="zh-CN"/>
              </w:rPr>
              <w:t>；</w:t>
            </w:r>
          </w:p>
          <w:p>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负责成品油流通的监督管理，及时根据市场供求关系进行预测预警，按期向指挥部办公室报送有关信息；负责协调企业进行成品油的紧急调度。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6" w:type="dxa"/>
            <w:vMerge w:val="continue"/>
            <w:noWrap w:val="0"/>
            <w:vAlign w:val="center"/>
          </w:tcPr>
          <w:p>
            <w:pPr>
              <w:jc w:val="center"/>
              <w:rPr>
                <w:rFonts w:ascii="Times New Roman" w:hAnsi="Times New Roman" w:eastAsia="仿宋_GB2312"/>
              </w:rPr>
            </w:pPr>
          </w:p>
        </w:tc>
        <w:tc>
          <w:tcPr>
            <w:tcW w:w="2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公安局</w:t>
            </w:r>
          </w:p>
        </w:tc>
        <w:tc>
          <w:tcPr>
            <w:tcW w:w="907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负责应急处置工作中的治安秩序与交通管制。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6" w:type="dxa"/>
            <w:vMerge w:val="continue"/>
            <w:noWrap w:val="0"/>
            <w:vAlign w:val="center"/>
          </w:tcPr>
          <w:p>
            <w:pPr>
              <w:jc w:val="center"/>
              <w:rPr>
                <w:rFonts w:ascii="Times New Roman" w:hAnsi="Times New Roman" w:eastAsia="仿宋_GB2312"/>
              </w:rPr>
            </w:pPr>
          </w:p>
        </w:tc>
        <w:tc>
          <w:tcPr>
            <w:tcW w:w="2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财政局</w:t>
            </w:r>
          </w:p>
        </w:tc>
        <w:tc>
          <w:tcPr>
            <w:tcW w:w="907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负责对煤电油气运应急措施提供必须的资金保障。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6" w:type="dxa"/>
            <w:vMerge w:val="continue"/>
            <w:noWrap w:val="0"/>
            <w:vAlign w:val="center"/>
          </w:tcPr>
          <w:p>
            <w:pPr>
              <w:jc w:val="center"/>
              <w:rPr>
                <w:rFonts w:ascii="Times New Roman" w:hAnsi="Times New Roman" w:eastAsia="仿宋_GB2312"/>
              </w:rPr>
            </w:pPr>
          </w:p>
        </w:tc>
        <w:tc>
          <w:tcPr>
            <w:tcW w:w="29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市生态环境局</w:t>
            </w:r>
            <w:r>
              <w:rPr>
                <w:rFonts w:hint="eastAsia" w:ascii="仿宋_GB2312" w:hAnsi="仿宋_GB2312" w:eastAsia="仿宋_GB2312" w:cs="仿宋_GB2312"/>
                <w:sz w:val="24"/>
                <w:szCs w:val="24"/>
                <w:lang w:eastAsia="zh-CN"/>
              </w:rPr>
              <w:t>曲沃分局</w:t>
            </w:r>
          </w:p>
        </w:tc>
        <w:tc>
          <w:tcPr>
            <w:tcW w:w="907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负责煤电油气运等生产运输环节出现的突发环境事件调查和应急监测，指导开展突发环境事件的应急处置工作。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6" w:type="dxa"/>
            <w:vMerge w:val="continue"/>
            <w:noWrap w:val="0"/>
            <w:vAlign w:val="center"/>
          </w:tcPr>
          <w:p>
            <w:pPr>
              <w:jc w:val="center"/>
              <w:rPr>
                <w:rFonts w:ascii="Times New Roman" w:hAnsi="Times New Roman" w:eastAsia="仿宋_GB2312"/>
              </w:rPr>
            </w:pPr>
          </w:p>
        </w:tc>
        <w:tc>
          <w:tcPr>
            <w:tcW w:w="29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县住建局</w:t>
            </w:r>
          </w:p>
        </w:tc>
        <w:tc>
          <w:tcPr>
            <w:tcW w:w="9076" w:type="dxa"/>
            <w:noWrap w:val="0"/>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负责指导城镇燃气企业做好运营安全工作，督促城镇燃气企业做好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压非保民</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工作。</w:t>
            </w:r>
          </w:p>
        </w:tc>
      </w:tr>
    </w:tbl>
    <w:p>
      <w:pPr>
        <w:rPr>
          <w:rFonts w:ascii="Times New Roman" w:hAnsi="Times New Roman"/>
        </w:rPr>
      </w:pPr>
    </w:p>
    <w:p>
      <w:pPr>
        <w:pStyle w:val="2"/>
        <w:rPr>
          <w:rFonts w:ascii="Times New Roman" w:hAnsi="Times New Roman"/>
        </w:rPr>
      </w:pPr>
    </w:p>
    <w:p>
      <w:pPr>
        <w:pStyle w:val="2"/>
        <w:rPr>
          <w:rFonts w:ascii="Times New Roman" w:hAnsi="Times New Roman"/>
        </w:rPr>
        <w:sectPr>
          <w:headerReference r:id="rId5" w:type="default"/>
          <w:footerReference r:id="rId6"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rPr>
          <w:rFonts w:ascii="Times New Roman" w:hAnsi="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2532"/>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864" w:type="dxa"/>
            <w:gridSpan w:val="2"/>
            <w:noWrap w:val="0"/>
            <w:vAlign w:val="center"/>
          </w:tcPr>
          <w:p>
            <w:pPr>
              <w:jc w:val="center"/>
              <w:rPr>
                <w:rFonts w:hint="eastAsia" w:ascii="Times New Roman" w:hAnsi="Times New Roman" w:eastAsia="黑体"/>
                <w:sz w:val="30"/>
                <w:szCs w:val="30"/>
              </w:rPr>
            </w:pPr>
            <w:r>
              <w:rPr>
                <w:rFonts w:hint="eastAsia" w:ascii="Times New Roman" w:hAnsi="Times New Roman" w:eastAsia="黑体"/>
                <w:sz w:val="30"/>
                <w:szCs w:val="30"/>
              </w:rPr>
              <w:t>指挥机构组成</w:t>
            </w:r>
          </w:p>
        </w:tc>
        <w:tc>
          <w:tcPr>
            <w:tcW w:w="8621" w:type="dxa"/>
            <w:noWrap w:val="0"/>
            <w:vAlign w:val="center"/>
          </w:tcPr>
          <w:p>
            <w:pPr>
              <w:jc w:val="center"/>
              <w:rPr>
                <w:rFonts w:ascii="Times New Roman" w:hAnsi="Times New Roman" w:eastAsia="黑体"/>
                <w:sz w:val="30"/>
                <w:szCs w:val="30"/>
              </w:rPr>
            </w:pPr>
            <w:r>
              <w:rPr>
                <w:rFonts w:ascii="Times New Roman" w:hAnsi="Times New Roman" w:eastAsia="黑体"/>
                <w:sz w:val="30"/>
                <w:szCs w:val="30"/>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32" w:type="dxa"/>
            <w:vMerge w:val="restart"/>
            <w:noWrap w:val="0"/>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成</w:t>
            </w:r>
          </w:p>
          <w:p>
            <w:pPr>
              <w:jc w:val="center"/>
              <w:rPr>
                <w:rFonts w:hint="eastAsia" w:ascii="黑体" w:hAnsi="黑体" w:eastAsia="黑体" w:cs="黑体"/>
                <w:b w:val="0"/>
                <w:bCs/>
                <w:sz w:val="24"/>
                <w:szCs w:val="24"/>
              </w:rPr>
            </w:pPr>
            <w:r>
              <w:rPr>
                <w:rFonts w:hint="eastAsia" w:ascii="黑体" w:hAnsi="黑体" w:eastAsia="黑体" w:cs="黑体"/>
                <w:b w:val="0"/>
                <w:bCs/>
                <w:sz w:val="24"/>
                <w:szCs w:val="24"/>
              </w:rPr>
              <w:t>员</w:t>
            </w:r>
          </w:p>
          <w:p>
            <w:pPr>
              <w:jc w:val="center"/>
              <w:rPr>
                <w:rFonts w:hint="eastAsia" w:ascii="黑体" w:hAnsi="黑体" w:eastAsia="黑体" w:cs="黑体"/>
                <w:b w:val="0"/>
                <w:bCs/>
                <w:sz w:val="24"/>
                <w:szCs w:val="24"/>
              </w:rPr>
            </w:pPr>
            <w:r>
              <w:rPr>
                <w:rFonts w:hint="eastAsia" w:ascii="黑体" w:hAnsi="黑体" w:eastAsia="黑体" w:cs="黑体"/>
                <w:b w:val="0"/>
                <w:bCs/>
                <w:sz w:val="24"/>
                <w:szCs w:val="24"/>
              </w:rPr>
              <w:t>单</w:t>
            </w:r>
          </w:p>
          <w:p>
            <w:pPr>
              <w:jc w:val="center"/>
              <w:rPr>
                <w:rFonts w:hint="eastAsia" w:ascii="黑体" w:hAnsi="黑体" w:eastAsia="黑体" w:cs="黑体"/>
                <w:b/>
                <w:sz w:val="24"/>
                <w:szCs w:val="24"/>
              </w:rPr>
            </w:pPr>
            <w:r>
              <w:rPr>
                <w:rFonts w:hint="eastAsia" w:ascii="黑体" w:hAnsi="黑体" w:eastAsia="黑体" w:cs="黑体"/>
                <w:b w:val="0"/>
                <w:bCs/>
                <w:sz w:val="24"/>
                <w:szCs w:val="24"/>
              </w:rPr>
              <w:t>位</w:t>
            </w:r>
          </w:p>
        </w:tc>
        <w:tc>
          <w:tcPr>
            <w:tcW w:w="2532" w:type="dxa"/>
            <w:noWrap w:val="0"/>
            <w:vAlign w:val="center"/>
          </w:tcPr>
          <w:p>
            <w:pPr>
              <w:jc w:val="center"/>
              <w:rPr>
                <w:rFonts w:hint="eastAsia" w:ascii="Times New Roman" w:hAnsi="Times New Roman"/>
                <w:szCs w:val="21"/>
                <w:lang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交通局</w:t>
            </w:r>
          </w:p>
        </w:tc>
        <w:tc>
          <w:tcPr>
            <w:tcW w:w="8621" w:type="dxa"/>
            <w:noWrap w:val="0"/>
            <w:vAlign w:val="center"/>
          </w:tcPr>
          <w:p>
            <w:pPr>
              <w:rPr>
                <w:rFonts w:ascii="Times New Roman" w:hAnsi="Times New Roman"/>
                <w:kern w:val="0"/>
                <w:szCs w:val="21"/>
              </w:rPr>
            </w:pPr>
            <w:r>
              <w:rPr>
                <w:rFonts w:hint="eastAsia" w:ascii="仿宋_GB2312" w:hAnsi="仿宋_GB2312" w:eastAsia="仿宋_GB2312" w:cs="仿宋_GB2312"/>
                <w:kern w:val="0"/>
                <w:sz w:val="24"/>
                <w:szCs w:val="24"/>
              </w:rPr>
              <w:t>负责协调全</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煤炭、成品油、天然气（煤层气）等重要应急物资运输的公路抢通、保通，及时向</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指挥部提供交通影响情况。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32" w:type="dxa"/>
            <w:vMerge w:val="continue"/>
            <w:noWrap w:val="0"/>
            <w:vAlign w:val="center"/>
          </w:tcPr>
          <w:p>
            <w:pPr>
              <w:jc w:val="center"/>
              <w:rPr>
                <w:rFonts w:hint="eastAsia" w:ascii="Times New Roman" w:hAnsi="Times New Roman"/>
                <w:b/>
              </w:rPr>
            </w:pPr>
          </w:p>
        </w:tc>
        <w:tc>
          <w:tcPr>
            <w:tcW w:w="2532"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县应急局</w:t>
            </w:r>
          </w:p>
        </w:tc>
        <w:tc>
          <w:tcPr>
            <w:tcW w:w="8621" w:type="dxa"/>
            <w:noWrap w:val="0"/>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负责指导相关企业工作中的安全隐患排查工作，依法行使安全生产综合监督管理职责；按照职责做好安全生产类、自然灾害类等突发事件和综合防灾减灾工作。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32" w:type="dxa"/>
            <w:vMerge w:val="continue"/>
            <w:noWrap w:val="0"/>
            <w:vAlign w:val="center"/>
          </w:tcPr>
          <w:p>
            <w:pPr>
              <w:jc w:val="center"/>
              <w:rPr>
                <w:rFonts w:ascii="Times New Roman" w:hAnsi="Times New Roman" w:eastAsia="仿宋_GB2312"/>
              </w:rPr>
            </w:pPr>
          </w:p>
        </w:tc>
        <w:tc>
          <w:tcPr>
            <w:tcW w:w="2532"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县能源局</w:t>
            </w:r>
          </w:p>
        </w:tc>
        <w:tc>
          <w:tcPr>
            <w:tcW w:w="8621" w:type="dxa"/>
            <w:noWrap w:val="0"/>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负责协调全县应急所需煤炭、电力生产和供应，及时向县指挥部提供县内煤炭、电力供应信息。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32" w:type="dxa"/>
            <w:vMerge w:val="continue"/>
            <w:noWrap w:val="0"/>
            <w:vAlign w:val="center"/>
          </w:tcPr>
          <w:p>
            <w:pPr>
              <w:jc w:val="center"/>
              <w:rPr>
                <w:rFonts w:ascii="Times New Roman" w:hAnsi="Times New Roman" w:eastAsia="仿宋_GB2312"/>
              </w:rPr>
            </w:pPr>
          </w:p>
        </w:tc>
        <w:tc>
          <w:tcPr>
            <w:tcW w:w="2532"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国网</w:t>
            </w:r>
            <w:r>
              <w:rPr>
                <w:rFonts w:hint="eastAsia" w:ascii="仿宋_GB2312" w:hAnsi="仿宋_GB2312" w:eastAsia="仿宋_GB2312" w:cs="仿宋_GB2312"/>
                <w:sz w:val="24"/>
                <w:szCs w:val="24"/>
                <w:lang w:val="en-US" w:eastAsia="zh-CN"/>
              </w:rPr>
              <w:t>曲沃县</w:t>
            </w:r>
            <w:r>
              <w:rPr>
                <w:rFonts w:hint="eastAsia" w:ascii="仿宋_GB2312" w:hAnsi="仿宋_GB2312" w:eastAsia="仿宋_GB2312" w:cs="仿宋_GB2312"/>
                <w:sz w:val="24"/>
                <w:szCs w:val="24"/>
                <w:lang w:eastAsia="zh-CN"/>
              </w:rPr>
              <w:t>供电公司</w:t>
            </w:r>
          </w:p>
        </w:tc>
        <w:tc>
          <w:tcPr>
            <w:tcW w:w="8621" w:type="dxa"/>
            <w:noWrap w:val="0"/>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负责其供电区域的电力供应，协调所辖各类供电企业做好电力供应保障工作，参与全</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eastAsia="zh-CN"/>
              </w:rPr>
              <w:t>电力供应需求侧管理，科学安排有序用电，及时向</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eastAsia="zh-CN"/>
              </w:rPr>
              <w:t>指挥部汇总上报全</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eastAsia="zh-CN"/>
              </w:rPr>
              <w:t>电力供应情况。</w:t>
            </w:r>
          </w:p>
        </w:tc>
      </w:tr>
    </w:tbl>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0" w:lineRule="exact"/>
        <w:textAlignment w:val="auto"/>
        <w:rPr>
          <w:rFonts w:hint="default"/>
          <w:lang w:val="en-US" w:eastAsia="zh-CN"/>
        </w:rPr>
      </w:pPr>
    </w:p>
    <w:p/>
    <w:sectPr>
      <w:headerReference r:id="rId7" w:type="default"/>
      <w:footerReference r:id="rId8"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mc:AlternateContent>
        <mc:Choice Requires="wps">
          <w:drawing>
            <wp:anchor distT="0" distB="0" distL="114300" distR="114300" simplePos="0" relativeHeight="251711488" behindDoc="0" locked="0" layoutInCell="1" allowOverlap="1">
              <wp:simplePos x="0" y="0"/>
              <wp:positionH relativeFrom="margin">
                <wp:posOffset>-472440</wp:posOffset>
              </wp:positionH>
              <wp:positionV relativeFrom="paragraph">
                <wp:posOffset>543560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true"/>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2pt;margin-top:42.8pt;height:144pt;width:144pt;mso-position-horizontal-relative:margin;mso-wrap-style:none;rotation:5898240f;z-index:251711488;mso-width-relative:page;mso-height-relative:page;" filled="f" stroked="f" coordsize="21600,21600" o:gfxdata="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6TpzbXAAAACgEAAA8AAAAAAAAAAQAgAAAAOAAAAGRycy9kb3du&#10;cmV2LnhtbFBLAQIUABQAAAAIAIdO4kDiPZmdIwIAADkEAAAOAAAAAAAAAAEAIAAAADwBAABkcnMv&#10;ZTJvRG9jLnhtbFBLBQYAAAAABgAGAFkBAADR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sz w:val="18"/>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66" name="文本框 66"/>
              <wp:cNvGraphicFramePr/>
              <a:graphic xmlns:a="http://schemas.openxmlformats.org/drawingml/2006/main">
                <a:graphicData uri="http://schemas.microsoft.com/office/word/2010/wordprocessingShape">
                  <wps:wsp>
                    <wps:cNvSpPr txBox="true"/>
                    <wps:spPr>
                      <a:xfrm rot="16200000">
                        <a:off x="0" y="0"/>
                        <a:ext cx="1828800" cy="182880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rotation:-5898240f;z-index:251702272;mso-width-relative:page;mso-height-relative:page;" filled="f" stroked="t" coordsize="21600,21600" o:gfxdata="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bWZFQ0QAAAAUBAAAPAAAAAAAAAAEA&#10;IAAAADgAAABkcnMvZG93bnJldi54bWxQSwECFAAUAAAACACHTuJAcEfnVjkCAABjBAAADgAAAAAA&#10;AAABACAAAAA2AQAAZHJzL2Uyb0RvYy54bWxQSwUGAAAAAAYABgBZAQAA4QUAAAAA&#10;">
              <v:fill on="f" focussize="0,0"/>
              <v:stroke weight="0.5pt" color="#FFFFFF [3212]" joinstyle="round"/>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mc:AlternateContent>
        <mc:Choice Requires="wps">
          <w:drawing>
            <wp:anchor distT="0" distB="0" distL="114300" distR="114300" simplePos="0" relativeHeight="251717632" behindDoc="0" locked="0" layoutInCell="1" allowOverlap="1">
              <wp:simplePos x="0" y="0"/>
              <wp:positionH relativeFrom="margin">
                <wp:posOffset>-589915</wp:posOffset>
              </wp:positionH>
              <wp:positionV relativeFrom="paragraph">
                <wp:posOffset>777875</wp:posOffset>
              </wp:positionV>
              <wp:extent cx="717550" cy="304800"/>
              <wp:effectExtent l="206375" t="0" r="0" b="0"/>
              <wp:wrapNone/>
              <wp:docPr id="67" name="文本框 67"/>
              <wp:cNvGraphicFramePr/>
              <a:graphic xmlns:a="http://schemas.openxmlformats.org/drawingml/2006/main">
                <a:graphicData uri="http://schemas.microsoft.com/office/word/2010/wordprocessingShape">
                  <wps:wsp>
                    <wps:cNvSpPr txBox="true"/>
                    <wps:spPr>
                      <a:xfrm rot="5400000">
                        <a:off x="0" y="0"/>
                        <a:ext cx="7175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6.45pt;margin-top:61.25pt;height:24pt;width:56.5pt;mso-position-horizontal-relative:margin;rotation:5898240f;z-index:251717632;mso-width-relative:page;mso-height-relative:page;" filled="f" stroked="f" coordsize="21600,21600" o:gfxdata="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9rKk42AAAAAoBAAAPAAAAAAAAAAEAIAAAADgAAABk&#10;cnMvZG93bnJldi54bWxQSwECFAAUAAAACACHTuJA6i4wpykCAAA5BAAADgAAAAAAAAABACAAAAA9&#10;AQAAZHJzL2Uyb0RvYy54bWxQSwUGAAAAAAYABgBZAQAA2AUAAAAA&#10;">
              <v:fill on="f" focussize="0,0"/>
              <v:stroke on="f" weight="0.5pt"/>
              <v:imagedata o:title=""/>
              <o:lock v:ext="edit" aspectratio="f"/>
              <v:textbox inset="0mm,0mm,0mm,0mm">
                <w:txbxContent>
                  <w:p>
                    <w:pPr>
                      <w:pStyle w:val="3"/>
                      <w:rPr>
                        <w:rFonts w:hint="eastAsia" w:ascii="仿宋" w:hAnsi="仿宋" w:eastAsia="仿宋" w:cs="仿宋"/>
                        <w:sz w:val="28"/>
                        <w:szCs w:val="28"/>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DfMS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FimMaMTt++nr4/nX58&#10;IXgDQI0LM/htHDxj+8a2BY1+LwZTwHtqvZVepxtNEbgA7eMFYdFGwvE4nk6m0xwmDtugIEV2/e58&#10;iG+F1SQJBfUYYYcsO6xDPLsOLimbsataqW6MypAGfbx8n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EN8xIdAgAAKwQAAA4AAAAAAAAAAQAgAAAANQEAAGRycy9lMm9Eb2MueG1sUEsF&#10;BgAAAAAGAAYAWQEAAMQ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mc:AlternateContent>
        <mc:Choice Requires="wps">
          <w:drawing>
            <wp:anchor distT="0" distB="0" distL="114300" distR="114300" simplePos="0" relativeHeight="251719680" behindDoc="0" locked="0" layoutInCell="1" allowOverlap="1">
              <wp:simplePos x="0" y="0"/>
              <wp:positionH relativeFrom="margin">
                <wp:posOffset>-589915</wp:posOffset>
              </wp:positionH>
              <wp:positionV relativeFrom="paragraph">
                <wp:posOffset>777875</wp:posOffset>
              </wp:positionV>
              <wp:extent cx="717550" cy="304800"/>
              <wp:effectExtent l="206375" t="0" r="0" b="0"/>
              <wp:wrapNone/>
              <wp:docPr id="73" name="文本框 73"/>
              <wp:cNvGraphicFramePr/>
              <a:graphic xmlns:a="http://schemas.openxmlformats.org/drawingml/2006/main">
                <a:graphicData uri="http://schemas.microsoft.com/office/word/2010/wordprocessingShape">
                  <wps:wsp>
                    <wps:cNvSpPr txBox="true"/>
                    <wps:spPr>
                      <a:xfrm rot="5400000">
                        <a:off x="0" y="0"/>
                        <a:ext cx="7175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6.45pt;margin-top:61.25pt;height:24pt;width:56.5pt;mso-position-horizontal-relative:margin;rotation:5898240f;z-index:251719680;mso-width-relative:page;mso-height-relative:page;" filled="f" stroked="f" coordsize="21600,21600" o:gfxdata="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aypONgAAAAKAQAADwAAAAAAAAABACAAAAA4AAAA&#10;ZHJzL2Rvd25yZXYueG1sUEsBAhQAFAAAAAgAh07iQBdWSSoqAgAAOQQAAA4AAAAAAAAAAQAgAAAA&#10;PQEAAGRycy9lMm9Eb2MueG1sUEsFBgAAAAAGAAYAWQEAANkFAAAAAA==&#10;">
              <v:fill on="f" focussize="0,0"/>
              <v:stroke on="f" weight="0.5pt"/>
              <v:imagedata o:title=""/>
              <o:lock v:ext="edit" aspectratio="f"/>
              <v:textbox inset="0mm,0mm,0mm,0mm">
                <w:txbxContent>
                  <w:p>
                    <w:pPr>
                      <w:pStyle w:val="3"/>
                      <w:rPr>
                        <w:rFonts w:hint="eastAsia" w:ascii="仿宋" w:hAnsi="仿宋" w:eastAsia="仿宋" w:cs="仿宋"/>
                        <w:sz w:val="28"/>
                        <w:szCs w:val="28"/>
                      </w:rPr>
                    </w:pPr>
                  </w:p>
                </w:txbxContent>
              </v:textbox>
            </v:shape>
          </w:pict>
        </mc:Fallback>
      </mc:AlternateContent>
    </w: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F5E91"/>
    <w:rsid w:val="35FF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2023-09-05T16:20:00Z</dcterms:created>
  <dc:creator>baixin</dc:creator>
  <cp:lastModifiedBy>baixin</cp:lastModifiedBy>
  <dcterms:modified xsi:type="dcterms:W3CDTF">2023-09-05T16:21:14Z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