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黑体" w:eastAsia="方正小标宋简体" w:cs="楷体_GB2312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楷体_GB2312"/>
          <w:bCs/>
          <w:kern w:val="0"/>
          <w:sz w:val="44"/>
          <w:szCs w:val="44"/>
        </w:rPr>
        <w:t>各类型入河排污口代码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4489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一级分类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二级分类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（一）工业排污口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工矿企业排污口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工业及其他各类园区污水处理厂排污口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工矿企业雨洪排口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工业及其他各类园区污水处理厂雨洪排口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（二)城镇污水处理厂排污口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城镇污水处理厂排污口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（三）农业排口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规模化畜禽养殖排污口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规模化水产养殖排污口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(四）城镇雨洪排口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城镇雨洪排口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YH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（五）其他排口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大中型灌区口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港口码头排污口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规模以下畜禽养殖排污口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规模以下水产养殖排污口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城镇生活污水散排口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农村污水处理设施排污口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农村生活污水散排口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其他排污口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61DC8"/>
    <w:rsid w:val="DF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2023-11-14T14:51:00Z</dcterms:created>
  <dc:creator>baixin</dc:creator>
  <cp:lastModifiedBy>baixin</cp:lastModifiedBy>
  <dcterms:modified xsi:type="dcterms:W3CDTF">2023-11-14T14:51:56Z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