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曲沃县城乡低保、特困人员供养确认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下放工作领导小组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highlight w:val="none"/>
          <w:lang w:val="en-US" w:eastAsia="zh-CN"/>
        </w:rPr>
        <w:t>为确保下放工作能够顺利实施，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成立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城乡低保、特困人员供养确认权限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下放工作领导小组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县政府分管民政工作的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县政府办公室协助工作的副主任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2240" w:firstLineChars="7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县民政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局主要负责人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成员单位：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财政局、人社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住建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卫体局、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（乡村振兴局）、残联及各乡镇主要负责人，县民政局、县公安局分管负责人。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领导小组下设办公室在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县民政局，办公室主任由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县民政局局长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93812"/>
    <w:rsid w:val="7BD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2023-05-16T17:03:00Z</dcterms:created>
  <dc:creator>baixin</dc:creator>
  <cp:lastModifiedBy>baixin</cp:lastModifiedBy>
  <dcterms:modified xsi:type="dcterms:W3CDTF">2023-05-16T17:03:56Z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